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mbine_and_analyze_ct.r"/>
      <w:r>
        <w:t xml:space="preserve">combine_and_analyze_CT.R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combine_and_analyze_CT.R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STEP 1 combines C-region and T-region barcode wide tables into one CT table. STEP 2 computes per-mouse Euclidean and Bray-Curtis distances from hematopoietic sources to four destinations, normalizing C and T barcodes separately then averaging 50/50; runs Friedman tests and produces ranked/faceted bar plots.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combined_barcodes_C_regions.tsv, combined_barcodes_T_region.tsv.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combined_barcodes_wide_CT.tsv; per-destination distances_per_mouse.csv and friedman.csv; ranked and faceted distance plots.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Identify which bone-marrow progenitor population/location is clonally closest to each downstream destination tissue.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Near-duplicate/superset of distance_analyses_all_metrics.R’s CT-dataset branch (that one generalizes to 4 metrics x 3 datasets).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2026-07-10T02:18:09Z</dcterms:created>
  <dcterms:modified xsi:type="dcterms:W3CDTF">2026-07-10T02:18:09Z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