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ooled_perm_tests.r"/>
      <w:r>
        <w:t xml:space="preserve">pooled_perm_tests.R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pooled_perm_tests.R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Reads the combined CT barcode table, pools UMIs across mice per (barcode, sample_type), and for several destination-pair contrasts runs a UMI-level Binomial permutation test (5000 perms) computing source-preference deltas under 4 distance metrics, producing tornado bar plots with BH-adjusted significance.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combined_barcodes_wide_CT.tsv.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CT_pooled_</w:t>
      </w:r>
      <w:r>
        <w:rPr>
          <w:i/>
        </w:rPr>
        <w:t xml:space="preserve">vs</w:t>
      </w:r>
      <w:r>
        <w:rPr>
          <w:i/>
        </w:rPr>
        <w:t xml:space="preserve">perm</w:t>
      </w:r>
      <w:r>
        <w:t xml:space="preserve">.csv and tornado plots per contrast x metric.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Statistically test whether specific progenitor sources show significant clonal preference for one destination over another.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Generalization/superset of combined_regions_analysis_permutation_tests.R’s permutation-test step (multiple contrasts, 4 metrics vs 2).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2026-07-10T02:18:10Z</dcterms:created>
  <dcterms:modified xsi:type="dcterms:W3CDTF">2026-07-10T02:18:10Z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