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fea6406feefa8a902322deb6159f6aa63f2f18d"/>
      <w:r>
        <w:t xml:space="preserve">BMDM library-composition &amp; logFC tail-asymmetry diagnostics</w:t>
      </w:r>
      <w:bookmarkEnd w:id="20"/>
    </w:p>
    <w:p>
      <w:pPr>
        <w:pStyle w:val="FirstParagraph"/>
      </w:pPr>
      <w:r>
        <w:rPr>
          <w:b/>
        </w:rPr>
        <w:t xml:space="preserve">Script:</w:t>
      </w:r>
      <w:r>
        <w:t xml:space="preserve"> </w:t>
      </w:r>
      <w:r>
        <w:rPr>
          <w:rStyle w:val="VerbatimChar"/>
        </w:rPr>
        <w:t xml:space="preserve">bmdm_asymmetry_diagnostics.py</w:t>
      </w:r>
    </w:p>
    <w:p>
      <w:pPr>
        <w:pStyle w:val="Heading2"/>
      </w:pPr>
      <w:bookmarkStart w:id="21" w:name="what-it-does"/>
      <w:r>
        <w:t xml:space="preserve">What it does</w:t>
      </w:r>
      <w:bookmarkEnd w:id="21"/>
    </w:p>
    <w:p>
      <w:pPr>
        <w:pStyle w:val="FirstParagraph"/>
      </w:pPr>
      <w:r>
        <w:t xml:space="preserve">Checks whether the observed asymmetry in numbers of up- vs down-regulated genes across the four BMDM comparisons could be a normalization/library-composition artifact rather than real biology. Part 1 computes, per sample and per group, what fraction of the TMM-normalized CPM library is consumed by the top 1/5/10/20/50 genes. Part 2 plots the logFC distribution and a ranked-logFC</w:t>
      </w:r>
      <w:r>
        <w:t xml:space="preserve"> </w:t>
      </w:r>
      <w:r>
        <w:t xml:space="preserve">“</w:t>
      </w:r>
      <w:r>
        <w:t xml:space="preserve">waterfall</w:t>
      </w:r>
      <w:r>
        <w:t xml:space="preserve">”</w:t>
      </w:r>
      <w:r>
        <w:t xml:space="preserve"> </w:t>
      </w:r>
      <w:r>
        <w:t xml:space="preserve">per comparison to visualize tail one-sidedness.</w:t>
      </w:r>
    </w:p>
    <w:p>
      <w:pPr>
        <w:pStyle w:val="Heading2"/>
      </w:pPr>
      <w:bookmarkStart w:id="22" w:name="inputs"/>
      <w:r>
        <w:t xml:space="preserve">Inputs</w:t>
      </w:r>
      <w:bookmarkEnd w:id="22"/>
    </w:p>
    <w:p>
      <w:pPr>
        <w:pStyle w:val="FirstParagraph"/>
      </w:pPr>
      <w:r>
        <w:t xml:space="preserve">edgeR TMM-normalized CPM CSVs and DEG bulk .txt files (columns incl. logFC, FDR, gene_name) for the four comparisons HB.neg_vs_LB.neg, HB.pos_vs_LB.pos, HB.pos_vs_HB.neg, LB.pos_vs_LB.neg, each in its own BMDM/</w:t>
      </w:r>
      <w:r>
        <w:t xml:space="preserve">/ folder.</w:t>
      </w:r>
    </w:p>
    <w:p>
      <w:pPr>
        <w:pStyle w:val="Heading2"/>
      </w:pPr>
      <w:bookmarkStart w:id="23" w:name="outputs"/>
      <w:r>
        <w:t xml:space="preserve">Outputs</w:t>
      </w:r>
      <w:bookmarkEnd w:id="23"/>
    </w:p>
    <w:p>
      <w:pPr>
        <w:pStyle w:val="FirstParagraph"/>
      </w:pPr>
      <w:r>
        <w:t xml:space="preserve">bmdm_composition_check.png/.csv (per-sample and per-group library dominance), bmdm_logFC_distribution.png (histograms + waterfall plots), plus console tables of composition and tail up/down splits.</w:t>
      </w:r>
    </w:p>
    <w:p>
      <w:pPr>
        <w:pStyle w:val="Heading2"/>
      </w:pPr>
      <w:bookmarkStart w:id="24" w:name="conceptual-aim-target"/>
      <w:r>
        <w:t xml:space="preserve">Conceptual aim / target</w:t>
      </w:r>
      <w:bookmarkEnd w:id="24"/>
    </w:p>
    <w:p>
      <w:pPr>
        <w:pStyle w:val="FirstParagraph"/>
      </w:pPr>
      <w:r>
        <w:t xml:space="preserve">Rule out that the burden (HB vs LB) vs. lentiviral-construct (pos vs neg) transcriptional asymmetry is an artifact of a handful of very highly expressed transcripts dominating the normalized library, rather than a genuine broad shift in gene expression.</w:t>
      </w:r>
    </w:p>
    <w:p>
      <w:pPr>
        <w:pStyle w:val="Heading2"/>
      </w:pPr>
      <w:bookmarkStart w:id="25" w:name="conclusions-findings"/>
      <w:r>
        <w:t xml:space="preserve">Conclusions / findings</w:t>
      </w:r>
      <w:bookmarkEnd w:id="25"/>
    </w:p>
    <w:p>
      <w:pPr>
        <w:pStyle w:val="FirstParagraph"/>
      </w:pPr>
      <w:r>
        <w:t xml:space="preserve">Diagnostic script — its output (composition curves, tail split counts) is used to confirm the asymmetry is not driven by single dominant genes; the specific per-comparison numbers are written to the CSV/console at runtime and were used as supporting evidence alongside the concordance and heatmap analyses below.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2026-07-10T01:08:06Z</dcterms:created>
  <dcterms:modified xsi:type="dcterms:W3CDTF">2026-07-10T01:08:06Z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