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264a885a140b6ba20bfd976f4aafbb4283e40d"/>
      <w:r>
        <w:t xml:space="preserve">Burden-axis vs. lenti-axis concordance analysis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bmdm_axis_concordance.py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Tests whether two independent effect axes move together at the gene level: the</w:t>
      </w:r>
      <w:r>
        <w:t xml:space="preserve"> </w:t>
      </w:r>
      <w:r>
        <w:t xml:space="preserve">“</w:t>
      </w:r>
      <w:r>
        <w:t xml:space="preserve">burden</w:t>
      </w:r>
      <w:r>
        <w:t xml:space="preserve">”</w:t>
      </w:r>
      <w:r>
        <w:t xml:space="preserve"> </w:t>
      </w:r>
      <w:r>
        <w:t xml:space="preserve">axis (HB vs LB, averaged across the neg- and pos-background comparisons) and the</w:t>
      </w:r>
      <w:r>
        <w:t xml:space="preserve"> </w:t>
      </w:r>
      <w:r>
        <w:t xml:space="preserve">“</w:t>
      </w:r>
      <w:r>
        <w:t xml:space="preserve">lenti</w:t>
      </w:r>
      <w:r>
        <w:t xml:space="preserve">”</w:t>
      </w:r>
      <w:r>
        <w:t xml:space="preserve"> </w:t>
      </w:r>
      <w:r>
        <w:t xml:space="preserve">axis (lentipos vs lentineg, averaged across the HB- and LB-background comparisons). Produces a hexbin density scatter with Pearson r, Spearman rho, R-squared and a regression line for all genes, then a second scatter restricted to genes moving appreciably on both axes (|log2FC|&gt;0.5), with per-quadrant percentages.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 bulk .txt files (logFC, gene_name) for the same four comparisons used by bmdm_asymmetry_diagnostics.py.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bmdm_concordance_allgenes.png, bmdm_concordance_movers.png; printed fit statistics (r, rho, R^2, slope) and quadrant percentages.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the CH</w:t>
      </w:r>
      <w:r>
        <w:t xml:space="preserve"> </w:t>
      </w:r>
      <w:r>
        <w:t xml:space="preserve">“</w:t>
      </w:r>
      <w:r>
        <w:t xml:space="preserve">burden</w:t>
      </w:r>
      <w:r>
        <w:t xml:space="preserve">”</w:t>
      </w:r>
      <w:r>
        <w:t xml:space="preserve"> </w:t>
      </w:r>
      <w:r>
        <w:t xml:space="preserve">(mutant clone size) and the lentiviral marking construct itself act through a shared transcriptional program (same genes moving together on both axes) or represent largely independent/orthogonal effects on BMDM gene expression.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Quantifies the fraction of</w:t>
      </w:r>
      <w:r>
        <w:t xml:space="preserve"> </w:t>
      </w:r>
      <w:r>
        <w:t xml:space="preserve">“</w:t>
      </w:r>
      <w:r>
        <w:t xml:space="preserve">mover</w:t>
      </w:r>
      <w:r>
        <w:t xml:space="preserve">”</w:t>
      </w:r>
      <w:r>
        <w:t xml:space="preserve"> </w:t>
      </w:r>
      <w:r>
        <w:t xml:space="preserve">genes that change in the same direction on both axes (printed</w:t>
      </w:r>
      <w:r>
        <w:t xml:space="preserve"> </w:t>
      </w:r>
      <w:r>
        <w:t xml:space="preserve">“</w:t>
      </w:r>
      <w:r>
        <w:t xml:space="preserve">concordant = X%</w:t>
      </w:r>
      <w:r>
        <w:t xml:space="preserve">”</w:t>
      </w:r>
      <w:r>
        <w:t xml:space="preserve"> </w:t>
      </w:r>
      <w:r>
        <w:t xml:space="preserve">plus per-quadrant counts) — the actual percentage is data-dependent and reported at runtime/in the saved PNGs rather than hardcoded.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2026-07-10T01:08:06Z</dcterms:created>
  <dcterms:modified xsi:type="dcterms:W3CDTF">2026-07-10T01:08:06Z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