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11"/>
      </w:pPr>
      <w:bookmarkStart w:id="0" w:name="_2vicm9wryhy4" w:colFirst="0" w:colLast="0"/>
      <w:bookmarkEnd w:id="0"/>
      <w:r>
        <w:rPr>
          <w:rtl w:val="0"/>
        </w:rPr>
        <w:t>Parser Stress Test Fixture v1.0</w:t>
      </w:r>
    </w:p>
    <w:p w14:paraId="00000002">
      <w:r>
        <w:rPr>
          <w:rtl w:val="0"/>
        </w:rPr>
        <w:t>This document is designed as a standardized test fixture for verifying document parsing engines. It includes layered heading hierarchies, identical duplicate titles for anchor disambiguation testing, data tables, code snippets, and placeholder chips.</w:t>
      </w:r>
    </w:p>
    <w:p w14:paraId="00000003">
      <w:pPr>
        <w:pStyle w:val="2"/>
      </w:pPr>
      <w:bookmarkStart w:id="1" w:name="_c7a7ta92gviu" w:colFirst="0" w:colLast="0"/>
      <w:bookmarkEnd w:id="1"/>
      <w:r>
        <w:rPr>
          <w:rtl w:val="0"/>
        </w:rPr>
        <w:t>Document Test Metadata</w:t>
      </w:r>
    </w:p>
    <w:tbl>
      <w:tblPr>
        <w:tblStyle w:val="13"/>
        <w:tblW w:w="10500" w:type="dxa"/>
        <w:tblInd w:w="0" w:type="dxa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F1F5F9" w:sz="8" w:space="0"/>
          <w:insideV w:val="single" w:color="F1F5F9" w:sz="8" w:space="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3500"/>
        <w:gridCol w:w="3500"/>
        <w:gridCol w:w="3500"/>
      </w:tblGrid>
      <w:tr w14:paraId="13B55ED2">
        <w:trPr>
          <w:tblHeader/>
        </w:trPr>
        <w:tc>
          <w:tcPr>
            <w:shd w:val="clear" w:color="auto" w:fill="FFFFFF"/>
            <w:vAlign w:val="center"/>
          </w:tcPr>
          <w:p w14:paraId="00000004">
            <w:r>
              <w:rPr>
                <w:rtl w:val="0"/>
              </w:rPr>
              <w:t>Parameter</w:t>
            </w:r>
          </w:p>
        </w:tc>
        <w:tc>
          <w:tcPr>
            <w:shd w:val="clear" w:color="auto" w:fill="FFFFFF"/>
            <w:vAlign w:val="center"/>
          </w:tcPr>
          <w:p w14:paraId="00000005">
            <w:r>
              <w:rPr>
                <w:rtl w:val="0"/>
              </w:rPr>
              <w:t>Target Spec</w:t>
            </w:r>
          </w:p>
        </w:tc>
        <w:tc>
          <w:tcPr>
            <w:shd w:val="clear" w:color="auto" w:fill="FFFFFF"/>
            <w:vAlign w:val="center"/>
          </w:tcPr>
          <w:p w14:paraId="00000006">
            <w:r>
              <w:rPr>
                <w:rtl w:val="0"/>
              </w:rPr>
              <w:t>Test Purpose</w:t>
            </w:r>
          </w:p>
        </w:tc>
      </w:tr>
      <w:tr w14:paraId="15390169">
        <w:tc>
          <w:tcPr>
            <w:shd w:val="clear" w:color="auto" w:fill="FFFFFF"/>
            <w:vAlign w:val="center"/>
          </w:tcPr>
          <w:p w14:paraId="00000007">
            <w:r>
              <w:rPr>
                <w:rtl w:val="0"/>
              </w:rPr>
              <w:t>Target Engine</w:t>
            </w:r>
          </w:p>
        </w:tc>
        <w:tc>
          <w:tcPr>
            <w:shd w:val="clear" w:color="auto" w:fill="FFFFFF"/>
            <w:vAlign w:val="center"/>
          </w:tcPr>
          <w:p w14:paraId="00000008">
            <w:r>
              <w:rPr>
                <w:rtl w:val="0"/>
              </w:rPr>
              <w:t>Document Parser v2.4+</w:t>
            </w:r>
          </w:p>
        </w:tc>
        <w:tc>
          <w:tcPr>
            <w:shd w:val="clear" w:color="auto" w:fill="FFFFFF"/>
            <w:vAlign w:val="center"/>
          </w:tcPr>
          <w:p w14:paraId="00000009">
            <w:r>
              <w:rPr>
                <w:rtl w:val="0"/>
              </w:rPr>
              <w:t>Regression testing for section mapping</w:t>
            </w:r>
          </w:p>
        </w:tc>
      </w:tr>
      <w:tr w14:paraId="405C4DE0">
        <w:tc>
          <w:tcPr>
            <w:shd w:val="clear" w:color="auto" w:fill="FFFFFF"/>
            <w:vAlign w:val="center"/>
          </w:tcPr>
          <w:p w14:paraId="0000000A">
            <w:r>
              <w:rPr>
                <w:rtl w:val="0"/>
              </w:rPr>
              <w:t>Assigned Tester</w:t>
            </w:r>
          </w:p>
        </w:tc>
        <w:tc>
          <w:tcPr>
            <w:shd w:val="clear" w:color="auto" w:fill="FFFFFF"/>
            <w:vAlign w:val="center"/>
          </w:tcPr>
          <w:p w14:paraId="0000000B">
            <w:r>
              <w:rPr>
                <w:rtl w:val="0"/>
              </w:rPr>
              <w:t>Person</w:t>
            </w:r>
          </w:p>
        </w:tc>
        <w:tc>
          <w:tcPr>
            <w:shd w:val="clear" w:color="auto" w:fill="FFFFFF"/>
            <w:vAlign w:val="center"/>
          </w:tcPr>
          <w:p w14:paraId="0000000C">
            <w:r>
              <w:rPr>
                <w:rtl w:val="0"/>
              </w:rPr>
              <w:t>Assigned QA Lead for execution</w:t>
            </w:r>
          </w:p>
        </w:tc>
      </w:tr>
      <w:tr w14:paraId="7CE1F220">
        <w:tc>
          <w:tcPr>
            <w:shd w:val="clear" w:color="auto" w:fill="FFFFFF"/>
            <w:vAlign w:val="center"/>
          </w:tcPr>
          <w:p w14:paraId="0000000D">
            <w:r>
              <w:rPr>
                <w:rtl w:val="0"/>
              </w:rPr>
              <w:t>Execution Date</w:t>
            </w:r>
          </w:p>
        </w:tc>
        <w:tc>
          <w:tcPr>
            <w:shd w:val="clear" w:color="auto" w:fill="FFFFFF"/>
            <w:vAlign w:val="center"/>
          </w:tcPr>
          <w:p w14:paraId="0000000E">
            <w:r>
              <w:rPr>
                <w:rtl w:val="0"/>
              </w:rPr>
              <w:t>Date</w:t>
            </w:r>
          </w:p>
        </w:tc>
        <w:tc>
          <w:tcPr>
            <w:shd w:val="clear" w:color="auto" w:fill="FFFFFF"/>
            <w:vAlign w:val="center"/>
          </w:tcPr>
          <w:p w14:paraId="0000000F">
            <w:r>
              <w:rPr>
                <w:rtl w:val="0"/>
              </w:rPr>
              <w:t>Timestamp of parser suite run</w:t>
            </w:r>
          </w:p>
        </w:tc>
      </w:tr>
      <w:tr w14:paraId="24D0B145">
        <w:tc>
          <w:tcPr>
            <w:shd w:val="clear" w:color="auto" w:fill="FFFFFF"/>
            <w:vAlign w:val="center"/>
          </w:tcPr>
          <w:p w14:paraId="00000010">
            <w:r>
              <w:rPr>
                <w:rtl w:val="0"/>
              </w:rPr>
              <w:t>Source Reference</w:t>
            </w:r>
          </w:p>
        </w:tc>
        <w:tc>
          <w:tcPr>
            <w:shd w:val="clear" w:color="auto" w:fill="FFFFFF"/>
            <w:vAlign w:val="center"/>
          </w:tcPr>
          <w:p w14:paraId="00000011">
            <w:r>
              <w:rPr>
                <w:rtl w:val="0"/>
              </w:rPr>
              <w:t>File</w:t>
            </w:r>
          </w:p>
        </w:tc>
        <w:tc>
          <w:tcPr>
            <w:shd w:val="clear" w:color="auto" w:fill="FFFFFF"/>
            <w:vAlign w:val="center"/>
          </w:tcPr>
          <w:p w14:paraId="00000012">
            <w:r>
              <w:rPr>
                <w:rtl w:val="0"/>
              </w:rPr>
              <w:t>Architecture reference file</w:t>
            </w:r>
          </w:p>
        </w:tc>
      </w:tr>
    </w:tbl>
    <w:p w14:paraId="00000013">
      <w:pPr>
        <w:pStyle w:val="11"/>
      </w:pPr>
      <w:bookmarkStart w:id="2" w:name="_ws0zh6m1ds" w:colFirst="0" w:colLast="0"/>
      <w:bookmarkEnd w:id="2"/>
      <w:r>
        <w:rPr>
          <w:rtl w:val="0"/>
        </w:rPr>
        <w:t>Layered Hierarchy Test</w:t>
      </w:r>
    </w:p>
    <w:p w14:paraId="00000014">
      <w:r>
        <w:rPr>
          <w:rtl w:val="0"/>
        </w:rPr>
        <w:t>This section tests how deep the parser can traverse nested heading levels without losing parent-child context or breaking document trees.</w:t>
      </w:r>
    </w:p>
    <w:p w14:paraId="00000015">
      <w:pPr>
        <w:pStyle w:val="2"/>
      </w:pPr>
      <w:bookmarkStart w:id="3" w:name="_sdln3nd4h27y" w:colFirst="0" w:colLast="0"/>
      <w:bookmarkEnd w:id="3"/>
      <w:r>
        <w:rPr>
          <w:rtl w:val="0"/>
        </w:rPr>
        <w:t>System Architecture</w:t>
      </w:r>
    </w:p>
    <w:p w14:paraId="00000016">
      <w:r>
        <w:rPr>
          <w:rtl w:val="0"/>
        </w:rPr>
        <w:t>High-level container section representing the root component layer.</w:t>
      </w:r>
    </w:p>
    <w:p w14:paraId="00000017">
      <w:pPr>
        <w:pStyle w:val="3"/>
      </w:pPr>
      <w:bookmarkStart w:id="4" w:name="_st1ja2fk86oz" w:colFirst="0" w:colLast="0"/>
      <w:bookmarkEnd w:id="4"/>
      <w:r>
        <w:rPr>
          <w:rtl w:val="0"/>
        </w:rPr>
        <w:t>Ingestion Pipeline</w:t>
      </w:r>
    </w:p>
    <w:p w14:paraId="00000018">
      <w:r>
        <w:rPr>
          <w:rtl w:val="0"/>
        </w:rPr>
        <w:t>Data processing stage responsible for payload reception and streaming batch validation.</w:t>
      </w:r>
    </w:p>
    <w:p w14:paraId="00000019">
      <w:pPr>
        <w:pStyle w:val="4"/>
      </w:pPr>
      <w:bookmarkStart w:id="5" w:name="_4gtwrfkitih" w:colFirst="0" w:colLast="0"/>
      <w:bookmarkEnd w:id="5"/>
      <w:r>
        <w:rPr>
          <w:rtl w:val="0"/>
        </w:rPr>
        <w:t>Document Parser Module</w:t>
      </w:r>
    </w:p>
    <w:p w14:paraId="0000001A">
      <w:r>
        <w:rPr>
          <w:rtl w:val="0"/>
        </w:rPr>
        <w:t>Core module responsible for transforming structural text into clean Abstract Syntax Trees (AST).</w:t>
      </w:r>
    </w:p>
    <w:p w14:paraId="0000001B">
      <w:pPr>
        <w:pStyle w:val="5"/>
      </w:pPr>
      <w:bookmarkStart w:id="6" w:name="_osq4h4mnfvxk" w:colFirst="0" w:colLast="0"/>
      <w:bookmarkEnd w:id="6"/>
      <w:r>
        <w:rPr>
          <w:rtl w:val="0"/>
        </w:rPr>
        <w:t>Tokenizer Component</w:t>
      </w:r>
    </w:p>
    <w:p w14:paraId="0000001C">
      <w:r>
        <w:rPr>
          <w:rtl w:val="0"/>
        </w:rPr>
        <w:t>Sub-component responsible for lexical analysis and text segmentation.</w:t>
      </w:r>
    </w:p>
    <w:p w14:paraId="0000001D">
      <w:pPr>
        <w:pStyle w:val="6"/>
      </w:pPr>
      <w:bookmarkStart w:id="7" w:name="_fsewwsykhff0" w:colFirst="0" w:colLast="0"/>
      <w:bookmarkEnd w:id="7"/>
      <w:r>
        <w:rPr>
          <w:rtl w:val="0"/>
        </w:rPr>
        <w:t>Rules Engine</w:t>
      </w:r>
    </w:p>
    <w:p w14:paraId="0000001E">
      <w:r>
        <w:rPr>
          <w:rtl w:val="0"/>
        </w:rPr>
        <w:t>Deepest nested node testing parsing depth limits for H6 elements.</w:t>
      </w:r>
    </w:p>
    <w:p w14:paraId="0000001F">
      <w:pPr>
        <w:pStyle w:val="11"/>
      </w:pPr>
      <w:bookmarkStart w:id="8" w:name="_eldh2qv0k0np" w:colFirst="0" w:colLast="0"/>
      <w:bookmarkEnd w:id="8"/>
      <w:r>
        <w:rPr>
          <w:rtl w:val="0"/>
        </w:rPr>
        <w:t>Overview</w:t>
      </w:r>
    </w:p>
    <w:p w14:paraId="00000020">
      <w:r>
        <w:rPr>
          <w:rtl w:val="0"/>
        </w:rPr>
        <w:t>First top-level instance of the heading Overview. Parsers should assign this node a unique anchor ID (e.g., overview or overview-1).</w:t>
      </w:r>
    </w:p>
    <w:p w14:paraId="00000021">
      <w:pPr>
        <w:pStyle w:val="2"/>
      </w:pPr>
      <w:bookmarkStart w:id="9" w:name="_fl6wksd8073z" w:colFirst="0" w:colLast="0"/>
      <w:bookmarkEnd w:id="9"/>
      <w:r>
        <w:rPr>
          <w:rtl w:val="0"/>
        </w:rPr>
        <w:t>Configuration</w:t>
      </w:r>
    </w:p>
    <w:p w14:paraId="00000022">
      <w:r>
        <w:rPr>
          <w:rtl w:val="0"/>
        </w:rPr>
        <w:t>Configuration parameters scoped under the primary Overview node.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4">
      <w:pPr>
        <w:numPr>
          <w:ilvl w:val="0"/>
          <w:numId w:val="1"/>
        </w:numPr>
        <w:ind w:left="720" w:hanging="360"/>
      </w:pPr>
      <w:r>
        <w:rPr>
          <w:rtl w:val="0"/>
        </w:rPr>
        <w:t>parser.strict_mode: Enabled</w:t>
      </w:r>
    </w:p>
    <w:p w14:paraId="00000025">
      <w:pPr>
        <w:numPr>
          <w:ilvl w:val="0"/>
          <w:numId w:val="1"/>
        </w:numPr>
        <w:ind w:left="720" w:hanging="360"/>
      </w:pPr>
      <w:r>
        <w:rPr>
          <w:rtl w:val="0"/>
        </w:rPr>
        <w:t>parser.max_depth: 6</w:t>
      </w:r>
    </w:p>
    <w:p w14:paraId="00000026">
      <w:pPr>
        <w:numPr>
          <w:ilvl w:val="0"/>
          <w:numId w:val="1"/>
        </w:numPr>
        <w:ind w:left="720" w:hanging="360"/>
      </w:pPr>
      <w:r>
        <w:rPr>
          <w:rtl w:val="0"/>
        </w:rPr>
        <w:t>parser.deduplicate_anchors: True</w:t>
      </w:r>
    </w:p>
    <w:p w14:paraId="00000027">
      <w:pPr>
        <w:pStyle w:val="2"/>
      </w:pPr>
      <w:bookmarkStart w:id="10" w:name="_agvrl0m658g0" w:colFirst="0" w:colLast="0"/>
      <w:bookmarkEnd w:id="10"/>
      <w:r>
        <w:rPr>
          <w:rtl w:val="0"/>
        </w:rPr>
        <w:t>Metrics</w:t>
      </w:r>
    </w:p>
    <w:p w14:paraId="00000028">
      <w:r>
        <w:rPr>
          <w:rtl w:val="0"/>
        </w:rPr>
        <w:t>Performance indicators associated with the initial pipeline ingestion stage.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2A">
      <w:pPr>
        <w:numPr>
          <w:ilvl w:val="0"/>
          <w:numId w:val="2"/>
        </w:numPr>
        <w:ind w:left="720" w:hanging="360"/>
      </w:pPr>
      <w:r>
        <w:rPr>
          <w:rtl w:val="0"/>
        </w:rPr>
        <w:t>Total Node Capacity: 2,500 elements</w:t>
      </w:r>
    </w:p>
    <w:p w14:paraId="0000002B">
      <w:pPr>
        <w:numPr>
          <w:ilvl w:val="0"/>
          <w:numId w:val="2"/>
        </w:numPr>
        <w:ind w:left="720" w:hanging="360"/>
      </w:pPr>
      <w:r>
        <w:rPr>
          <w:rtl w:val="0"/>
        </w:rPr>
        <w:t>Max Depth Traversal: 6 levels</w:t>
      </w:r>
    </w:p>
    <w:p w14:paraId="0000002C">
      <w:pPr>
        <w:numPr>
          <w:ilvl w:val="0"/>
          <w:numId w:val="2"/>
        </w:numPr>
        <w:ind w:left="720" w:hanging="360"/>
      </w:pPr>
      <w:r>
        <w:rPr>
          <w:rtl w:val="0"/>
        </w:rPr>
        <w:t>Timeout Limit: 5000ms</w:t>
      </w:r>
    </w:p>
    <w:p w14:paraId="0000002D">
      <w:pPr>
        <w:pStyle w:val="11"/>
      </w:pPr>
      <w:bookmarkStart w:id="11" w:name="_yxk3lq9xsny7" w:colFirst="0" w:colLast="0"/>
      <w:bookmarkEnd w:id="11"/>
      <w:r>
        <w:rPr>
          <w:rtl w:val="0"/>
        </w:rPr>
        <w:t>Performance</w:t>
      </w:r>
    </w:p>
    <w:p w14:paraId="0000002E">
      <w:r>
        <w:rPr>
          <w:rtl w:val="0"/>
        </w:rPr>
        <w:t>Secondary top-level section containing repeated sub-heading titles to test scoped anchor disambiguation across different parent branches.</w:t>
      </w:r>
    </w:p>
    <w:p w14:paraId="0000002F">
      <w:pPr>
        <w:pStyle w:val="2"/>
      </w:pPr>
      <w:bookmarkStart w:id="12" w:name="_o0vbeledngpg" w:colFirst="0" w:colLast="0"/>
      <w:bookmarkEnd w:id="12"/>
      <w:r>
        <w:rPr>
          <w:rtl w:val="0"/>
        </w:rPr>
        <w:t>Overview</w:t>
      </w:r>
    </w:p>
    <w:p w14:paraId="00000030">
      <w:r>
        <w:rPr>
          <w:rtl w:val="0"/>
        </w:rPr>
        <w:t xml:space="preserve">Second instance of the heading </w:t>
      </w:r>
      <w:r>
        <w:rPr>
          <w:b/>
          <w:bCs/>
          <w:rtl w:val="0"/>
        </w:rPr>
        <w:t>Overview</w:t>
      </w:r>
      <w:r>
        <w:rPr>
          <w:rtl w:val="0"/>
        </w:rPr>
        <w:t>, scoped directly under the Performance parent section. Parsers should disambiguate this from the previous top-level Overview node.</w:t>
      </w:r>
    </w:p>
    <w:p w14:paraId="00000031">
      <w:pPr>
        <w:pStyle w:val="3"/>
      </w:pPr>
      <w:bookmarkStart w:id="13" w:name="_rwnct0c25ulh" w:colFirst="0" w:colLast="0"/>
      <w:bookmarkEnd w:id="13"/>
      <w:r>
        <w:rPr>
          <w:rtl w:val="0"/>
        </w:rPr>
        <w:t>Metrics</w:t>
      </w:r>
    </w:p>
    <w:p w14:paraId="00000032">
      <w:r>
        <w:rPr>
          <w:rtl w:val="0"/>
        </w:rPr>
        <w:t xml:space="preserve">Sub-node instance of </w:t>
      </w:r>
      <w:r>
        <w:rPr>
          <w:b/>
          <w:bCs/>
          <w:rtl w:val="0"/>
        </w:rPr>
        <w:t>Metrics</w:t>
      </w:r>
      <w:r>
        <w:rPr>
          <w:rtl w:val="0"/>
        </w:rPr>
        <w:t xml:space="preserve"> under </w:t>
      </w:r>
      <w:r>
        <w:rPr>
          <w:rFonts w:ascii="Roboto Mono" w:hAnsi="Roboto Mono" w:eastAsia="Roboto Mono" w:cs="Roboto Mono"/>
          <w:color w:val="188038"/>
          <w:rtl w:val="0"/>
        </w:rPr>
        <w:t>Performance &gt; Overview</w:t>
      </w:r>
      <w:r>
        <w:rPr>
          <w:rtl w:val="0"/>
        </w:rPr>
        <w:t>.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4">
      <w:r>
        <w:rPr>
          <w:rtl w:val="0"/>
        </w:rPr>
        <w:t>| Metric ID | Baseline Threshold | Maximum Allowed | Target Unit |</w:t>
      </w:r>
      <w:r>
        <w:rPr>
          <w:rtl w:val="0"/>
        </w:rPr>
        <w:br w:type="textWrapping"/>
      </w:r>
      <w:r>
        <w:rPr>
          <w:rtl w:val="0"/>
        </w:rPr>
        <w:t>| LAT-001 | 45ms | 120ms | Milliseconds |</w:t>
      </w:r>
      <w:r>
        <w:rPr>
          <w:rtl w:val="0"/>
        </w:rPr>
        <w:br w:type="textWrapping"/>
      </w:r>
      <w:r>
        <w:rPr>
          <w:rtl w:val="0"/>
        </w:rPr>
        <w:t>| MEM-002 | 256MB | 512MB | Megabytes |</w:t>
      </w:r>
      <w:r>
        <w:rPr>
          <w:rtl w:val="0"/>
        </w:rPr>
        <w:br w:type="textWrapping"/>
      </w:r>
      <w:r>
        <w:rPr>
          <w:rtl w:val="0"/>
        </w:rPr>
        <w:t>| CPU-003 | 12% | 45% | Percentage |</w:t>
      </w:r>
    </w:p>
    <w:p w14:paraId="00000035">
      <w:pPr>
        <w:pStyle w:val="2"/>
      </w:pPr>
      <w:bookmarkStart w:id="14" w:name="_iir7kvs45uvo" w:colFirst="0" w:colLast="0"/>
      <w:bookmarkEnd w:id="14"/>
      <w:r>
        <w:rPr>
          <w:rtl w:val="0"/>
        </w:rPr>
        <w:t>Configuration</w:t>
      </w:r>
    </w:p>
    <w:p w14:paraId="00000036">
      <w:r>
        <w:rPr>
          <w:rtl w:val="0"/>
        </w:rPr>
        <w:t xml:space="preserve">Second instance of the heading </w:t>
      </w:r>
      <w:r>
        <w:rPr>
          <w:b/>
          <w:bCs/>
          <w:rtl w:val="0"/>
        </w:rPr>
        <w:t>Configuration</w:t>
      </w:r>
      <w:r>
        <w:rPr>
          <w:rtl w:val="0"/>
        </w:rPr>
        <w:t xml:space="preserve">, scoped under </w:t>
      </w:r>
      <w:r>
        <w:rPr>
          <w:b/>
          <w:bCs/>
          <w:rtl w:val="0"/>
        </w:rPr>
        <w:t>Performance</w:t>
      </w:r>
      <w:r>
        <w:rPr>
          <w:rtl w:val="0"/>
        </w:rPr>
        <w:t>.</w:t>
      </w:r>
    </w:p>
    <w:p w14:paraId="000000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38">
      <w:pPr>
        <w:numPr>
          <w:ilvl w:val="0"/>
          <w:numId w:val="3"/>
        </w:numPr>
        <w:ind w:left="720" w:hanging="360"/>
      </w:pPr>
      <w:r>
        <w:rPr>
          <w:rtl w:val="0"/>
        </w:rPr>
        <w:t>Initialize thread pool prior to ingestion.</w:t>
      </w:r>
    </w:p>
    <w:p w14:paraId="00000039">
      <w:pPr>
        <w:numPr>
          <w:ilvl w:val="0"/>
          <w:numId w:val="3"/>
        </w:numPr>
        <w:ind w:left="720" w:hanging="360"/>
      </w:pPr>
      <w:r>
        <w:rPr>
          <w:rtl w:val="0"/>
        </w:rPr>
        <w:t>Set dynamic memory ceiling to prevent heap allocation failures.</w:t>
      </w:r>
    </w:p>
    <w:p w14:paraId="0000003A">
      <w:pPr>
        <w:numPr>
          <w:ilvl w:val="0"/>
          <w:numId w:val="3"/>
        </w:numPr>
        <w:ind w:left="720" w:hanging="360"/>
      </w:pPr>
      <w:r>
        <w:rPr>
          <w:rtl w:val="0"/>
        </w:rPr>
        <w:t>Flush section AST buffer upon completion.</w:t>
      </w:r>
    </w:p>
    <w:p w14:paraId="0000003B">
      <w:pPr>
        <w:pStyle w:val="11"/>
      </w:pPr>
      <w:bookmarkStart w:id="15" w:name="_s937ykpoo1kk" w:colFirst="0" w:colLast="0"/>
      <w:bookmarkEnd w:id="15"/>
      <w:r>
        <w:rPr>
          <w:rtl w:val="0"/>
        </w:rPr>
        <w:t>Data Schema Specifications</w:t>
      </w:r>
    </w:p>
    <w:p w14:paraId="0000003C">
      <w:r>
        <w:rPr>
          <w:rtl w:val="0"/>
        </w:rPr>
        <w:t>Testing table data extraction, data type handling, and inline formatting parsing.</w:t>
      </w:r>
    </w:p>
    <w:p w14:paraId="0000003D">
      <w:pPr>
        <w:pStyle w:val="2"/>
      </w:pPr>
      <w:bookmarkStart w:id="16" w:name="_u56kf01ibvux" w:colFirst="0" w:colLast="0"/>
      <w:bookmarkEnd w:id="16"/>
      <w:r>
        <w:rPr>
          <w:rtl w:val="0"/>
        </w:rPr>
        <w:t>Attribute Mapping Table</w:t>
      </w:r>
    </w:p>
    <w:p w14:paraId="0000003E">
      <w:r>
        <w:rPr>
          <w:rtl w:val="0"/>
        </w:rPr>
        <w:t>| Attribute Key | Data Type | Requirement | Description &amp; Parsing Rules |</w:t>
      </w:r>
      <w:r>
        <w:rPr>
          <w:rtl w:val="0"/>
        </w:rPr>
        <w:br w:type="textWrapping"/>
      </w:r>
      <w:r>
        <w:rPr>
          <w:rtl w:val="0"/>
        </w:rPr>
        <w:t xml:space="preserve">| </w:t>
      </w:r>
      <w:r>
        <w:rPr>
          <w:rFonts w:ascii="Roboto Mono" w:hAnsi="Roboto Mono" w:eastAsia="Roboto Mono" w:cs="Roboto Mono"/>
          <w:color w:val="188038"/>
          <w:rtl w:val="0"/>
        </w:rPr>
        <w:t>parent_id</w:t>
      </w:r>
      <w:r>
        <w:rPr>
          <w:rtl w:val="0"/>
        </w:rPr>
        <w:t xml:space="preserve"> | String (UUID) | Required | Unique identifier string for parent AST node |</w:t>
      </w:r>
      <w:r>
        <w:rPr>
          <w:rtl w:val="0"/>
        </w:rPr>
        <w:br w:type="textWrapping"/>
      </w:r>
      <w:r>
        <w:rPr>
          <w:rtl w:val="0"/>
        </w:rPr>
        <w:t xml:space="preserve">| </w:t>
      </w:r>
      <w:r>
        <w:rPr>
          <w:rFonts w:ascii="Roboto Mono" w:hAnsi="Roboto Mono" w:eastAsia="Roboto Mono" w:cs="Roboto Mono"/>
          <w:color w:val="188038"/>
          <w:rtl w:val="0"/>
        </w:rPr>
        <w:t>node_depth</w:t>
      </w:r>
      <w:r>
        <w:rPr>
          <w:rtl w:val="0"/>
        </w:rPr>
        <w:t xml:space="preserve"> | Integer | Required | Integer indicating nesting level from root (1-6) |</w:t>
      </w:r>
      <w:r>
        <w:rPr>
          <w:rtl w:val="0"/>
        </w:rPr>
        <w:br w:type="textWrapping"/>
      </w:r>
      <w:r>
        <w:rPr>
          <w:rtl w:val="0"/>
        </w:rPr>
        <w:t xml:space="preserve">| </w:t>
      </w:r>
      <w:r>
        <w:rPr>
          <w:rFonts w:ascii="Roboto Mono" w:hAnsi="Roboto Mono" w:eastAsia="Roboto Mono" w:cs="Roboto Mono"/>
          <w:color w:val="188038"/>
          <w:rtl w:val="0"/>
        </w:rPr>
        <w:t>raw_text</w:t>
      </w:r>
      <w:r>
        <w:rPr>
          <w:rtl w:val="0"/>
        </w:rPr>
        <w:t xml:space="preserve"> | String | Optional | Unescaped text content prior to formatting strip |</w:t>
      </w:r>
      <w:r>
        <w:rPr>
          <w:rtl w:val="0"/>
        </w:rPr>
        <w:br w:type="textWrapping"/>
      </w:r>
      <w:r>
        <w:rPr>
          <w:rtl w:val="0"/>
        </w:rPr>
        <w:t xml:space="preserve">| </w:t>
      </w:r>
      <w:r>
        <w:rPr>
          <w:rFonts w:ascii="Roboto Mono" w:hAnsi="Roboto Mono" w:eastAsia="Roboto Mono" w:cs="Roboto Mono"/>
          <w:color w:val="188038"/>
          <w:rtl w:val="0"/>
        </w:rPr>
        <w:t>is_duplicate</w:t>
      </w:r>
      <w:r>
        <w:rPr>
          <w:rtl w:val="0"/>
        </w:rPr>
        <w:t xml:space="preserve"> | Boolean | System Flag | Boolean set when heading title collision occurs |</w:t>
      </w:r>
    </w:p>
    <w:p w14:paraId="0000003F">
      <w:pPr>
        <w:pStyle w:val="2"/>
      </w:pPr>
      <w:bookmarkStart w:id="17" w:name="_v8qg10i1wfhf" w:colFirst="0" w:colLast="0"/>
      <w:bookmarkEnd w:id="17"/>
      <w:r>
        <w:rPr>
          <w:rtl w:val="0"/>
        </w:rPr>
        <w:t>JSON Payload Fixture</w:t>
      </w:r>
    </w:p>
    <w:p w14:paraId="00000040">
      <w:pPr>
        <w:rPr>
          <w:rFonts w:ascii="Roboto Mono" w:hAnsi="Roboto Mono" w:eastAsia="Roboto Mono" w:cs="Roboto Mono"/>
          <w:sz w:val="18"/>
          <w:szCs w:val="18"/>
        </w:rPr>
      </w:pPr>
      <w:r>
        <w:rPr>
          <w:rtl w:val="0"/>
        </w:rPr>
        <w:t>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{</w:t>
      </w:r>
    </w:p>
    <w:p w14:paraId="00000041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"test_suite":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"Parser_Validation_Fixture",</w:t>
      </w:r>
    </w:p>
    <w:p w14:paraId="00000042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"depth_traverse":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true,</w:t>
      </w:r>
    </w:p>
    <w:p w14:paraId="00000043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"nodes":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[</w:t>
      </w:r>
    </w:p>
    <w:p w14:paraId="00000044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{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"id":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"node_001",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"type":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"heading",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"level":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1,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"text":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"Overview"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},</w:t>
      </w:r>
    </w:p>
    <w:p w14:paraId="00000045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{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"id":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"node_002",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"type":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"heading",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"level":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2,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"text":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"Overview"</w:t>
      </w: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}</w:t>
      </w:r>
    </w:p>
    <w:p w14:paraId="00000046">
      <w:pPr>
        <w:rPr>
          <w:rFonts w:ascii="Roboto Mono" w:hAnsi="Roboto Mono" w:eastAsia="Roboto Mono" w:cs="Roboto Mono"/>
          <w:sz w:val="18"/>
          <w:szCs w:val="18"/>
        </w:rPr>
      </w:pPr>
      <w:r>
        <w:rPr>
          <w:rFonts w:ascii="Roboto Mono" w:hAnsi="Roboto Mono" w:eastAsia="Roboto Mono" w:cs="Roboto Mono"/>
          <w:sz w:val="18"/>
          <w:szCs w:val="18"/>
          <w:rtl w:val="0"/>
        </w:rPr>
        <w:t xml:space="preserve">  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]</w:t>
      </w:r>
    </w:p>
    <w:p w14:paraId="00000047">
      <w:pPr>
        <w:rPr>
          <w:rFonts w:ascii="Roboto Mono" w:hAnsi="Roboto Mono" w:eastAsia="Roboto Mono" w:cs="Roboto Mono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}</w:t>
      </w:r>
    </w:p>
    <w:p w14:paraId="00000048">
      <w:pPr>
        <w:pStyle w:val="11"/>
      </w:pPr>
      <w:bookmarkStart w:id="18" w:name="_xxugtmtpvxg3" w:colFirst="0" w:colLast="0"/>
      <w:bookmarkEnd w:id="18"/>
      <w:r>
        <w:rPr>
          <w:rtl w:val="0"/>
        </w:rPr>
        <w:t>Appendix: Edge Cases &amp; Strings</w:t>
      </w:r>
    </w:p>
    <w:p w14:paraId="00000049">
      <w:r>
        <w:rPr>
          <w:rtl w:val="0"/>
        </w:rPr>
        <w:t>Special character sequences and string structures to test parser sanitizer rules: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04B">
      <w:pPr>
        <w:numPr>
          <w:ilvl w:val="0"/>
          <w:numId w:val="4"/>
        </w:numPr>
        <w:ind w:left="720" w:hanging="360"/>
      </w:pPr>
      <w:r>
        <w:rPr>
          <w:rtl w:val="0"/>
        </w:rPr>
        <w:t>Special Character Set: !@#$%^&amp;*()_+-=[]{}|;':",./&lt;&gt;?</w:t>
      </w:r>
    </w:p>
    <w:p w14:paraId="0000004C">
      <w:pPr>
        <w:numPr>
          <w:ilvl w:val="0"/>
          <w:numId w:val="4"/>
        </w:numPr>
        <w:ind w:left="720" w:hanging="360"/>
      </w:pPr>
      <w:r>
        <w:rPr>
          <w:rtl w:val="0"/>
        </w:rPr>
        <w:t>Escaped HTML Blocks: &amp;lt;div class="test-container"&amp;gt;</w:t>
      </w:r>
    </w:p>
    <w:p w14:paraId="0000004D">
      <w:pPr>
        <w:numPr>
          <w:ilvl w:val="0"/>
          <w:numId w:val="4"/>
        </w:numPr>
        <w:ind w:left="720" w:hanging="360"/>
      </w:pPr>
      <w:r>
        <w:rPr>
          <w:rtl w:val="0"/>
        </w:rPr>
        <w:t>Repeated Whitespace Sequences: System     Overview     Test</w:t>
      </w:r>
    </w:p>
    <w:p w14:paraId="0000004E"/>
    <w:p w14:paraId="31434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test image</w:t>
      </w:r>
    </w:p>
    <w:p w14:paraId="73452D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color w:val="334155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3600" cy="3343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22142527">
      <w:pPr>
        <w:rPr>
          <w:rFonts w:hint="default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38A621FA-3707-DC4A-F6EA-B46A3D2B18BA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us Jakarta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ECF1"/>
    <w:multiLevelType w:val="multilevel"/>
    <w:tmpl w:val="BE3FECF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B7DBF8E"/>
    <w:multiLevelType w:val="multilevel"/>
    <w:tmpl w:val="FB7DBF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EFC0907"/>
    <w:multiLevelType w:val="multilevel"/>
    <w:tmpl w:val="FEFC090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F7FCC29"/>
    <w:multiLevelType w:val="multilevel"/>
    <w:tmpl w:val="FF7FCC2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9F9F80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00" w:lineRule="auto"/>
    </w:pPr>
    <w:rPr>
      <w:rFonts w:ascii="Inter" w:hAnsi="Inter" w:eastAsia="Inter" w:cs="Inter"/>
      <w:color w:val="334155"/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 w:line="276" w:lineRule="auto"/>
    </w:pPr>
    <w:rPr>
      <w:rFonts w:ascii="Plus Jakarta Sans" w:hAnsi="Plus Jakarta Sans" w:eastAsia="Plus Jakarta Sans" w:cs="Plus Jakarta Sans"/>
      <w:b/>
      <w:bCs/>
      <w:color w:val="0F172A"/>
      <w:sz w:val="36"/>
      <w:szCs w:val="36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 w:line="276" w:lineRule="auto"/>
    </w:pPr>
    <w:rPr>
      <w:rFonts w:ascii="Plus Jakarta Sans" w:hAnsi="Plus Jakarta Sans" w:eastAsia="Plus Jakarta Sans" w:cs="Plus Jakarta Sans"/>
      <w:b/>
      <w:bCs/>
      <w:color w:val="1E293B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 w:line="276" w:lineRule="auto"/>
    </w:pPr>
    <w:rPr>
      <w:rFonts w:ascii="Plus Jakarta Sans" w:hAnsi="Plus Jakarta Sans" w:eastAsia="Plus Jakarta Sans" w:cs="Plus Jakarta Sans"/>
      <w:b/>
      <w:bCs/>
      <w:color w:val="334155"/>
      <w:sz w:val="30"/>
      <w:szCs w:val="30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 w:line="276" w:lineRule="auto"/>
    </w:pPr>
    <w:rPr>
      <w:rFonts w:ascii="Plus Jakarta Sans" w:hAnsi="Plus Jakarta Sans" w:eastAsia="Plus Jakarta Sans" w:cs="Plus Jakarta Sans"/>
      <w:b/>
      <w:bCs/>
      <w:color w:val="475569"/>
      <w:sz w:val="28"/>
      <w:szCs w:val="28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 w:line="276" w:lineRule="auto"/>
    </w:pPr>
    <w:rPr>
      <w:rFonts w:ascii="Plus Jakarta Sans" w:hAnsi="Plus Jakarta Sans" w:eastAsia="Plus Jakarta Sans" w:cs="Plus Jakarta Sans"/>
      <w:b/>
      <w:bCs/>
      <w:color w:val="475569"/>
      <w:sz w:val="26"/>
      <w:szCs w:val="26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 w:line="276" w:lineRule="auto"/>
    </w:pPr>
    <w:rPr>
      <w:rFonts w:ascii="Plus Jakarta Sans" w:hAnsi="Plus Jakarta Sans" w:eastAsia="Plus Jakarta Sans" w:cs="Plus Jakarta Sans"/>
      <w:b/>
      <w:bCs/>
      <w:i/>
      <w:iCs/>
      <w:color w:val="64748B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 w:line="300" w:lineRule="auto"/>
    </w:pPr>
    <w:rPr>
      <w:rFonts w:ascii="Inter" w:hAnsi="Inter" w:eastAsia="Inter" w:cs="Inter"/>
      <w:color w:val="64748B"/>
      <w:sz w:val="26"/>
      <w:szCs w:val="26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 w:line="240" w:lineRule="auto"/>
    </w:pPr>
    <w:rPr>
      <w:rFonts w:ascii="Plus Jakarta Sans" w:hAnsi="Plus Jakarta Sans" w:eastAsia="Plus Jakarta Sans" w:cs="Plus Jakarta Sans"/>
      <w:b/>
      <w:bCs/>
      <w:color w:val="0F172A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Plus Jakarta Sans" w:hAnsi="Plus Jakarta Sans" w:eastAsia="Plus Jakarta Sans" w:cs="Plus Jakarta Sans"/>
        <w:b/>
        <w:bCs/>
        <w:i w:val="0"/>
        <w:iCs w:val="0"/>
        <w:color w:val="1E293B"/>
        <w:sz w:val="22"/>
        <w:szCs w:val="22"/>
      </w:rPr>
      <w:tcPr>
        <w:shd w:val="clear" w:color="auto" w:fill="F8FAFC"/>
        <w:vAlign w:val="center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2026-09-24T17:18:13Z</dcterms:created>
  <dc:creator>Data</dc:creator>
  <cp:lastModifiedBy>Isaac</cp:lastModifiedBy>
  <dcterms:modified xsi:type="dcterms:W3CDTF">2026-09-24T17:18:46Z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B4C39B247B89EA05F6EAB46A77463540_42</vt:lpwstr>
  </property>
</Properties>
</file>