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 baseflow from groundwater discharge rather than overland flow (A-NPDC 2022; Richardson 1994),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3,612 hectares (~8,900 acres) of</w:t>
      </w:r>
      <w:r>
        <w:t xml:space="preserve"> </w:t>
      </w:r>
      <w:r>
        <w:rPr>
          <w:iCs/>
          <w:i/>
        </w:rPr>
        <w:t xml:space="preserve">Zostera marina</w:t>
      </w:r>
      <w:r>
        <w:t xml:space="preserve"> </w:t>
      </w:r>
      <w:r>
        <w:t xml:space="preserve">eelgrass restored across South, Cobb, Spider Crab, and Hog Island Bays from more than 70 million seeds broadcast since 1999,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Zimmer-Faust et al.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2026-07-28T14:55:58Z</dcterms:created>
  <dcterms:modified xsi:type="dcterms:W3CDTF">2026-07-28T14:55:58Z</dcterms:modified>
</cp:coreProperties>
</file>

<file path=docProps/custom.xml><?xml version="1.0" encoding="utf-8"?>
<Properties xmlns="http://schemas.openxmlformats.org/officeDocument/2006/custom-properties" xmlns:vt="http://schemas.openxmlformats.org/officeDocument/2006/docPropsVTypes"/>
</file>