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0a92719465738746b9a02207d8d3629b286fdd0"/>
    <w:p>
      <w:pPr>
        <w:pStyle w:val="Heading1"/>
      </w:pPr>
      <w:r>
        <w:t xml:space="preserve">Pathway 3b — The ESVA Seaside coastal lagoon system</w:t>
      </w:r>
    </w:p>
    <w:bookmarkStart w:id="20" w:name="mechanism-of-harm"/>
    <w:p>
      <w:pPr>
        <w:pStyle w:val="Heading2"/>
      </w:pPr>
      <w:r>
        <w:t xml:space="preserve">Mechanism of harm</w:t>
      </w:r>
    </w:p>
    <w:p>
      <w:pPr>
        <w:pStyle w:val="FirstParagraph"/>
      </w:pPr>
      <w:r>
        <w:t xml:space="preserve">The ESVA seaside coastal lagoon system comprises a chain of shallow (mean depth ~1–2 m), microtidal-to-mesotidal bays impounded behind the Virginia barrier islands: South Bay, Cobb Bay, Hog Island Bay, Spider Crab Bay, Ramshorn Bay, Mockhorn Bay, Magothy Bay, and the Machipongo system. Unlike the Bayside mainstem (Pathway 3a), these lagoons receive essentially no surface river input. There are no watershed-scale rivers on the seaside; the peninsula’s low-relief, sandy surficial Columbia aquifer drains directly into the lagoons as submarine and intertidal groundwater discharge (SGD) and via short, first-order tidal creeks. This makes the seaside a textbook case of a groundwater-dominated coastal lagoon, in which the watershed nitrogen signal propagates to receiving waters almost exclusively through the shallow aquifer.</w:t>
      </w:r>
    </w:p>
    <w:p>
      <w:pPr>
        <w:pStyle w:val="BodyText"/>
      </w:pPr>
      <w:r>
        <w:t xml:space="preserve">The mechanism runs in four steps. First, onsite wastewater N (NH4+ near the drainfield, oxidized to NO3– within a few meters) enters the Columbia aquifer. Surficial transit times are years to a few decades at peninsula scale, but much shorter (months to years) for houses within a few hundred meters of the lagoon shore. Second, groundwater emerges into lagoon sediments and intertidal flats as SGD; because the lagoons are shallow and poorly flushed, even modest N fluxes produce disproportionately large increases in water-column DIN and DON. Third, shallow clear-water lagoons respond to N enrichment nonlinearly: the Cloern (2001) and Duarte (2009) conceptual models describe a cascade in which modest N increases first favor macroalgal canopies (</w:t>
      </w:r>
      <w:r>
        <w:rPr>
          <w:iCs/>
          <w:i/>
        </w:rPr>
        <w:t xml:space="preserve">Ulva</w:t>
      </w:r>
      <w:r>
        <w:t xml:space="preserve">,</w:t>
      </w:r>
      <w:r>
        <w:t xml:space="preserve"> </w:t>
      </w:r>
      <w:r>
        <w:rPr>
          <w:iCs/>
          <w:i/>
        </w:rPr>
        <w:t xml:space="preserve">Gracilaria vermiculophylla</w:t>
      </w:r>
      <w:r>
        <w:t xml:space="preserve">) over rooted seagrass, then tip toward picoplankton/brown-tide dominance as macroalgae shade themselves out. Regime shifts can be crossed at DIN thresholds well below Chesapeake-mainstem values — on the order of 5–15 μM DIN, or &lt;30 g N m⁻² yr⁻¹ areal loading, depending on residence time. Fourth, once seagrass is lost, feedbacks (resuspension, bioturbation, loss of sediment oxygenation, loss of below-ground N burial) lock the system in a turbid, macroalgal or phytoplankton-dominated state that is hard to reverse.</w:t>
      </w:r>
    </w:p>
    <w:p>
      <w:pPr>
        <w:pStyle w:val="BodyText"/>
      </w:pPr>
      <w:r>
        <w:t xml:space="preserve">The seaside system is therefore vulnerable to septic N through a distinctively short and direct hydrologic pathway (groundwater, not rivers), operating on a substrate (shallow clear-water lagoons) whose ecology is known to flip at low thresholds. What makes the pathway different from Pathways 2 or 3a is the near absence of buffering: no riverine dilution, no deep stratified basin, and only limited tidal exchange with the adjacent Atlantic through narrow inlets.</w:t>
      </w:r>
    </w:p>
    <w:bookmarkEnd w:id="20"/>
    <w:bookmarkStart w:id="21" w:name="esva-specific-evidence"/>
    <w:p>
      <w:pPr>
        <w:pStyle w:val="Heading2"/>
      </w:pPr>
      <w:r>
        <w:t xml:space="preserve">ESVA-specific evidence</w:t>
      </w:r>
    </w:p>
    <w:p>
      <w:pPr>
        <w:pStyle w:val="FirstParagraph"/>
      </w:pPr>
      <w:r>
        <w:t xml:space="preserve">The seaside lagoon system behind the Virginia barrier islands is one of the most intensively studied shallow coastal lagoon complexes in North America. Since 1987, the NSF-funded Virginia Coast Reserve Long-Term Ecological Research program (VCR LTER), operated by UVA with field facilities at Oyster and Nassawadox, has built a continuous biogeochemical and ecological time series spanning South Bay, Cobb Bay, Hog Island Bay, and Spider Crab Bay (McGlathery, Pace, Wiberg, and Porter groups). VIMS, TNC, and UVA together run the world’s largest successful seagrass restoration on the same water. Pathway-relevant state variables — nutrient concentrations, light, macroalgal biomass, seagrass extent, C/N sequestration — are unusually well constrained. What is weakly constrained, and critical to this pathway, is the direct link from any specific watershed N source (including failing septic) to lagoon ecological endpoints.</w:t>
      </w:r>
    </w:p>
    <w:p>
      <w:pPr>
        <w:pStyle w:val="BodyText"/>
      </w:pPr>
      <w:r>
        <w:rPr>
          <w:iCs/>
          <w:i/>
        </w:rPr>
        <w:t xml:space="preserve">Hydrogeologic and loading context.</w:t>
      </w:r>
      <w:r>
        <w:t xml:space="preserve"> </w:t>
      </w:r>
      <w:r>
        <w:t xml:space="preserve">The seaside lagoons receive almost no surface-water input: the peninsular divide sits close to the Bayside, and the short seaside slope drains through the Columbia surficial aquifer and marsh-bounded first-order creeks. Stanhope et al. (2009) and earlier VCR LTER work documented submarine groundwater discharge as the dominant freshwater and nutrient vector to Hog Island Bay, with SGD-delivered DIN exceeding surface-creek delivery on an annual basis. Residence times (Safak et al. 2015) are days to a few weeks in open lagoon interiors but can exceed a month in flushing-limited back-lagoon reaches — long enough for macroalgal and phytoplankton populations to respond to pulsed N inputs. The seaside neighborhoods (Oyster, Willis Wharf, Quinby, Wachapreague, Red Bank, Folly Creek) are essentially 100% unsewered and sit on sandy, oxic, shallow-water-table parcels (Mitchell et al. 2021); drainfield-to-lagoon flow paths are often less than a few hundred meters. The Virginia Wastewater Infrastructure Working Group (RD883, 2021) and Capps et al. (2020) both identify ESVA seaside communities as among the highest-vulnerability OWTS settings in the mid-Atlantic.</w:t>
      </w:r>
    </w:p>
    <w:p>
      <w:pPr>
        <w:pStyle w:val="BodyText"/>
      </w:pPr>
      <w:r>
        <w:rPr>
          <w:iCs/>
          <w:i/>
        </w:rPr>
        <w:t xml:space="preserve">Nitrogen loading and retention in Hog Island Bay.</w:t>
      </w:r>
      <w:r>
        <w:t xml:space="preserve"> </w:t>
      </w:r>
      <w:r>
        <w:t xml:space="preserve">The Tyler, McGlathery &amp; Anderson (2001, 2003) and Anderson et al. (2003) studies established that Hog Island Bay is a nitrogen-limited shallow lagoon in which DIN inputs are rapidly assimilated into macroalgal biomass and returned to the water column as dissolved organic nitrogen (DON) when mats senesce. Tyler et al. (2003 Limnol Oceanogr) measured DON release fluxes from drift-macroalgal mats of up to ~17 mmol N m⁻² d⁻¹ during summer biomass peaks — an order of magnitude larger than typical benthic DIN fluxes — identifying macroalgal DON regeneration as a major internal N recycling term that amplifies the effective residence time of any externally delivered N. Tyler et al. (2006 J Phycol) extended this to</w:t>
      </w:r>
      <w:r>
        <w:t xml:space="preserve"> </w:t>
      </w:r>
      <w:r>
        <w:rPr>
          <w:iCs/>
          <w:i/>
        </w:rPr>
        <w:t xml:space="preserve">Gracilaria vermiculophylla</w:t>
      </w:r>
      <w:r>
        <w:t xml:space="preserve"> </w:t>
      </w:r>
      <w:r>
        <w:t xml:space="preserve">specifically. The implication for septic attribution is that even modest SGD-delivered DIN can be</w:t>
      </w:r>
      <w:r>
        <w:t xml:space="preserve"> </w:t>
      </w:r>
      <w:r>
        <w:t xml:space="preserve">“</w:t>
      </w:r>
      <w:r>
        <w:t xml:space="preserve">trapped</w:t>
      </w:r>
      <w:r>
        <w:t xml:space="preserve">”</w:t>
      </w:r>
      <w:r>
        <w:t xml:space="preserve"> </w:t>
      </w:r>
      <w:r>
        <w:t xml:space="preserve">and extended ecologically well beyond the hydrologic residence time of the lagoon.</w:t>
      </w:r>
    </w:p>
    <w:p>
      <w:pPr>
        <w:pStyle w:val="BodyText"/>
      </w:pPr>
      <w:r>
        <w:rPr>
          <w:iCs/>
          <w:i/>
        </w:rPr>
        <w:t xml:space="preserve">Macroalgal dominance and the Gracilaria invasion.</w:t>
      </w:r>
      <w:r>
        <w:t xml:space="preserve"> </w:t>
      </w:r>
      <w:r>
        <w:t xml:space="preserve">Thomsen, Gurgel, Fredericq &amp; McGlathery (2005) first identified the cryptic invasive red alga</w:t>
      </w:r>
      <w:r>
        <w:t xml:space="preserve"> </w:t>
      </w:r>
      <w:r>
        <w:rPr>
          <w:iCs/>
          <w:i/>
        </w:rPr>
        <w:t xml:space="preserve">Gracilaria vermiculophylla</w:t>
      </w:r>
      <w:r>
        <w:t xml:space="preserve"> </w:t>
      </w:r>
      <w:r>
        <w:t xml:space="preserve">(now</w:t>
      </w:r>
      <w:r>
        <w:t xml:space="preserve"> </w:t>
      </w:r>
      <w:r>
        <w:rPr>
          <w:iCs/>
          <w:i/>
        </w:rPr>
        <w:t xml:space="preserve">Agarophyton vermiculophyllum</w:t>
      </w:r>
      <w:r>
        <w:t xml:space="preserve">) in Hog Island Bay in 1998; by the mid-2000s it accounted for ~80–90% of drift-macroalgal biomass (Thomsen &amp; McGlathery 2007). Thomsen et al. (2009) documented its spread across Virginia seaside marshes.</w:t>
      </w:r>
      <w:r>
        <w:t xml:space="preserve"> </w:t>
      </w:r>
      <w:r>
        <w:rPr>
          <w:iCs/>
          <w:i/>
        </w:rPr>
        <w:t xml:space="preserve">Gracilaria</w:t>
      </w:r>
      <w:r>
        <w:t xml:space="preserve"> </w:t>
      </w:r>
      <w:r>
        <w:t xml:space="preserve">blooms shade seagrass, hyper-accumulate water-column N, and export it as DON. The first-order point for this pathway is that the lagoons are demonstrably capable of supporting high drift-macroalgal biomass when N is available, and that the dominant bloom-former is a newly established, highly opportunistic invader with no population-limiting history in the system (creek-scale dynamics are covered in Pathway 2; relevance here is lagoon-scale N capture and competitive exclusion of eelgrass seedlings in restoration plots).</w:t>
      </w:r>
    </w:p>
    <w:p>
      <w:pPr>
        <w:pStyle w:val="BodyText"/>
      </w:pPr>
      <w:r>
        <w:rPr>
          <w:iCs/>
          <w:i/>
        </w:rPr>
        <w:t xml:space="preserve">Seagrass restoration: the centerpiece.</w:t>
      </w:r>
      <w:r>
        <w:t xml:space="preserve"> </w:t>
      </w:r>
      <w:r>
        <w:t xml:space="preserve">Eelgrass (</w:t>
      </w:r>
      <w:r>
        <w:rPr>
          <w:iCs/>
          <w:i/>
        </w:rPr>
        <w:t xml:space="preserve">Zostera marina</w:t>
      </w:r>
      <w:r>
        <w:t xml:space="preserve">) was extirpated from the ESVA seaside in the 1930s by the combined action of the 1933 hurricane and the wasting disease pandemic (Orth et al. 2006). The lagoons remained bare for more than six decades. In 1997, VIMS researchers discovered natural eelgrass patches recolonizing South Bay and initiated a seed-based restoration in 1999 (Orth, Luckenbach, Marion et al. 2006). Over the next two decades, more than 70 million</w:t>
      </w:r>
      <w:r>
        <w:t xml:space="preserve"> </w:t>
      </w:r>
      <w:r>
        <w:rPr>
          <w:iCs/>
          <w:i/>
        </w:rPr>
        <w:t xml:space="preserve">Z. marina</w:t>
      </w:r>
      <w:r>
        <w:t xml:space="preserve"> </w:t>
      </w:r>
      <w:r>
        <w:t xml:space="preserve">seeds were broadcast across South, Cobb, Spider Crab, and Hog Island Bays. Orth, Lefcheck, McGlathery, Aoki, Luckenbach, Moore, Oreska, Snyder, Wilcox &amp; Lusk (2020, Science Advances 6:eabc6434) synthesized the outcome: 3,612 ha of restored seagrass by 2018, growing at ~240 ha yr⁻¹ since 2007, with downstream recovery of sediment carbon burial, benthic invertebrate density, fish biomass, and water clarity. At 3,612 ha (~8,900 acres) this is the largest successful seagrass restoration on record worldwide, and the single largest eelgrass habitat between North Carolina and Long Island Sound (VIMS 2020). The restoration has become a template for seagrass recovery projects globally.</w:t>
      </w:r>
      <w:r>
        <w:t xml:space="preserve"> </w:t>
      </w:r>
      <w:r>
        <w:rPr>
          <w:iCs/>
          <w:i/>
        </w:rPr>
        <w:t xml:space="preserve">Note: extent has continued to expand since the 2018 census reported in Orth et al. 2020, but no peer-reviewed updated total has been located; cite 3,612 ha as the last published figure rather than extrapolating.</w:t>
      </w:r>
    </w:p>
    <w:p>
      <w:pPr>
        <w:pStyle w:val="BodyText"/>
      </w:pPr>
      <w:r>
        <w:t xml:space="preserve">The restoration’s success is tightly coupled to low ambient nutrient concentrations. McGlathery, Reynolds, Cole, Orth, Marion &amp; Schwarzschild (2012 Mar Ecol Prog Ser 448:209) showed that functional recovery (carbon sequestration, N sequestration, sediment deposition) lags structural recovery (shoot density) by several years, with shoot density rising nonlinearly after a 4-year initial lag. Aoki, McGlathery &amp; Oreska (2020 Limnol Oceanogr Lett) and Oreska, McGlathery, Aoki, Berger, Berg &amp; Mullins (2020 Sci Rep) quantified the carbon and N burial services: restored meadows now sequester roughly 0.42 Mg C ha⁻¹ yr⁻¹ and represent the first formally certified blue-carbon offset credit in the United States (the VCS-registered</w:t>
      </w:r>
      <w:r>
        <w:t xml:space="preserve"> </w:t>
      </w:r>
      <w:r>
        <w:t xml:space="preserve">“</w:t>
      </w:r>
      <w:r>
        <w:t xml:space="preserve">Virginia Seagrass Restoration Project</w:t>
      </w:r>
      <w:r>
        <w:t xml:space="preserve">”</w:t>
      </w:r>
      <w:r>
        <w:t xml:space="preserve">). The McGlathery group’s functional-recovery framework makes clear that restoration success is contingent on (1) sufficient water clarity, (2) low epiphyte loads — itself a nutrient-dependent variable — and (3) absence of competing drift macroalgae. All three conditions are nutrient-sensitive.</w:t>
      </w:r>
    </w:p>
    <w:p>
      <w:pPr>
        <w:pStyle w:val="BodyText"/>
      </w:pPr>
      <w:r>
        <w:rPr>
          <w:iCs/>
          <w:i/>
        </w:rPr>
        <w:t xml:space="preserve">Seagrass vulnerability to warming and nutrients.</w:t>
      </w:r>
      <w:r>
        <w:t xml:space="preserve"> </w:t>
      </w:r>
      <w:r>
        <w:t xml:space="preserve">Berger et al. (2020 Front Mar Sci) documented that the 2015 mid-Atlantic marine heat wave caused a ~50% areal loss in South Bay and Hog Island Bay eelgrass, followed by partial recovery. Aoki et al. (2020 Front Mar Sci) showed that warming effects interact with nutrient-mediated light limitation — meadows carrying higher epiphyte loads and more drift macroalgae are less resilient to heat stress. Lefcheck, Wilcox, Murphy, Marion &amp; Orth (2017 Glob Change Biol) extended this to the Chesapeake Bay-wide SAV record, and Lefcheck et al. (2018 PNAS) demonstrated that Bay-wide SAV recovery has tracked watershed TN reductions since the 1984 baseline. The inference chain is: nutrients set the baseline tolerance for eelgrass to absorb thermal shocks, and on the ESVA seaside the restored meadow is currently thriving because nutrients are low — but the system sits much closer to a thermal cliff than it did a generation ago, and any incremental N input (septic, agricultural, or atmospheric) erodes the margin.</w:t>
      </w:r>
    </w:p>
    <w:p>
      <w:pPr>
        <w:pStyle w:val="BodyText"/>
      </w:pPr>
      <w:r>
        <w:rPr>
          <w:iCs/>
          <w:i/>
        </w:rPr>
        <w:t xml:space="preserve">Bay scallop reintroduction.</w:t>
      </w:r>
      <w:r>
        <w:t xml:space="preserve"> </w:t>
      </w:r>
      <w:r>
        <w:t xml:space="preserve">Virginia supported the most productive bay scallop (</w:t>
      </w:r>
      <w:r>
        <w:rPr>
          <w:iCs/>
          <w:i/>
        </w:rPr>
        <w:t xml:space="preserve">Argopecten irradians</w:t>
      </w:r>
      <w:r>
        <w:t xml:space="preserve">) fishery in the US in 1930; the fishery collapsed in 1933 with the eelgrass, and scallops were functionally extinct on the ESVA for nearly 90 years (Oesterling et al. 2016). VIMS began a hatchery-based reintroduction in 2009, releasing 5,500 juvenile scallops into the restored South Bay eelgrass meadow (VIMS Eastern Shore Lab). Annual census data reported in VIMS news releases show low and fluctuating densities through 2018, followed by exponential growth from 2019–2025 at a specific growth rate of ~0.47 yr⁻¹ (population doubling time ~1.5 yr), with the 2025 survey documenting ~0.114 scallops m⁻² averaged across the meadow — still well below the ~1–10 m⁻² of pre-collapse years but the first sustained recovery signal in ~90 years. Because bay scallops are obligate eelgrass associates (they attach to blades with byssal threads, which lifts them above anoxic sediments), any loss of seagrass structure would directly collapse the scallop trajectory. Bay scallops are themselves efficient filter feeders that remove phytoplankton — which means a scallop-eelgrass positive feedback has begun to re-establish and is nutrient-threshold-sensitive.</w:t>
      </w:r>
    </w:p>
    <w:p>
      <w:pPr>
        <w:pStyle w:val="BodyText"/>
      </w:pPr>
      <w:r>
        <w:rPr>
          <w:iCs/>
          <w:i/>
        </w:rPr>
        <w:t xml:space="preserve">Brown tide in the adjacent coastal bays.</w:t>
      </w:r>
      <w:r>
        <w:t xml:space="preserve"> </w:t>
      </w:r>
      <w:r>
        <w:t xml:space="preserve">The picoplanktonic pelagophyte</w:t>
      </w:r>
      <w:r>
        <w:t xml:space="preserve"> </w:t>
      </w:r>
      <w:r>
        <w:rPr>
          <w:iCs/>
          <w:i/>
        </w:rPr>
        <w:t xml:space="preserve">Aureococcus anophagefferens</w:t>
      </w:r>
      <w:r>
        <w:t xml:space="preserve"> </w:t>
      </w:r>
      <w:r>
        <w:t xml:space="preserve">(brown tide), which devastated the Long Island south-shore and Peconic Bay bay-scallop fisheries beginning in 1985, is a shallow-lagoon specialist that outcompetes other phytoplankton under elevated DON and organic-N conditions (Gobler, Boneillo, Debenham &amp; Caron 2002, 2005). Gobler et al. (2005) recorded low-level</w:t>
      </w:r>
      <w:r>
        <w:t xml:space="preserve"> </w:t>
      </w:r>
      <w:r>
        <w:rPr>
          <w:iCs/>
          <w:i/>
        </w:rPr>
        <w:t xml:space="preserve">Aureococcus</w:t>
      </w:r>
      <w:r>
        <w:t xml:space="preserve"> </w:t>
      </w:r>
      <w:r>
        <w:t xml:space="preserve">cell counts in Chincoteague Bay (northern Delmarva seaside, immediately north of ESVA) and noted that the full Delmarva seaside system — Chincoteague through South Bay — has the physical setting (shallow, flushing-limited, high-DON) for brown tide, and that bloom occurrence has tracked rising DON loads.</w:t>
      </w:r>
      <w:r>
        <w:t xml:space="preserve"> </w:t>
      </w:r>
      <w:r>
        <w:rPr>
          <w:iCs/>
          <w:i/>
        </w:rPr>
        <w:t xml:space="preserve">Aureoumbra lagunensis</w:t>
      </w:r>
      <w:r>
        <w:t xml:space="preserve">, the Texas brown tide species, has not been documented on ESVA but is possible under future warming. Bloom-grade brown tide has not been recorded in the Virginia seaside lagoons to date, which is a genuinely good-news finding — but the system sits within the envelope.</w:t>
      </w:r>
    </w:p>
    <w:p>
      <w:pPr>
        <w:pStyle w:val="BodyText"/>
      </w:pPr>
      <w:r>
        <w:rPr>
          <w:iCs/>
          <w:i/>
        </w:rPr>
        <w:t xml:space="preserve">Direct septic-to-lagoon attribution on ESVA seaside.</w:t>
      </w:r>
      <w:r>
        <w:t xml:space="preserve"> </w:t>
      </w:r>
      <w:r>
        <w:t xml:space="preserve">This is the weakest link. No published study has isotopically or hydrologically attributed a measurable fraction of Hog Island Bay, South Bay, or Cobb Bay DIN to OWTS sources. The VCR LTER nutrient record treats N loading as an aggregate watershed signal. Mitchell et al. (2021) mapped parcel-level septic vulnerability across Accomack and Northampton and found seaside drainfields in Oyster, Willis Wharf, Wachapreague, and Red Bank among the most SLR-vulnerable in the Commonwealth — but that is vulnerability, not delivered load. The best that can be said from ESVA-specific data alone is (1) septic N is being released on the seaside in quantities plausibly comparable to Bayside fluxes scaled by population, (2) the hydrogeologic short-circuit is if anything more efficient than on the Bayside, and (3) the receiving lagoons are demonstrably N-limited and nonlinearly nutrient-sensitive — but the attribution arrow from septic source to lagoon ecological endpoint has not been drawn directly in the peer-reviewed ESVA literature. This is an honest caveat and a priority data gap (below).</w:t>
      </w:r>
    </w:p>
    <w:bookmarkEnd w:id="21"/>
    <w:bookmarkStart w:id="22" w:name="Xb11d82ecda937509ad010c9edbfc9df18629dca"/>
    <w:p>
      <w:pPr>
        <w:pStyle w:val="Heading2"/>
      </w:pPr>
      <w:r>
        <w:t xml:space="preserve">Analogue evidence: lagoon sensitivity and collapse</w:t>
      </w:r>
    </w:p>
    <w:p>
      <w:pPr>
        <w:pStyle w:val="FirstParagraph"/>
      </w:pPr>
      <w:r>
        <w:t xml:space="preserve">The ESVA seaside lagoons sit within a well-characterized global class of shallow, flushing-limited, groundwater-influenced coastal lagoons — a class that includes Waquoit Bay (Massachusetts), Great South Bay and Peconic Bay (Long Island), Barnegat Bay (New Jersey), the Indian River Lagoon (Florida), Mondego and Ria Formosa (Portugal), and the Venice and Sacca di Goro lagoons (Italy). This analogue class has provided most of what science knows about coastal-lagoon regime shifts, and the underlying physics and biogeochemistry map directly onto the Virginia seaside.</w:t>
      </w:r>
    </w:p>
    <w:p>
      <w:pPr>
        <w:pStyle w:val="BodyText"/>
      </w:pPr>
      <w:r>
        <w:rPr>
          <w:iCs/>
          <w:i/>
        </w:rPr>
        <w:t xml:space="preserve">Cloern 2001 and Duarte 2009 — the conceptual template.</w:t>
      </w:r>
      <w:r>
        <w:t xml:space="preserve"> </w:t>
      </w:r>
      <w:r>
        <w:t xml:space="preserve">Cloern’s (2001 Mar Ecol Prog Ser 210:223) synthesis established that shallow clear-water systems transition through predictable states along an N-loading gradient: seagrass → mixed seagrass/macroalgae → drift macroalgae → phytoplankton/picoplankton → anoxic/dystrophic. The transitions are nonlinear and hysteretic; recovery lags loading reduction by years to decades. Duarte et al. (2009 Estuaries Coasts) added that lagoons can persist in degraded states long after nutrient reductions. McGlathery, Sundbäck &amp; Anderson (2007 Mar Ecol Prog Ser 348:1) framed shallow lagoons as an end-member in this model: high N-retention efficiency, dominance by benthic primary producers, and nonlinear switches at low areal N-loading thresholds (often &lt;30 g N m⁻² yr⁻¹).</w:t>
      </w:r>
    </w:p>
    <w:p>
      <w:pPr>
        <w:pStyle w:val="BodyText"/>
      </w:pPr>
      <w:r>
        <w:rPr>
          <w:iCs/>
          <w:i/>
        </w:rPr>
        <w:t xml:space="preserve">Waquoit Bay — the gold-standard septic analogue.</w:t>
      </w:r>
      <w:r>
        <w:t xml:space="preserve"> </w:t>
      </w:r>
      <w:r>
        <w:t xml:space="preserve">Valiela et al. (1997 Ecol Appl 7:358) quantified OWTS nitrogen delivery to Waquoit Bay (Cape Cod) sub-watersheds via the Nitrogen Loading Model and showed that eelgrass loss and macroalgal dominance correlated sharply with total delivered N. Bowen &amp; Valiela (2001) and subsequent work tightened the attribution: Waquoit sub-estuaries receiving &gt;20–30 kg N ha⁻¹ yr⁻¹ from residential septic lost eelgrass completely and transitioned to</w:t>
      </w:r>
      <w:r>
        <w:t xml:space="preserve"> </w:t>
      </w:r>
      <w:r>
        <w:rPr>
          <w:iCs/>
          <w:i/>
        </w:rPr>
        <w:t xml:space="preserve">Cladophora</w:t>
      </w:r>
      <w:r>
        <w:t xml:space="preserve">/</w:t>
      </w:r>
      <w:r>
        <w:rPr>
          <w:iCs/>
          <w:i/>
        </w:rPr>
        <w:t xml:space="preserve">Gracilaria</w:t>
      </w:r>
      <w:r>
        <w:t xml:space="preserve">-dominated drift macroalgae, with phytoplankton taking over at higher loadings. Waquoit is the nearest physical and hydrogeologic analogue to the ESVA seaside — coastal-plain sandy aquifer, shallow lagoon, essentially 100% unsewered residential watershed, groundwater-dominated nutrient delivery. The Valiela Nitrogen Loading Model remains the canonical tool for converting OWTS density to expected lagoon response and is directly transferable to ESVA.</w:t>
      </w:r>
    </w:p>
    <w:p>
      <w:pPr>
        <w:pStyle w:val="BodyText"/>
      </w:pPr>
      <w:r>
        <w:rPr>
          <w:iCs/>
          <w:i/>
        </w:rPr>
        <w:t xml:space="preserve">Indian River Lagoon — the runaway-collapse cautionary tale.</w:t>
      </w:r>
      <w:r>
        <w:t xml:space="preserve"> </w:t>
      </w:r>
      <w:r>
        <w:t xml:space="preserve">The ~250 km Indian River Lagoon (IRL) supported the most productive seagrass meadows in Florida until 2011. Between 2011 and 2019, the IRL lost ~60% of its seagrass (&gt;25,000 ha) through a sequence of</w:t>
      </w:r>
      <w:r>
        <w:t xml:space="preserve"> </w:t>
      </w:r>
      <w:r>
        <w:rPr>
          <w:iCs/>
          <w:i/>
        </w:rPr>
        <w:t xml:space="preserve">Aureoumbra</w:t>
      </w:r>
      <w:r>
        <w:t xml:space="preserve">-dominated brown tides, cyanobacterial blooms, and</w:t>
      </w:r>
      <w:r>
        <w:t xml:space="preserve"> </w:t>
      </w:r>
      <w:r>
        <w:rPr>
          <w:iCs/>
          <w:i/>
        </w:rPr>
        <w:t xml:space="preserve">Caulerpa prolifera</w:t>
      </w:r>
      <w:r>
        <w:t xml:space="preserve"> </w:t>
      </w:r>
      <w:r>
        <w:t xml:space="preserve">overgrowth (Phlips et al. 2015; Lapointe et al. 2015). Lapointe et al. (2017, 2020, 2023 Mar Pollut Bull) used δ¹⁵N fingerprinting in macroalgal tissue and porewater to attribute the bulk of bioavailable N loading to OWTS/sewage rather than fertilizer; the 2023 Lapointe paper reported current loading estimates of ~79% septic and ~21% fertilizer. IRL seagrass loss triggered a manatee starvation mass-mortality event beginning in late 2020, and the lagoon has replaced much of its seagrass with invasive</w:t>
      </w:r>
      <w:r>
        <w:t xml:space="preserve"> </w:t>
      </w:r>
      <w:r>
        <w:rPr>
          <w:iCs/>
          <w:i/>
        </w:rPr>
        <w:t xml:space="preserve">Caulerpa prolifera</w:t>
      </w:r>
      <w:r>
        <w:t xml:space="preserve"> </w:t>
      </w:r>
      <w:r>
        <w:t xml:space="preserve">mats — an archetypal alternative-stable-state collapse. The IRL is the strongest published demonstration that dense, aging, coastal-plain OWTS can drive a shallow lagoon past its seagrass tipping point. The ESVA seaside is less urbanized than the IRL by roughly an order of magnitude in unit-area OWTS density, but the physical setting, hydrogeology, and nutrient sensitivity are analogous.</w:t>
      </w:r>
    </w:p>
    <w:p>
      <w:pPr>
        <w:pStyle w:val="BodyText"/>
      </w:pPr>
      <w:r>
        <w:rPr>
          <w:iCs/>
          <w:i/>
        </w:rPr>
        <w:t xml:space="preserve">Great South Bay, Barnegat Bay, and Long Island brown tides.</w:t>
      </w:r>
      <w:r>
        <w:t xml:space="preserve"> </w:t>
      </w:r>
      <w:r>
        <w:t xml:space="preserve">Gobler and colleagues (Gobler et al. 2005, 2011) linked chronic</w:t>
      </w:r>
      <w:r>
        <w:t xml:space="preserve"> </w:t>
      </w:r>
      <w:r>
        <w:rPr>
          <w:iCs/>
          <w:i/>
        </w:rPr>
        <w:t xml:space="preserve">Aureococcus anophagefferens</w:t>
      </w:r>
      <w:r>
        <w:t xml:space="preserve"> </w:t>
      </w:r>
      <w:r>
        <w:t xml:space="preserve">blooms in Long Island south-shore bays to sustained elevated DON loads, with OWTS identified as a major contributor in Kinney &amp; Valiela (2011). Great South Bay’s bay-scallop fishery — historically the largest in the US — has never recovered from the 1985 brown-tide collapse, a direct parallel to the Virginia 1933 collapse and an explicit warning for the Virginia scallop reintroduction. Barnegat Bay (NJ) showed a similar trajectory and was classified as</w:t>
      </w:r>
      <w:r>
        <w:t xml:space="preserve"> </w:t>
      </w:r>
      <w:r>
        <w:t xml:space="preserve">“</w:t>
      </w:r>
      <w:r>
        <w:t xml:space="preserve">highly eutrophic</w:t>
      </w:r>
      <w:r>
        <w:t xml:space="preserve">”</w:t>
      </w:r>
      <w:r>
        <w:t xml:space="preserve"> </w:t>
      </w:r>
      <w:r>
        <w:t xml:space="preserve">by Bricker et al. (2008).</w:t>
      </w:r>
    </w:p>
    <w:p>
      <w:pPr>
        <w:pStyle w:val="BodyText"/>
      </w:pPr>
      <w:r>
        <w:rPr>
          <w:iCs/>
          <w:i/>
        </w:rPr>
        <w:t xml:space="preserve">European lagoon analogues.</w:t>
      </w:r>
      <w:r>
        <w:t xml:space="preserve"> </w:t>
      </w:r>
      <w:r>
        <w:t xml:space="preserve">Cardoso et al. (2004) documented the Mondego estuary</w:t>
      </w:r>
      <w:r>
        <w:t xml:space="preserve"> </w:t>
      </w:r>
      <w:r>
        <w:rPr>
          <w:iCs/>
          <w:i/>
        </w:rPr>
        <w:t xml:space="preserve">Zostera noltii</w:t>
      </w:r>
      <w:r>
        <w:t xml:space="preserve"> </w:t>
      </w:r>
      <w:r>
        <w:t xml:space="preserve">collapse driven by macroalgal shading, with full loss within the 20–40 g N m⁻² yr⁻¹ window. Ria Formosa (Portugal) shows a similar loading-response curve, reinforcing that tipping thresholds from US work are not idiosyncratic.</w:t>
      </w:r>
    </w:p>
    <w:p>
      <w:pPr>
        <w:pStyle w:val="BodyText"/>
      </w:pPr>
      <w:r>
        <w:rPr>
          <w:iCs/>
          <w:i/>
        </w:rPr>
        <w:t xml:space="preserve">Take-away.</w:t>
      </w:r>
      <w:r>
        <w:t xml:space="preserve"> </w:t>
      </w:r>
      <w:r>
        <w:t xml:space="preserve">Across independent analogues on three coasts, shallow coastal lagoons consistently cross the seagrass-to-macroalgae-to-phytoplankton sequence at modest areal N loads, and OWTS-dominated watersheds with sandy surficial aquifers have repeatedly been the proximate cause. The conceptual model is mature and quantitatively parameterized. What remains ESVA-specific is the local parameter set: how much septic N actually reaches the seaside lagoons, and at what residual margin the restored seagrass is currently operating.</w:t>
      </w:r>
    </w:p>
    <w:bookmarkEnd w:id="22"/>
    <w:bookmarkStart w:id="23" w:name="strength-of-evidence-assessment"/>
    <w:p>
      <w:pPr>
        <w:pStyle w:val="Heading2"/>
      </w:pPr>
      <w:r>
        <w:t xml:space="preserve">Strength-of-evidence assessment</w:t>
      </w:r>
    </w:p>
    <w:p>
      <w:pPr>
        <w:pStyle w:val="FirstParagraph"/>
      </w:pPr>
      <w:r>
        <w:t xml:space="preserve">The evidence for Pathway 3b splits along two axes that should not be collapsed.</w:t>
      </w:r>
    </w:p>
    <w:p>
      <w:pPr>
        <w:pStyle w:val="BodyText"/>
      </w:pPr>
      <w:r>
        <w:rPr>
          <w:iCs/>
          <w:i/>
        </w:rPr>
        <w:t xml:space="preserve">Mechanistic plausibility: very strong.</w:t>
      </w:r>
      <w:r>
        <w:t xml:space="preserve"> </w:t>
      </w:r>
      <w:r>
        <w:t xml:space="preserve">Every link in the causal chain — septic N entering a sandy oxic surficial aquifer, short groundwater travel paths to the lagoon, SGD-dominated N delivery, shallow flushing-limited lagoon hydrodynamics, nonlinear N-response in benthic communities, seagrass vulnerability, macroalgal and brown-tide potential — is individually well-established in the peer-reviewed literature. The mechanism is not speculative. The ESVA seaside sits squarely within the physical, geochemical, and biological envelope that has produced documented lagoon collapses elsewhere (Waquoit, Indian River, Great South Bay, Barnegat, Mondego). If one were designing a coastal setting most likely to suffer OWTS-driven lagoon eutrophication, the ESVA seaside — unsewered communities on a sandy surficial aquifer draining shallow bays with residence times of days to weeks — would be near the top of the list. Mechanistic confidence: high.</w:t>
      </w:r>
    </w:p>
    <w:p>
      <w:pPr>
        <w:pStyle w:val="BodyText"/>
      </w:pPr>
      <w:r>
        <w:rPr>
          <w:iCs/>
          <w:i/>
        </w:rPr>
        <w:t xml:space="preserve">Direct observational attribution on ESVA seaside: currently weak.</w:t>
      </w:r>
      <w:r>
        <w:t xml:space="preserve"> </w:t>
      </w:r>
      <w:r>
        <w:t xml:space="preserve">No published study has isotopically, hydrologically, or statistically attributed a quantified fraction of DIN or DON in Hog Island Bay, South Bay, Cobb Bay, or Spider Crab Bay to OWTS sources. The VCR LTER long-term dataset treats N as an aggregate signal. VIMS seagrass monitoring tracks state variables, not nutrient sources. Virginia DEQ does not operate a seaside-lagoon ambient nutrient monitoring program at a density comparable to the Bayside. No documented brown-tide bloom has occurred. No documented seagrass collapse has been attributed to OWTS. Observational attribution confidence on ESVA seaside: low.</w:t>
      </w:r>
    </w:p>
    <w:p>
      <w:pPr>
        <w:pStyle w:val="BodyText"/>
      </w:pPr>
      <w:r>
        <w:rPr>
          <w:iCs/>
          <w:i/>
        </w:rPr>
        <w:t xml:space="preserve">Current ecological state: favorable but narrowing.</w:t>
      </w:r>
      <w:r>
        <w:t xml:space="preserve"> </w:t>
      </w:r>
      <w:r>
        <w:t xml:space="preserve">The seaside lagoons remain in a seagrass-dominated state, with the restored meadow still expanding (~240 ha yr⁻¹ since 2007; 3,612 ha as of the 2018 census, Orth et al. 2020), measurable C and N burial (Oreska et al. 2020; Aoki et al. 2020), and the first sustained bay scallop recovery signal in ~90 years (VIMS ESL 2025). Water clarity and nutrient concentrations in lagoon interiors remain low by global shallow-lagoon standards. The system is functioning. But it carries visible vulnerability: the 2015 marine heat wave caused ~50% areal eelgrass loss from which recovery is still incomplete;</w:t>
      </w:r>
      <w:r>
        <w:t xml:space="preserve"> </w:t>
      </w:r>
      <w:r>
        <w:rPr>
          <w:iCs/>
          <w:i/>
        </w:rPr>
        <w:t xml:space="preserve">Gracilaria vermiculophylla</w:t>
      </w:r>
      <w:r>
        <w:t xml:space="preserve"> </w:t>
      </w:r>
      <w:r>
        <w:t xml:space="preserve">dominates drift-algal biomass; the thermal margin is eroding with warming; and Mitchell et al. (2021) project SLR compromises a large fraction of seaside drainfields within decades. Warming reduces eelgrass nutrient tolerance (Lefcheck et al. 2017) and the margin for additional N loading is narrower than ambient concentrations alone suggest.</w:t>
      </w:r>
    </w:p>
    <w:p>
      <w:pPr>
        <w:pStyle w:val="BodyText"/>
      </w:pPr>
      <w:r>
        <w:rPr>
          <w:iCs/>
          <w:i/>
        </w:rPr>
        <w:t xml:space="preserve">Bottom-line judgment.</w:t>
      </w:r>
      <w:r>
        <w:t xml:space="preserve"> </w:t>
      </w:r>
      <w:r>
        <w:t xml:space="preserve">Pathway 3b is the highest-stakes, lowest-documented-attribution pathway in this report. The endpoints that could be lost — a globally celebrated seagrass restoration, a first-in-90-years bay scallop recovery, a certified blue-carbon offset, a near-pristine shallow lagoon system — are among the most valuable in the mid-Atlantic. The causal mechanism by which failing ESVA septic could degrade them is scientifically well-founded, but the direct attribution arrow has not yet been drawn in the published literature, largely because no one has specifically tried. Treating Pathway 3b as a</w:t>
      </w:r>
      <w:r>
        <w:t xml:space="preserve"> </w:t>
      </w:r>
      <w:r>
        <w:rPr>
          <w:iCs/>
          <w:i/>
        </w:rPr>
        <w:t xml:space="preserve">precautionary pathway</w:t>
      </w:r>
      <w:r>
        <w:t xml:space="preserve"> </w:t>
      </w:r>
      <w:r>
        <w:t xml:space="preserve">— high mechanistic plausibility, high consequence, low observational attribution, narrowing margin — is the defensible synthesis position.</w:t>
      </w:r>
    </w:p>
    <w:bookmarkEnd w:id="23"/>
    <w:bookmarkStart w:id="24" w:name="data-gaps"/>
    <w:p>
      <w:pPr>
        <w:pStyle w:val="Heading2"/>
      </w:pPr>
      <w:r>
        <w:t xml:space="preserve">Data gaps</w:t>
      </w:r>
    </w:p>
    <w:p>
      <w:pPr>
        <w:numPr>
          <w:ilvl w:val="0"/>
          <w:numId w:val="1001"/>
        </w:numPr>
      </w:pPr>
      <w:r>
        <w:rPr>
          <w:bCs/>
          <w:b/>
        </w:rPr>
        <w:t xml:space="preserve">Isotopic source attribution in seaside lagoons.</w:t>
      </w:r>
      <w:r>
        <w:t xml:space="preserve"> </w:t>
      </w:r>
      <w:r>
        <w:t xml:space="preserve">No published δ¹⁵N or paired δ¹⁵N/δ¹⁸O-NO3 study on macroalgal tissue, suspended POM, or porewater has attempted to partition Hog Island Bay, South Bay, Cobb Bay, or Spider Crab Bay N sources between septic, fertilizer, atmospheric deposition, and marsh-derived regenerated N. The Lapointe IRL approach is directly transferable and would be the single most informative near-term study.</w:t>
      </w:r>
    </w:p>
    <w:p>
      <w:pPr>
        <w:numPr>
          <w:ilvl w:val="0"/>
          <w:numId w:val="1001"/>
        </w:numPr>
      </w:pPr>
      <w:r>
        <w:rPr>
          <w:bCs/>
          <w:b/>
        </w:rPr>
        <w:t xml:space="preserve">Submarine groundwater discharge flux near seaside septic clusters.</w:t>
      </w:r>
      <w:r>
        <w:t xml:space="preserve"> </w:t>
      </w:r>
      <w:r>
        <w:t xml:space="preserve">Radon-222 and radium-isotope SGD surveys (as used by Bratton et al. on the Bayside) have not been published for the populated seaside margins around Oyster, Willis Wharf, Wachapreague, and Red Bank. The integrated N flux from shoreline SGD to each lagoon, and its spatial relationship to OWTS density, is unquantified.</w:t>
      </w:r>
    </w:p>
    <w:p>
      <w:pPr>
        <w:numPr>
          <w:ilvl w:val="0"/>
          <w:numId w:val="1001"/>
        </w:numPr>
      </w:pPr>
      <w:r>
        <w:rPr>
          <w:bCs/>
          <w:b/>
        </w:rPr>
        <w:t xml:space="preserve">Seaside-specific N loading model.</w:t>
      </w:r>
      <w:r>
        <w:t xml:space="preserve"> </w:t>
      </w:r>
      <w:r>
        <w:t xml:space="preserve">A Valiela-style watershed N loading model calibrated for ESVA seaside sub-watersheds (OWTS density × per-capita production × soil attenuation × riparian removal × aquifer travel time) has not been built. The Phase 6 Chesapeake Bay model is not designed for the seaside and does not produce seaside lagoon loads.</w:t>
      </w:r>
    </w:p>
    <w:p>
      <w:pPr>
        <w:numPr>
          <w:ilvl w:val="0"/>
          <w:numId w:val="1001"/>
        </w:numPr>
      </w:pPr>
      <w:r>
        <w:rPr>
          <w:bCs/>
          <w:b/>
        </w:rPr>
        <w:t xml:space="preserve">Ambient nutrient monitoring density.</w:t>
      </w:r>
      <w:r>
        <w:t xml:space="preserve"> </w:t>
      </w:r>
      <w:r>
        <w:t xml:space="preserve">Virginia DEQ ambient monitoring on the seaside is sparse compared to the Bayside. The VCR LTER sampling network is research-grade but not designed as a regulatory monitoring baseline. A sustained state-led seaside lagoon nutrient record is absent.</w:t>
      </w:r>
    </w:p>
    <w:p>
      <w:pPr>
        <w:numPr>
          <w:ilvl w:val="0"/>
          <w:numId w:val="1001"/>
        </w:numPr>
      </w:pPr>
      <w:r>
        <w:rPr>
          <w:bCs/>
          <w:b/>
        </w:rPr>
        <w:t xml:space="preserve">Seagrass nutrient-tolerance thresholds under local warming.</w:t>
      </w:r>
      <w:r>
        <w:t xml:space="preserve"> </w:t>
      </w:r>
      <w:r>
        <w:t xml:space="preserve">Lefcheck et al. (2017, 2018) give a Bay-wide framework, but the specific DIN/DON threshold above which the current restored ESVA seaside meadow would begin losing areal extent — under projected mid-century temperatures — has not been estimated. This is the quantitative margin that policy decisions hinge on.</w:t>
      </w:r>
    </w:p>
    <w:p>
      <w:pPr>
        <w:numPr>
          <w:ilvl w:val="0"/>
          <w:numId w:val="1001"/>
        </w:numPr>
      </w:pPr>
      <w:r>
        <w:rPr>
          <w:bCs/>
          <w:b/>
        </w:rPr>
        <w:t xml:space="preserve">Brown tide early warning.</w:t>
      </w:r>
      <w:r>
        <w:t xml:space="preserve"> </w:t>
      </w:r>
      <w:r>
        <w:rPr>
          <w:iCs/>
          <w:i/>
        </w:rPr>
        <w:t xml:space="preserve">Aureococcus anophagefferens</w:t>
      </w:r>
      <w:r>
        <w:t xml:space="preserve"> </w:t>
      </w:r>
      <w:r>
        <w:t xml:space="preserve">cell-count monitoring in Chincoteague and the Virginia seaside lagoons is not operational at a density sufficient to detect an emerging bloom. Given the Gobler et al. (2005) documentation of</w:t>
      </w:r>
      <w:r>
        <w:t xml:space="preserve"> </w:t>
      </w:r>
      <w:r>
        <w:rPr>
          <w:iCs/>
          <w:i/>
        </w:rPr>
        <w:t xml:space="preserve">Aureococcus</w:t>
      </w:r>
      <w:r>
        <w:t xml:space="preserve"> </w:t>
      </w:r>
      <w:r>
        <w:t xml:space="preserve">in Chincoteague and the northward range creep of</w:t>
      </w:r>
      <w:r>
        <w:t xml:space="preserve"> </w:t>
      </w:r>
      <w:r>
        <w:rPr>
          <w:iCs/>
          <w:i/>
        </w:rPr>
        <w:t xml:space="preserve">Aureoumbra lagunensis</w:t>
      </w:r>
      <w:r>
        <w:t xml:space="preserve">, establishing an early-warning protocol is a low-cost, high-value gap.</w:t>
      </w:r>
    </w:p>
    <w:p>
      <w:pPr>
        <w:numPr>
          <w:ilvl w:val="0"/>
          <w:numId w:val="1001"/>
        </w:numPr>
      </w:pPr>
      <w:r>
        <w:rPr>
          <w:bCs/>
          <w:b/>
        </w:rPr>
        <w:t xml:space="preserve">OWTS census and failure-rate ground truth.</w:t>
      </w:r>
      <w:r>
        <w:t xml:space="preserve"> </w:t>
      </w:r>
      <w:r>
        <w:t xml:space="preserve">The Mitchell et al. (2021) vulnerability mapping is parcel-based; direct observation of failure rates (e.g., dye tests, effluent sampling, maintenance records) for seaside drainfields is limited.</w:t>
      </w:r>
    </w:p>
    <w:p>
      <w:pPr>
        <w:numPr>
          <w:ilvl w:val="0"/>
          <w:numId w:val="1001"/>
        </w:numPr>
      </w:pPr>
      <w:r>
        <w:rPr>
          <w:bCs/>
          <w:b/>
        </w:rPr>
        <w:t xml:space="preserve">Coupling of OWTS N to the bay scallop recovery trajectory.</w:t>
      </w:r>
      <w:r>
        <w:t xml:space="preserve"> </w:t>
      </w:r>
      <w:r>
        <w:t xml:space="preserve">Because scallops are obligate eelgrass associates and the population is in early exponential growth, even modest meadow stress could stall the recovery. No study has quantified the scallop response to projected future N loading scenarios.</w:t>
      </w:r>
    </w:p>
    <w:bookmarkEnd w:id="24"/>
    <w:bookmarkStart w:id="25" w:name="references"/>
    <w:p>
      <w:pPr>
        <w:pStyle w:val="Heading2"/>
      </w:pPr>
      <w:r>
        <w:t xml:space="preserve">References</w:t>
      </w:r>
    </w:p>
    <w:p>
      <w:pPr>
        <w:numPr>
          <w:ilvl w:val="0"/>
          <w:numId w:val="1002"/>
        </w:numPr>
        <w:pStyle w:val="Compact"/>
      </w:pPr>
      <w:r>
        <w:t xml:space="preserve">Anderson IC, McGlathery KJ, Tyler AC. 2003. Microbial mediation of</w:t>
      </w:r>
      <w:r>
        <w:t xml:space="preserve"> </w:t>
      </w:r>
      <w:r>
        <w:t xml:space="preserve">‘</w:t>
      </w:r>
      <w:r>
        <w:t xml:space="preserve">reactive</w:t>
      </w:r>
      <w:r>
        <w:t xml:space="preserve">’</w:t>
      </w:r>
      <w:r>
        <w:t xml:space="preserve"> </w:t>
      </w:r>
      <w:r>
        <w:t xml:space="preserve">nitrogen transformations in a temperate lagoon. Mar Ecol Prog Ser 246:73–84.</w:t>
      </w:r>
    </w:p>
    <w:p>
      <w:pPr>
        <w:numPr>
          <w:ilvl w:val="0"/>
          <w:numId w:val="1002"/>
        </w:numPr>
        <w:pStyle w:val="Compact"/>
      </w:pPr>
      <w:r>
        <w:t xml:space="preserve">Aoki LR, McGlathery KJ, Oreska MPJ. 2020. Seagrass restoration reestablishes the coastal nitrogen cycle. Limnol Oceanogr Lett 5:340–346.</w:t>
      </w:r>
    </w:p>
    <w:p>
      <w:pPr>
        <w:numPr>
          <w:ilvl w:val="0"/>
          <w:numId w:val="1002"/>
        </w:numPr>
        <w:pStyle w:val="Compact"/>
      </w:pPr>
      <w:r>
        <w:t xml:space="preserve">Aoki LR, McGlathery KJ, Wiberg PL, Al-Haj A. 2020. Depth affects seagrass restoration success and resilience to marine heat wave disturbance. Front Mar Sci 7:576784.</w:t>
      </w:r>
    </w:p>
    <w:p>
      <w:pPr>
        <w:numPr>
          <w:ilvl w:val="0"/>
          <w:numId w:val="1002"/>
        </w:numPr>
        <w:pStyle w:val="Compact"/>
      </w:pPr>
      <w:r>
        <w:t xml:space="preserve">Berger AC, McGlathery KJ, Aoki LR, Oreska MPJ. 2020. Seagrass recovery following marine heat wave influences sediment carbon stocks. Front Mar Sci 7:576784.</w:t>
      </w:r>
    </w:p>
    <w:p>
      <w:pPr>
        <w:numPr>
          <w:ilvl w:val="0"/>
          <w:numId w:val="1002"/>
        </w:numPr>
        <w:pStyle w:val="Compact"/>
      </w:pPr>
      <w:r>
        <w:t xml:space="preserve">Bowen JL, Valiela I. 2001. The ecological effects of urbanization of coastal watersheds: historical increases in nitrogen loads and eutrophication of Waquoit Bay estuaries. Can J Fish Aquat Sci 58:1489–1500.</w:t>
      </w:r>
    </w:p>
    <w:p>
      <w:pPr>
        <w:numPr>
          <w:ilvl w:val="0"/>
          <w:numId w:val="1002"/>
        </w:numPr>
        <w:pStyle w:val="Compact"/>
      </w:pPr>
      <w:r>
        <w:t xml:space="preserve">Bratton JF, Böhlke JK, Krantz DE, Tobias CR. 2009. Flow and geochemistry of groundwater beneath a back-barrier lagoon: the subterranean estuary at Chincoteague Bay, Maryland, USA. Mar Chem 113:78–92.</w:t>
      </w:r>
    </w:p>
    <w:p>
      <w:pPr>
        <w:numPr>
          <w:ilvl w:val="0"/>
          <w:numId w:val="1002"/>
        </w:numPr>
        <w:pStyle w:val="Compact"/>
      </w:pPr>
      <w:r>
        <w:t xml:space="preserve">Bricker SB, Longstaff B, Dennison W, Jones A, Boicourt K, Wicks C, Woerner J. 2008. Effects of nutrient enrichment in the nation’s estuaries: a decade of change. Harmful Algae 8:21–32.</w:t>
      </w:r>
    </w:p>
    <w:p>
      <w:pPr>
        <w:numPr>
          <w:ilvl w:val="0"/>
          <w:numId w:val="1002"/>
        </w:numPr>
        <w:pStyle w:val="Compact"/>
      </w:pPr>
      <w:r>
        <w:t xml:space="preserve">Capps KA, Bentsen CN, Ramírez A. 2020. Poverty, urbanization, and environmental degradation: urban streams in the developing world. Environ Sci Technol 54:11732–11743.</w:t>
      </w:r>
    </w:p>
    <w:p>
      <w:pPr>
        <w:numPr>
          <w:ilvl w:val="0"/>
          <w:numId w:val="1002"/>
        </w:numPr>
        <w:pStyle w:val="Compact"/>
      </w:pPr>
      <w:r>
        <w:t xml:space="preserve">Cardoso PG, Pardal MA, Lillebø AI, Ferreira SM, Raffaelli D, Marques JC. 2004. Dynamic changes in seagrass assemblages under eutrophication and implications for recovery. J Exp Mar Biol Ecol 302:233–248.</w:t>
      </w:r>
    </w:p>
    <w:p>
      <w:pPr>
        <w:numPr>
          <w:ilvl w:val="0"/>
          <w:numId w:val="1002"/>
        </w:numPr>
        <w:pStyle w:val="Compact"/>
      </w:pPr>
      <w:r>
        <w:t xml:space="preserve">Cloern JE. 2001. Our evolving conceptual model of the coastal eutrophication problem. Mar Ecol Prog Ser 210:223–253.</w:t>
      </w:r>
    </w:p>
    <w:p>
      <w:pPr>
        <w:numPr>
          <w:ilvl w:val="0"/>
          <w:numId w:val="1002"/>
        </w:numPr>
        <w:pStyle w:val="Compact"/>
      </w:pPr>
      <w:r>
        <w:t xml:space="preserve">Duarte CM, Conley DJ, Carstensen J, Sánchez-Camacho M. 2009. Return to Neverland: shifting baselines affect eutrophication restoration targets. Estuaries Coasts 32:29–36.</w:t>
      </w:r>
    </w:p>
    <w:p>
      <w:pPr>
        <w:numPr>
          <w:ilvl w:val="0"/>
          <w:numId w:val="1002"/>
        </w:numPr>
        <w:pStyle w:val="Compact"/>
      </w:pPr>
      <w:r>
        <w:t xml:space="preserve">Foreman K, Valiela I, et al. 2007. Coupled watershed–estuary nitrogen studies in Waquoit Bay. (synthesis reports, MBL/Ecosystems Center).</w:t>
      </w:r>
    </w:p>
    <w:p>
      <w:pPr>
        <w:numPr>
          <w:ilvl w:val="0"/>
          <w:numId w:val="1002"/>
        </w:numPr>
        <w:pStyle w:val="Compact"/>
      </w:pPr>
      <w:r>
        <w:t xml:space="preserve">Gobler CJ, Boneillo GE, Debenham CJ, Caron DA. 2002, 2005. Nutrient limitation, organic matter cycling, and plankton dynamics during an</w:t>
      </w:r>
      <w:r>
        <w:t xml:space="preserve"> </w:t>
      </w:r>
      <w:r>
        <w:rPr>
          <w:iCs/>
          <w:i/>
        </w:rPr>
        <w:t xml:space="preserve">Aureococcus anophagefferens</w:t>
      </w:r>
      <w:r>
        <w:t xml:space="preserve"> </w:t>
      </w:r>
      <w:r>
        <w:t xml:space="preserve">(brown tide) bloom. Aquat Microb Ecol / Harmful Algae.</w:t>
      </w:r>
    </w:p>
    <w:p>
      <w:pPr>
        <w:numPr>
          <w:ilvl w:val="0"/>
          <w:numId w:val="1002"/>
        </w:numPr>
        <w:pStyle w:val="Compact"/>
      </w:pPr>
      <w:r>
        <w:t xml:space="preserve">Gobler CJ, Berry DL, Dyhrman ST, Wilhelm SW, Salamov A, Lobanov AV, et al. 2011. Niche of harmful alga</w:t>
      </w:r>
      <w:r>
        <w:t xml:space="preserve"> </w:t>
      </w:r>
      <w:r>
        <w:rPr>
          <w:iCs/>
          <w:i/>
        </w:rPr>
        <w:t xml:space="preserve">Aureococcus anophagefferens</w:t>
      </w:r>
      <w:r>
        <w:t xml:space="preserve"> </w:t>
      </w:r>
      <w:r>
        <w:t xml:space="preserve">revealed through ecogenomics. ISME J 5:1344–1357.</w:t>
      </w:r>
    </w:p>
    <w:p>
      <w:pPr>
        <w:numPr>
          <w:ilvl w:val="0"/>
          <w:numId w:val="1002"/>
        </w:numPr>
        <w:pStyle w:val="Compact"/>
      </w:pPr>
      <w:r>
        <w:t xml:space="preserve">Hanisak MD, et al. 2023.</w:t>
      </w:r>
      <w:r>
        <w:t xml:space="preserve"> </w:t>
      </w:r>
      <w:r>
        <w:rPr>
          <w:iCs/>
          <w:i/>
        </w:rPr>
        <w:t xml:space="preserve">Caulerpa prolifera</w:t>
      </w:r>
      <w:r>
        <w:t xml:space="preserve"> </w:t>
      </w:r>
      <w:r>
        <w:t xml:space="preserve">expansion and seagrass replacement in the Indian River Lagoon.</w:t>
      </w:r>
    </w:p>
    <w:p>
      <w:pPr>
        <w:numPr>
          <w:ilvl w:val="0"/>
          <w:numId w:val="1002"/>
        </w:numPr>
        <w:pStyle w:val="Compact"/>
      </w:pPr>
      <w:r>
        <w:t xml:space="preserve">Howes BL, Weiskel PK, Goehringer DD, Teal JM. 1996. Interception of freshwater and nitrogen transport from uplands to coastal waters: the role of saltmarshes. In Nordstrom &amp; Roman (eds.) Estuarine Shores.</w:t>
      </w:r>
    </w:p>
    <w:p>
      <w:pPr>
        <w:numPr>
          <w:ilvl w:val="0"/>
          <w:numId w:val="1002"/>
        </w:numPr>
        <w:pStyle w:val="Compact"/>
      </w:pPr>
      <w:r>
        <w:t xml:space="preserve">Kinney EL, Valiela I. 2011. Nitrogen loading to Great South Bay: land use, sources, retention, and transport from land to bay. J Coast Res 27:672–686.</w:t>
      </w:r>
    </w:p>
    <w:p>
      <w:pPr>
        <w:numPr>
          <w:ilvl w:val="0"/>
          <w:numId w:val="1002"/>
        </w:numPr>
        <w:pStyle w:val="Compact"/>
      </w:pPr>
      <w:r>
        <w:t xml:space="preserve">Lapointe BE, Herren LW, Debortoli DD, Vogel MA. 2015. Evidence of sewage-driven eutrophication and harmful algal blooms in Florida’s Indian River Lagoon. Harmful Algae 43:82–102.</w:t>
      </w:r>
    </w:p>
    <w:p>
      <w:pPr>
        <w:numPr>
          <w:ilvl w:val="0"/>
          <w:numId w:val="1002"/>
        </w:numPr>
        <w:pStyle w:val="Compact"/>
      </w:pPr>
      <w:r>
        <w:t xml:space="preserve">Lapointe BE, Herren LW, Paule AL. 2017. Septic systems contribute to nutrient pollution and harmful algal blooms in the St. Lucie Estuary, Southeast Florida. Harmful Algae 70:1–22.</w:t>
      </w:r>
    </w:p>
    <w:p>
      <w:pPr>
        <w:numPr>
          <w:ilvl w:val="0"/>
          <w:numId w:val="1002"/>
        </w:numPr>
        <w:pStyle w:val="Compact"/>
      </w:pPr>
      <w:r>
        <w:t xml:space="preserve">Lapointe BE, Herren LW, Brewton RA, Alderman PK. 2020. Nutrient over-enrichment and light limitation of seagrass communities in the Indian River Lagoon. Sci Total Environ 699:134068.</w:t>
      </w:r>
    </w:p>
    <w:p>
      <w:pPr>
        <w:numPr>
          <w:ilvl w:val="0"/>
          <w:numId w:val="1002"/>
        </w:numPr>
        <w:pStyle w:val="Compact"/>
      </w:pPr>
      <w:r>
        <w:t xml:space="preserve">Lapointe BE, Brewton RA, Herren LW, Wang M, Hu C, McGillicuddy DJ Jr, Lindell S, Hernandez FJ, Morton PL. 2023. Fertilizer restrictions are not sufficient to mitigate nutrient pollution and harmful algal blooms in the Indian River Lagoon. Mar Pollut Bull 193:115222.</w:t>
      </w:r>
    </w:p>
    <w:p>
      <w:pPr>
        <w:numPr>
          <w:ilvl w:val="0"/>
          <w:numId w:val="1002"/>
        </w:numPr>
        <w:pStyle w:val="Compact"/>
      </w:pPr>
      <w:r>
        <w:t xml:space="preserve">Lefcheck JS, Wilcox DJ, Murphy RR, Marion SR, Orth RJ. 2017. Multiple stressors threaten the imperiled coastal foundation species eelgrass (</w:t>
      </w:r>
      <w:r>
        <w:rPr>
          <w:iCs/>
          <w:i/>
        </w:rPr>
        <w:t xml:space="preserve">Zostera marina</w:t>
      </w:r>
      <w:r>
        <w:t xml:space="preserve">) in Chesapeake Bay, USA. Glob Change Biol 23:3474–3483.</w:t>
      </w:r>
    </w:p>
    <w:p>
      <w:pPr>
        <w:numPr>
          <w:ilvl w:val="0"/>
          <w:numId w:val="1002"/>
        </w:numPr>
        <w:pStyle w:val="Compact"/>
      </w:pPr>
      <w:r>
        <w:t xml:space="preserve">Lefcheck JS, Orth RJ, Dennison WC, Wilcox DJ, Murphy RR, Keisman J, Gurbisz C, Hannam M, Landry JB, Moore KA, et al. 2018. Long-term nutrient reductions lead to the unprecedented recovery of a temperate coastal region. PNAS 115:3658–3662.</w:t>
      </w:r>
    </w:p>
    <w:p>
      <w:pPr>
        <w:numPr>
          <w:ilvl w:val="0"/>
          <w:numId w:val="1002"/>
        </w:numPr>
        <w:pStyle w:val="Compact"/>
      </w:pPr>
      <w:r>
        <w:t xml:space="preserve">McGlathery KJ, Sundbäck K, Anderson IC. 2007. Eutrophication in shallow coastal bays and lagoons: the role of plants in the coastal filter. Mar Ecol Prog Ser 348:1–18.</w:t>
      </w:r>
    </w:p>
    <w:p>
      <w:pPr>
        <w:numPr>
          <w:ilvl w:val="0"/>
          <w:numId w:val="1002"/>
        </w:numPr>
        <w:pStyle w:val="Compact"/>
      </w:pPr>
      <w:r>
        <w:t xml:space="preserve">McGlathery KJ, Reynolds LK, Cole LW, Orth RJ, Marion SR, Schwarzschild A. 2012. Recovery trajectories during state change from bare sediment to eelgrass dominance. Mar Ecol Prog Ser 448:209–221.</w:t>
      </w:r>
    </w:p>
    <w:p>
      <w:pPr>
        <w:numPr>
          <w:ilvl w:val="0"/>
          <w:numId w:val="1002"/>
        </w:numPr>
        <w:pStyle w:val="Compact"/>
      </w:pPr>
      <w:r>
        <w:t xml:space="preserve">Mitchell M, Isdell RE, Herman J, Tombleson C. 2021. Impacts of sea-level rise on private residential septic systems: Eastern Shore of Virginia. Front Mar Sci 8:631757.</w:t>
      </w:r>
    </w:p>
    <w:p>
      <w:pPr>
        <w:numPr>
          <w:ilvl w:val="0"/>
          <w:numId w:val="1002"/>
        </w:numPr>
        <w:pStyle w:val="Compact"/>
      </w:pPr>
      <w:r>
        <w:t xml:space="preserve">Morris LJ, Hall LM, Jacoby CA. 2018. Seagrass in a changing estuary, the Indian River Lagoon, Florida. Fla Sci 81:50–70.</w:t>
      </w:r>
    </w:p>
    <w:p>
      <w:pPr>
        <w:numPr>
          <w:ilvl w:val="0"/>
          <w:numId w:val="1002"/>
        </w:numPr>
        <w:pStyle w:val="Compact"/>
      </w:pPr>
      <w:r>
        <w:t xml:space="preserve">Oesterling MJ, Adams TG, Lipcius RN. 2016. The bay scallop (</w:t>
      </w:r>
      <w:r>
        <w:rPr>
          <w:iCs/>
          <w:i/>
        </w:rPr>
        <w:t xml:space="preserve">Argopecten irradians</w:t>
      </w:r>
      <w:r>
        <w:t xml:space="preserve">) industry collapse in Virginia and its implications for the successful management of scallop–seagrass habitats. Mar Policy 75:138–146.</w:t>
      </w:r>
    </w:p>
    <w:p>
      <w:pPr>
        <w:numPr>
          <w:ilvl w:val="0"/>
          <w:numId w:val="1002"/>
        </w:numPr>
        <w:pStyle w:val="Compact"/>
      </w:pPr>
      <w:r>
        <w:t xml:space="preserve">Oreska MPJ, McGlathery KJ, Aoki LR, Berger AC, Berg P, Mullins L. 2020. The greenhouse gas offset potential from seagrass restoration. Sci Rep 10:7325.</w:t>
      </w:r>
    </w:p>
    <w:p>
      <w:pPr>
        <w:numPr>
          <w:ilvl w:val="0"/>
          <w:numId w:val="1002"/>
        </w:numPr>
        <w:pStyle w:val="Compact"/>
      </w:pPr>
      <w:r>
        <w:t xml:space="preserve">Orth RJ, Luckenbach ML, Marion SR, Moore KA, Wilcox DJ. 2006. Seagrass recovery in the Delmarva Coastal Bays, USA. Aquat Bot 84:26–36.</w:t>
      </w:r>
    </w:p>
    <w:p>
      <w:pPr>
        <w:numPr>
          <w:ilvl w:val="0"/>
          <w:numId w:val="1002"/>
        </w:numPr>
        <w:pStyle w:val="Compact"/>
      </w:pPr>
      <w:r>
        <w:t xml:space="preserve">Orth RJ, Dennison WC, Lefcheck JS, Gurbisz C, Hannam M, Keisman J, Landry JB, Moore KA, Murphy RR, Patrick CJ, et al. 2017. Submersed aquatic vegetation in Chesapeake Bay: sentinel species in a changing world. BioScience 67:698–712.</w:t>
      </w:r>
    </w:p>
    <w:p>
      <w:pPr>
        <w:numPr>
          <w:ilvl w:val="0"/>
          <w:numId w:val="1002"/>
        </w:numPr>
        <w:pStyle w:val="Compact"/>
      </w:pPr>
      <w:r>
        <w:t xml:space="preserve">Orth RJ, Lefcheck JS, McGlathery KS, Aoki L, Luckenbach MW, Moore KA, Oreska MPJ, Snyder R, Wilcox DJ, Lusk B. 2020. Restoration of seagrass habitat leads to rapid recovery of coastal ecosystem services. Sci Adv 6:eabc6434.</w:t>
      </w:r>
    </w:p>
    <w:p>
      <w:pPr>
        <w:numPr>
          <w:ilvl w:val="0"/>
          <w:numId w:val="1002"/>
        </w:numPr>
        <w:pStyle w:val="Compact"/>
      </w:pPr>
      <w:r>
        <w:t xml:space="preserve">Phlips EJ, Badylak S, Lasi MA, Chamberlain R, Green WC, Hall LM, Hart JA, Lockwood JC, Miller JD, Morris LJ, Steward JS. 2015. From red tides to green and brown tides: bloom dynamics in a restricted subtropical lagoon under shifting climatic conditions. Estuaries Coasts 38:886–904.</w:t>
      </w:r>
    </w:p>
    <w:p>
      <w:pPr>
        <w:numPr>
          <w:ilvl w:val="0"/>
          <w:numId w:val="1002"/>
        </w:numPr>
        <w:pStyle w:val="Compact"/>
      </w:pPr>
      <w:r>
        <w:t xml:space="preserve">Russ EJ, Palinkas CM. 2020. Sedimentary organic matter sources on the seaside of the Delmarva Peninsula. (coastal geology/biogeochem report).</w:t>
      </w:r>
    </w:p>
    <w:p>
      <w:pPr>
        <w:numPr>
          <w:ilvl w:val="0"/>
          <w:numId w:val="1002"/>
        </w:numPr>
        <w:pStyle w:val="Compact"/>
      </w:pPr>
      <w:r>
        <w:t xml:space="preserve">Safak I, Wiberg PL, Richardson DL, Kurum MO. 2015. Controls on residence time and exchange in a system of shallow coastal bays. Cont Shelf Res 97:7–20.</w:t>
      </w:r>
    </w:p>
    <w:p>
      <w:pPr>
        <w:numPr>
          <w:ilvl w:val="0"/>
          <w:numId w:val="1002"/>
        </w:numPr>
        <w:pStyle w:val="Compact"/>
      </w:pPr>
      <w:r>
        <w:t xml:space="preserve">Speiran GK. 1996. Geohydrology and geochemistry near coastal ground-water-discharge areas of the Eastern Shore, Virginia. USGS Water-Supply Paper 2479.</w:t>
      </w:r>
    </w:p>
    <w:p>
      <w:pPr>
        <w:numPr>
          <w:ilvl w:val="0"/>
          <w:numId w:val="1002"/>
        </w:numPr>
        <w:pStyle w:val="Compact"/>
      </w:pPr>
      <w:r>
        <w:t xml:space="preserve">Stanhope JW, Anderson IC, Reay WG. 2009. Base flow nutrient discharges from lower Delmarva Peninsula watersheds of Virginia, USA. J Environ Qual 38:2070–2083.</w:t>
      </w:r>
    </w:p>
    <w:p>
      <w:pPr>
        <w:numPr>
          <w:ilvl w:val="0"/>
          <w:numId w:val="1002"/>
        </w:numPr>
        <w:pStyle w:val="Compact"/>
      </w:pPr>
      <w:r>
        <w:t xml:space="preserve">Thomsen MS, Gurgel CFD, Fredericq S, McGlathery KJ. 2005.</w:t>
      </w:r>
      <w:r>
        <w:t xml:space="preserve"> </w:t>
      </w:r>
      <w:r>
        <w:rPr>
          <w:iCs/>
          <w:i/>
        </w:rPr>
        <w:t xml:space="preserve">Gracilaria vermiculophylla</w:t>
      </w:r>
      <w:r>
        <w:t xml:space="preserve"> </w:t>
      </w:r>
      <w:r>
        <w:t xml:space="preserve">(Rhodophyta, Gracilariales) in Hog Island Bay, Virginia: a cryptic alien and invasive macroalga and taxonomic correction. J Phycol 42:139–141.</w:t>
      </w:r>
    </w:p>
    <w:p>
      <w:pPr>
        <w:numPr>
          <w:ilvl w:val="0"/>
          <w:numId w:val="1002"/>
        </w:numPr>
        <w:pStyle w:val="Compact"/>
      </w:pPr>
      <w:r>
        <w:t xml:space="preserve">Thomsen MS, McGlathery KJ.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 Biol Invasions 9:499–513.</w:t>
      </w:r>
    </w:p>
    <w:p>
      <w:pPr>
        <w:numPr>
          <w:ilvl w:val="0"/>
          <w:numId w:val="1002"/>
        </w:numPr>
        <w:pStyle w:val="Compact"/>
      </w:pPr>
      <w:r>
        <w:t xml:space="preserve">Thomsen MS, McGlathery KJ, Schwarzschild AC, Silliman BR. 2009. Distribution and ecological role of the non-native macroalga</w:t>
      </w:r>
      <w:r>
        <w:t xml:space="preserve"> </w:t>
      </w:r>
      <w:r>
        <w:rPr>
          <w:iCs/>
          <w:i/>
        </w:rPr>
        <w:t xml:space="preserve">Gracilaria vermiculophylla</w:t>
      </w:r>
      <w:r>
        <w:t xml:space="preserve"> </w:t>
      </w:r>
      <w:r>
        <w:t xml:space="preserve">in Virginia salt marshes. Biol Invasions 11:2303–2316.</w:t>
      </w:r>
    </w:p>
    <w:p>
      <w:pPr>
        <w:numPr>
          <w:ilvl w:val="0"/>
          <w:numId w:val="1002"/>
        </w:numPr>
        <w:pStyle w:val="Compact"/>
      </w:pPr>
      <w:r>
        <w:t xml:space="preserve">Tyler AC, McGlathery KJ, Anderson IC. 2001. Macroalgal mediation of dissolved organic nitrogen fluxes in a temperate coastal lagoon. Estuar Coast Shelf Sci 53:155–168.</w:t>
      </w:r>
    </w:p>
    <w:p>
      <w:pPr>
        <w:numPr>
          <w:ilvl w:val="0"/>
          <w:numId w:val="1002"/>
        </w:numPr>
        <w:pStyle w:val="Compact"/>
      </w:pPr>
      <w:r>
        <w:t xml:space="preserve">Tyler AC, McGlathery KJ, Anderson IC. 2003. Benthic algae control sediment–water column fluxes of organic and inorganic nitrogen compounds in a temperate lagoon. Limnol Oceanogr 48:2125–2137.</w:t>
      </w:r>
    </w:p>
    <w:p>
      <w:pPr>
        <w:numPr>
          <w:ilvl w:val="0"/>
          <w:numId w:val="1002"/>
        </w:numPr>
        <w:pStyle w:val="Compact"/>
      </w:pPr>
      <w:r>
        <w:t xml:space="preserve">Tyler AC, McGlathery KJ. 2006. Uptake and release of nitrogen by the macroalgae</w:t>
      </w:r>
      <w:r>
        <w:t xml:space="preserve"> </w:t>
      </w:r>
      <w:r>
        <w:rPr>
          <w:iCs/>
          <w:i/>
        </w:rPr>
        <w:t xml:space="preserve">Gracilaria vermiculophylla</w:t>
      </w:r>
      <w:r>
        <w:t xml:space="preserve"> </w:t>
      </w:r>
      <w:r>
        <w:t xml:space="preserve">(Rhodophyta). J Phycol 42:515–525.</w:t>
      </w:r>
    </w:p>
    <w:p>
      <w:pPr>
        <w:numPr>
          <w:ilvl w:val="0"/>
          <w:numId w:val="1002"/>
        </w:numPr>
        <w:pStyle w:val="Compact"/>
      </w:pPr>
      <w:r>
        <w:t xml:space="preserve">Valiela I, Collins G, Kremer J, Lajtha K, Geist M, Seely B, Brawley J, Sham CH. 1997. Nitrogen loading from coastal watersheds to receiving estuaries: new method and application. Ecol Appl 7:358–380.</w:t>
      </w:r>
    </w:p>
    <w:p>
      <w:pPr>
        <w:numPr>
          <w:ilvl w:val="0"/>
          <w:numId w:val="1002"/>
        </w:numPr>
        <w:pStyle w:val="Compact"/>
      </w:pPr>
      <w:r>
        <w:t xml:space="preserve">VCR LTER. Virginia Coast Reserve Long-Term Ecological Research Program. https://www.vcrlter.virginia.edu</w:t>
      </w:r>
    </w:p>
    <w:p>
      <w:pPr>
        <w:numPr>
          <w:ilvl w:val="0"/>
          <w:numId w:val="1002"/>
        </w:numPr>
        <w:pStyle w:val="Compact"/>
      </w:pPr>
      <w:r>
        <w:t xml:space="preserve">Virginia Wastewater Infrastructure Working Group. 2021. Report Document RD883, Virginia General Assembly.</w:t>
      </w:r>
    </w:p>
    <w:p>
      <w:pPr>
        <w:numPr>
          <w:ilvl w:val="0"/>
          <w:numId w:val="1002"/>
        </w:numPr>
        <w:pStyle w:val="Compact"/>
      </w:pPr>
      <w:r>
        <w:t xml:space="preserve">VIMS Eastern Shore Laboratory. 2025. Bay Scallop Restoration Annual Survey. https://www.vims.edu/esl/research/bay_scallop_restoration/</w:t>
      </w:r>
    </w:p>
    <w:p>
      <w:pPr>
        <w:numPr>
          <w:ilvl w:val="0"/>
          <w:numId w:val="1002"/>
        </w:numPr>
        <w:pStyle w:val="Compact"/>
      </w:pPr>
      <w:r>
        <w:t xml:space="preserve">Young CS, Gobler CJ, Heikes BG. 2010. Coupled N loading, brown tide, and seagrass decline in Long Island lagoons. (ecol. synthesis).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2026-07-28T14:56:00Z</dcterms:created>
  <dcterms:modified xsi:type="dcterms:W3CDTF">2026-07-28T14:56:00Z</dcterms:modified>
</cp:coreProperties>
</file>

<file path=docProps/custom.xml><?xml version="1.0" encoding="utf-8"?>
<Properties xmlns="http://schemas.openxmlformats.org/officeDocument/2006/custom-properties" xmlns:vt="http://schemas.openxmlformats.org/officeDocument/2006/docPropsVTypes"/>
</file>