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b392b79413cab483d7ca7bad2ab90dae74b1b64"/>
    <w:p>
      <w:pPr>
        <w:pStyle w:val="Heading1"/>
      </w:pPr>
      <w:r>
        <w:t xml:space="preserve">Article draft: Eastern Shore Post — health/behavior version (Part 2 of a series)</w:t>
      </w:r>
    </w:p>
    <w:p>
      <w:pPr>
        <w:pStyle w:val="FirstParagraph"/>
      </w:pPr>
      <w:r>
        <w:rPr>
          <w:bCs/>
          <w:b/>
        </w:rPr>
        <w:t xml:space="preserve">Companion piece</w:t>
      </w:r>
      <w:r>
        <w:t xml:space="preserve"> </w:t>
      </w:r>
      <w:r>
        <w:t xml:space="preserve">to</w:t>
      </w:r>
      <w:r>
        <w:t xml:space="preserve"> </w:t>
      </w:r>
      <w:r>
        <w:rPr>
          <w:rStyle w:val="VerbatimChar"/>
        </w:rPr>
        <w:t xml:space="preserve">outreach/article_eastern_shore_post_v1.md</w:t>
      </w:r>
      <w:r>
        <w:t xml:space="preserve"> </w:t>
      </w:r>
      <w:r>
        <w:t xml:space="preserve">(ecological version, Part 1 of the series).</w:t>
      </w:r>
    </w:p>
    <w:p>
      <w:pPr>
        <w:pStyle w:val="BodyText"/>
      </w:pPr>
      <w:r>
        <w:rPr>
          <w:bCs/>
          <w:b/>
        </w:rPr>
        <w:t xml:space="preserve">Working headline (pick one):</w:t>
      </w:r>
      <w:r>
        <w:t xml:space="preserve"> </w:t>
      </w:r>
      <w:r>
        <w:t xml:space="preserve">-</w:t>
      </w:r>
      <w:r>
        <w:t xml:space="preserve"> </w:t>
      </w:r>
      <w:r>
        <w:t xml:space="preserve">“</w:t>
      </w:r>
      <w:r>
        <w:t xml:space="preserve">Test your water: a $20 step that protects your family</w:t>
      </w:r>
      <w:r>
        <w:t xml:space="preserve">”</w:t>
      </w:r>
      <w:r>
        <w:t xml:space="preserve"> </w:t>
      </w:r>
      <w:r>
        <w:t xml:space="preserve">-</w:t>
      </w:r>
      <w:r>
        <w:t xml:space="preserve"> </w:t>
      </w:r>
      <w:r>
        <w:t xml:space="preserve">“</w:t>
      </w:r>
      <w:r>
        <w:t xml:space="preserve">Your tap and your septic share the same water on the Shore</w:t>
      </w:r>
      <w:r>
        <w:t xml:space="preserve">”</w:t>
      </w:r>
      <w:r>
        <w:t xml:space="preserve"> </w:t>
      </w:r>
      <w:r>
        <w:t xml:space="preserve">-</w:t>
      </w:r>
      <w:r>
        <w:t xml:space="preserve"> </w:t>
      </w:r>
      <w:r>
        <w:t xml:space="preserve">“</w:t>
      </w:r>
      <w:r>
        <w:t xml:space="preserve">What’s in your well? It depends on what your septic does</w:t>
      </w:r>
      <w:r>
        <w:t xml:space="preserve">”</w:t>
      </w:r>
      <w:r>
        <w:t xml:space="preserve"> </w:t>
      </w:r>
      <w:r>
        <w:t xml:space="preserve">-</w:t>
      </w:r>
      <w:r>
        <w:t xml:space="preserve"> </w:t>
      </w:r>
      <w:r>
        <w:t xml:space="preserve">“</w:t>
      </w:r>
      <w:r>
        <w:t xml:space="preserve">A simple test the Shore’s families have been missing</w:t>
      </w:r>
      <w:r>
        <w:t xml:space="preserve">”</w:t>
      </w:r>
    </w:p>
    <w:p>
      <w:pPr>
        <w:pStyle w:val="BodyText"/>
      </w:pPr>
      <w:r>
        <w:rPr>
          <w:bCs/>
          <w:b/>
        </w:rPr>
        <w:t xml:space="preserve">Target length:</w:t>
      </w:r>
      <w:r>
        <w:t xml:space="preserve"> </w:t>
      </w:r>
      <w:r>
        <w:t xml:space="preserve">1,300–1,500 words (longer than Part 1 because it covers both adults and families with children).</w:t>
      </w:r>
      <w:r>
        <w:t xml:space="preserve"> </w:t>
      </w:r>
      <w:r>
        <w:rPr>
          <w:bCs/>
          <w:b/>
        </w:rPr>
        <w:t xml:space="preserve">Audience:</w:t>
      </w:r>
      <w:r>
        <w:t xml:space="preserve"> </w:t>
      </w:r>
      <w:r>
        <w:t xml:space="preserve">Eastern Shore Post readers. The health framing will reach a wider audience than the ecological framing — including renters, retirees, and families who don’t follow seafood industry news.</w:t>
      </w:r>
      <w:r>
        <w:t xml:space="preserve"> </w:t>
      </w:r>
      <w:r>
        <w:rPr>
          <w:bCs/>
          <w:b/>
        </w:rPr>
        <w:t xml:space="preserve">Goal:</w:t>
      </w:r>
      <w:r>
        <w:t xml:space="preserve"> </w:t>
      </w:r>
      <w:r>
        <w:t xml:space="preserve">Drive specific actions, especially</w:t>
      </w:r>
      <w:r>
        <w:t xml:space="preserve"> </w:t>
      </w:r>
      <w:r>
        <w:rPr>
          <w:bCs/>
          <w:b/>
        </w:rPr>
        <w:t xml:space="preserve">well water testing</w:t>
      </w:r>
      <w:r>
        <w:t xml:space="preserve"> </w:t>
      </w:r>
      <w:r>
        <w:t xml:space="preserve">as the keystone behavior. The</w:t>
      </w:r>
      <w:r>
        <w:t xml:space="preserve"> </w:t>
      </w:r>
      <w:r>
        <w:t xml:space="preserve">“</w:t>
      </w:r>
      <w:r>
        <w:t xml:space="preserve">blood test moment</w:t>
      </w:r>
      <w:r>
        <w:t xml:space="preserve">”</w:t>
      </w:r>
      <w:r>
        <w:t xml:space="preserve"> </w:t>
      </w:r>
      <w:r>
        <w:t xml:space="preserve">is the single most powerful trigger for the rest of the action list.</w:t>
      </w:r>
      <w:r>
        <w:t xml:space="preserve"> </w:t>
      </w:r>
      <w:r>
        <w:rPr>
          <w:bCs/>
          <w:b/>
        </w:rPr>
        <w:t xml:space="preserve">Tone:</w:t>
      </w:r>
      <w:r>
        <w:t xml:space="preserve"> </w:t>
      </w:r>
      <w:r>
        <w:t xml:space="preserve">Empowering throughout. Not alarming. The structural problems are real and named, but the dominant message is</w:t>
      </w:r>
      <w:r>
        <w:t xml:space="preserve"> </w:t>
      </w:r>
      <w:r>
        <w:t xml:space="preserve">“</w:t>
      </w:r>
      <w:r>
        <w:t xml:space="preserve">here’s information you didn’t have before, here’s what to do with it.</w:t>
      </w:r>
      <w:r>
        <w:t xml:space="preserve">”</w:t>
      </w:r>
    </w:p>
    <w:p>
      <w:r>
        <w:pict>
          <v:rect style="width:0;height:1.5pt" o:hralign="center" o:hrstd="t" o:hr="t"/>
        </w:pict>
      </w:r>
    </w:p>
    <w:bookmarkStart w:id="20" w:name="article-body"/>
    <w:p>
      <w:pPr>
        <w:pStyle w:val="Heading2"/>
      </w:pPr>
      <w:r>
        <w:t xml:space="preserve">Article body</w:t>
      </w:r>
    </w:p>
    <w:p>
      <w:pPr>
        <w:pStyle w:val="FirstParagraph"/>
      </w:pPr>
      <w:r>
        <w:rPr>
          <w:bCs/>
          <w:b/>
        </w:rPr>
        <w:t xml:space="preserve">Your tap and your septic share the same water on the Eastern Shore</w:t>
      </w:r>
    </w:p>
    <w:p>
      <w:pPr>
        <w:pStyle w:val="BodyText"/>
      </w:pPr>
      <w:r>
        <w:t xml:space="preserve">There is one ordinary moment that happens in every house on the Shore every day. Someone turns on the kitchen tap and fills a glass of water. A child has a sip. A parent mixes formula. A grandfather takes his morning pills with it. We don’t usually think much about it. The water comes out cold and clear, with no taste and no smell.</w:t>
      </w:r>
    </w:p>
    <w:p>
      <w:pPr>
        <w:pStyle w:val="BodyText"/>
      </w:pPr>
      <w:r>
        <w:t xml:space="preserve">On the Eastern Shore that ordinary moment connects to a less ordinary fact. The water in that glass came up out of the same shallow aquifer that everyone else’s septic drainfield empties into. The wells and the drainfields share the same underground water. The Environmental Protection Agency made that connection official back in 1997 when it declared the Eastern Shore aquifer a</w:t>
      </w:r>
      <w:r>
        <w:t xml:space="preserve"> </w:t>
      </w:r>
      <w:r>
        <w:t xml:space="preserve">“</w:t>
      </w:r>
      <w:r>
        <w:t xml:space="preserve">sole-source aquifer</w:t>
      </w:r>
      <w:r>
        <w:t xml:space="preserve">”</w:t>
      </w:r>
      <w:r>
        <w:t xml:space="preserve"> </w:t>
      </w:r>
      <w:r>
        <w:t xml:space="preserve">[1] — meaning there is no other water down there, and no backup if it gets contaminated. So whether the water in your glass is safe depends on whether the systems around you, and yours, are working the way they’re supposed to.</w:t>
      </w:r>
    </w:p>
    <w:p>
      <w:pPr>
        <w:pStyle w:val="BodyText"/>
      </w:pPr>
      <w:r>
        <w:t xml:space="preserve">Most of the time they are. But not always — and the trouble is, you can’t tell from looking at the water. Contaminated well water tastes the same and looks the same as clean well water. The only way to know is to test it.</w:t>
      </w:r>
    </w:p>
    <w:p>
      <w:pPr>
        <w:pStyle w:val="BodyText"/>
      </w:pPr>
      <w:r>
        <w:t xml:space="preserve">When Shore wells have been tested, the results have been sobering. About 43 percent of the tested wells on the Shore have shown some level of contamination — bacteria, nitrate, or both [2]. The much bigger problem is that most Shore wells have never been tested. Virginia doesn’t require well testing, ever [3]. Most well owners never get around to it, because there’s nothing reminding them to.</w:t>
      </w:r>
    </w:p>
    <w:p>
      <w:pPr>
        <w:pStyle w:val="BodyText"/>
      </w:pPr>
      <w:r>
        <w:t xml:space="preserve">This article is not here to scare anyone. The honest truth is that most Shore wells are probably fine. What you don’t know is which ones. A first-time test usually costs about $20 if you pay yourself [4], and the Eastern Shore Health District and Eastern Shore Community College have run free testing days through the year — at Earth Day, during SepticSmart Week in September [5], and at smaller community events. If you have a well and you have never had it tested, you are the audience for this article.</w:t>
      </w:r>
    </w:p>
    <w:p>
      <w:pPr>
        <w:pStyle w:val="BodyText"/>
      </w:pPr>
      <w:r>
        <w:rPr>
          <w:bCs/>
          <w:b/>
        </w:rPr>
        <w:t xml:space="preserve">Why testing matters for adults</w:t>
      </w:r>
    </w:p>
    <w:p>
      <w:pPr>
        <w:pStyle w:val="BodyText"/>
      </w:pPr>
      <w:r>
        <w:t xml:space="preserve">The chemical that most often shows up in Shore well water is nitrate. Nitrate gets into groundwater from two main sources: farm fertilizer and septic effluent. In the right concentration it does nothing. Above a certain level it becomes a slow problem.</w:t>
      </w:r>
    </w:p>
    <w:p>
      <w:pPr>
        <w:pStyle w:val="BodyText"/>
      </w:pPr>
      <w:r>
        <w:t xml:space="preserve">The federal limit for nitrate in drinking water is 10 milligrams per liter [6]. That number was set in 1962 and the federal government has never updated it [7], even though research over the last twenty years has consistently found health effects below the limit. A Danish study that followed 2.7 million people found that nitrate in drinking water was associated with higher rates of colorectal cancer at levels less than half the federal limit [8]. Other research has tied chronic low-level nitrate exposure to thyroid disruption — which can quietly worsen weight gain, fatigue, and heart-disease risk — at concentrations as low as 5 milligrams per liter [9]. These are not certainties for any one household. They are population-level patterns that show up across very large studies, and they suggest that what counts as a</w:t>
      </w:r>
      <w:r>
        <w:t xml:space="preserve"> </w:t>
      </w:r>
      <w:r>
        <w:t xml:space="preserve">“</w:t>
      </w:r>
      <w:r>
        <w:t xml:space="preserve">safe</w:t>
      </w:r>
      <w:r>
        <w:t xml:space="preserve">”</w:t>
      </w:r>
      <w:r>
        <w:t xml:space="preserve"> </w:t>
      </w:r>
      <w:r>
        <w:t xml:space="preserve">level may be lower than what the federal rule currently sets.</w:t>
      </w:r>
    </w:p>
    <w:p>
      <w:pPr>
        <w:pStyle w:val="BodyText"/>
      </w:pPr>
      <w:r>
        <w:t xml:space="preserve">What this means for an adult on the Shore is straightforward. Knowing your number doesn’t change the universe, but it changes your options. If your test comes back at 1 or 2 milligrams per liter, that’s reassuring and you don’t have to think about it again for a few years. If it comes back at 5 or 8 — within the federal</w:t>
      </w:r>
      <w:r>
        <w:t xml:space="preserve"> </w:t>
      </w:r>
      <w:r>
        <w:t xml:space="preserve">“</w:t>
      </w:r>
      <w:r>
        <w:t xml:space="preserve">safe</w:t>
      </w:r>
      <w:r>
        <w:t xml:space="preserve">”</w:t>
      </w:r>
      <w:r>
        <w:t xml:space="preserve"> </w:t>
      </w:r>
      <w:r>
        <w:t xml:space="preserve">zone but in the range the research now associates with health effects — you might decide to add a simple under-sink reverse-osmosis filter (about $200, removes nitrate effectively) [10] and continue using the well. If it comes back above 10, you’ve found a real problem that you’d want to address. Without the test, all three of those situations look identical from the kitchen sink.</w:t>
      </w:r>
    </w:p>
    <w:p>
      <w:pPr>
        <w:pStyle w:val="BodyText"/>
      </w:pPr>
      <w:r>
        <w:rPr>
          <w:bCs/>
          <w:b/>
        </w:rPr>
        <w:t xml:space="preserve">Why testing matters more for families with young children</w:t>
      </w:r>
    </w:p>
    <w:p>
      <w:pPr>
        <w:pStyle w:val="BodyText"/>
      </w:pPr>
      <w:r>
        <w:t xml:space="preserve">The risk that should sit at the top of any new parent’s checklist on the Shore is something called methemoglobinemia, better known as blue baby syndrome. Infants under about four months old convert nitrate in water into a related chemical that interferes with how their blood carries oxygen [11]. Older children and adults handle nitrate very differently — they have biological pathways that infants haven’t developed yet. For infants the effect can be serious and the federal nitrate limit was set with this risk in mind.</w:t>
      </w:r>
    </w:p>
    <w:p>
      <w:pPr>
        <w:pStyle w:val="BodyText"/>
      </w:pPr>
      <w:r>
        <w:t xml:space="preserve">If you are a new parent on the Shore, or expecting, two specific facts matter. First, if you mix formula at home, the water you use matters. Bottled distilled water, or water you’ve run through a reverse-osmosis filter rated for nitrate, is safe regardless of your well status. Second, and this one is counterintuitive:</w:t>
      </w:r>
      <w:r>
        <w:t xml:space="preserve"> </w:t>
      </w:r>
      <w:r>
        <w:rPr>
          <w:bCs/>
          <w:b/>
        </w:rPr>
        <w:t xml:space="preserve">boiling water does not remove nitrate.</w:t>
      </w:r>
      <w:r>
        <w:t xml:space="preserve"> </w:t>
      </w:r>
      <w:r>
        <w:t xml:space="preserve">Boiling actually concentrates it, because the water evaporates and the nitrate stays behind [12]. The instinct most people have —</w:t>
      </w:r>
      <w:r>
        <w:t xml:space="preserve"> </w:t>
      </w:r>
      <w:r>
        <w:t xml:space="preserve">“</w:t>
      </w:r>
      <w:r>
        <w:t xml:space="preserve">if I’m worried about the water, I’ll boil it</w:t>
      </w:r>
      <w:r>
        <w:t xml:space="preserve">”</w:t>
      </w:r>
      <w:r>
        <w:t xml:space="preserve"> </w:t>
      </w:r>
      <w:r>
        <w:t xml:space="preserve">— works for bacteria but is the wrong move for nitrate. For formula mixing, use bottled water or filtered water, not boiled tap water.</w:t>
      </w:r>
    </w:p>
    <w:p>
      <w:pPr>
        <w:pStyle w:val="BodyText"/>
      </w:pPr>
      <w:r>
        <w:t xml:space="preserve">This is the single most important thing in this article for anyone with a baby in the house. If you have not had your well tested and you are mixing formula, get the test done before the baby’s next checkup. Free testing events through the health district and the community college will give you a result you can plan around. If the cost of a test is the barrier, call the Eastern Shore Health District in Onley — testing programs subsidized for Shore residents have run several times a year.</w:t>
      </w:r>
    </w:p>
    <w:p>
      <w:pPr>
        <w:pStyle w:val="BodyText"/>
      </w:pPr>
      <w:r>
        <w:rPr>
          <w:bCs/>
          <w:b/>
        </w:rPr>
        <w:t xml:space="preserve">This has happened here before</w:t>
      </w:r>
    </w:p>
    <w:p>
      <w:pPr>
        <w:pStyle w:val="BodyText"/>
      </w:pPr>
      <w:r>
        <w:t xml:space="preserve">The Eastern Shore is not theorizing about what septic-contaminated groundwater looks like. In the early 1970s the town of Chincoteague stopped drawing water from its own wells because decades of septic contamination had ruined the local groundwater. Since then the town’s drinking water has come through a pipeline from NASA’s Wallops Island facility [13]. That is a working coastal community that lost its own drinking-water source within living memory, because septic systems on a shallow aquifer eventually catch up with what’s underground. It’s a useful piece of local history when thinking about why a $20 well test is worth the time.</w:t>
      </w:r>
    </w:p>
    <w:p>
      <w:pPr>
        <w:pStyle w:val="BodyText"/>
      </w:pPr>
      <w:r>
        <w:rPr>
          <w:bCs/>
          <w:b/>
        </w:rPr>
        <w:t xml:space="preserve">Why this isn’t your fault</w:t>
      </w:r>
    </w:p>
    <w:p>
      <w:pPr>
        <w:pStyle w:val="BodyText"/>
      </w:pPr>
      <w:r>
        <w:t xml:space="preserve">Most Shore septic systems were installed decades ago when the groundwater was lower, storms were less intense, and the rules were less demanding. They worked fine then. They’re working less well now, because the water table is rising and they’re getting older [15]. Federal law does not regulate private wells at all [14]. Virginia does not require well testing [3]. The Eastern Shore Health District does what it can with the budget it has. The structural problem is real and it isn’t going to be solved by individual homeowners.</w:t>
      </w:r>
    </w:p>
    <w:p>
      <w:pPr>
        <w:pStyle w:val="BodyText"/>
      </w:pPr>
      <w:r>
        <w:t xml:space="preserve">What individual homeowners can do is the small things. Test the well. Pump the tank. Don’t flush things that don’t belong. Apply for the assistance programs you qualify for. Each of those is modest on its own, and together — across 18,000 Shore households [16] — they shift the trajectory of the whole peninsula. The Shore has gotten back things other coastal regions have lost: the bay scallop, the seagrass meadow, the seafood industry. The thing it still has and is fighting to keep is the safety of the water in the glass on your kitchen counter.</w:t>
      </w:r>
    </w:p>
    <w:p>
      <w:pPr>
        <w:pStyle w:val="BodyText"/>
      </w:pPr>
      <w:r>
        <w:t xml:space="preserve">The first step is finding out what’s in yours.</w:t>
      </w:r>
    </w:p>
    <w:bookmarkEnd w:id="20"/>
    <w:bookmarkStart w:id="21" w:name="sidebar-what-you-can-do-today"/>
    <w:p>
      <w:pPr>
        <w:pStyle w:val="Heading2"/>
      </w:pPr>
      <w:r>
        <w:t xml:space="preserve">Sidebar —</w:t>
      </w:r>
      <w:r>
        <w:t xml:space="preserve"> </w:t>
      </w:r>
      <w:r>
        <w:t xml:space="preserve">“</w:t>
      </w:r>
      <w:r>
        <w:t xml:space="preserve">What you can do today</w:t>
      </w:r>
      <w:r>
        <w:t xml:space="preserve">”</w:t>
      </w:r>
    </w:p>
    <w:p>
      <w:pPr>
        <w:pStyle w:val="FirstParagraph"/>
      </w:pPr>
      <w:r>
        <w:rPr>
          <w:bCs/>
          <w:b/>
        </w:rPr>
        <w:t xml:space="preserve">1. Get your well water tested — even if you’ve never had a problem.</w:t>
      </w:r>
      <w:r>
        <w:t xml:space="preserve"> </w:t>
      </w:r>
      <w:r>
        <w:t xml:space="preserve">First-time testing typically costs about $20 [4] and can be done at home with a kit you mail in, or at one of the free testing events the Eastern Shore Health District and Eastern Shore Community College run several times a year. Earth Day and SepticSmart Week in September [5] are the biggest. You want the test panel that includes nitrate and bacteria, not just pH and hardness.</w:t>
      </w:r>
    </w:p>
    <w:p>
      <w:pPr>
        <w:pStyle w:val="BodyText"/>
      </w:pPr>
      <w:r>
        <w:rPr>
          <w:bCs/>
          <w:b/>
        </w:rPr>
        <w:t xml:space="preserve">2. Know your number.</w:t>
      </w:r>
      <w:r>
        <w:t xml:space="preserve"> </w:t>
      </w:r>
      <w:r>
        <w:t xml:space="preserve">If you’ve never tested, you don’t know what’s normal for your well. After your first test, anything you do later — switching to bottled water for formula, adding a filter, getting your tank pumped on schedule — is making sense of a baseline. Without the baseline you’re guessing.</w:t>
      </w:r>
    </w:p>
    <w:p>
      <w:pPr>
        <w:pStyle w:val="BodyText"/>
      </w:pPr>
      <w:r>
        <w:rPr>
          <w:bCs/>
          <w:b/>
        </w:rPr>
        <w:t xml:space="preserve">3. Pump out your tank.</w:t>
      </w:r>
      <w:r>
        <w:t xml:space="preserve"> </w:t>
      </w:r>
      <w:r>
        <w:t xml:space="preserve">Every 3–5 years for most households. About $400 out of pocket; free for qualifying low- and moderate-income households through the Accomack–Northampton Planning District Commission [17]. A pump-out prevents the slow leak that eventually contaminates the aquifer your well draws from.</w:t>
      </w:r>
    </w:p>
    <w:p>
      <w:pPr>
        <w:pStyle w:val="BodyText"/>
      </w:pPr>
      <w:r>
        <w:rPr>
          <w:bCs/>
          <w:b/>
        </w:rPr>
        <w:t xml:space="preserve">4. The three P’s at the toilet.</w:t>
      </w:r>
      <w:r>
        <w:t xml:space="preserve"> </w:t>
      </w:r>
      <w:r>
        <w:t xml:space="preserve">Pee, poop, and (toilet) paper. Nothing else [18].</w:t>
      </w:r>
      <w:r>
        <w:t xml:space="preserve"> </w:t>
      </w:r>
      <w:r>
        <w:t xml:space="preserve">“</w:t>
      </w:r>
      <w:r>
        <w:t xml:space="preserve">Flushable</w:t>
      </w:r>
      <w:r>
        <w:t xml:space="preserve">”</w:t>
      </w:r>
      <w:r>
        <w:t xml:space="preserve"> </w:t>
      </w:r>
      <w:r>
        <w:t xml:space="preserve">wipes are not flushable. Cooking grease, paint, harsh cleaners — they shorten system life and accelerate the leakage problem.</w:t>
      </w:r>
    </w:p>
    <w:p>
      <w:pPr>
        <w:pStyle w:val="BodyText"/>
      </w:pPr>
      <w:r>
        <w:rPr>
          <w:bCs/>
          <w:b/>
        </w:rPr>
        <w:t xml:space="preserve">5. Filter if your test result asks you to.</w:t>
      </w:r>
      <w:r>
        <w:t xml:space="preserve"> </w:t>
      </w:r>
      <w:r>
        <w:t xml:space="preserve">A simple under-sink reverse-osmosis filter (about $200 installed, around $50/year in replacement membranes) removes nitrate and most bacteria from drinking and cooking water [10]. You don’t need it for laundry or dishwashing — just the tap you use for drinking and cooking.</w:t>
      </w:r>
    </w:p>
    <w:p>
      <w:pPr>
        <w:pStyle w:val="BodyText"/>
      </w:pPr>
      <w:r>
        <w:rPr>
          <w:bCs/>
          <w:b/>
        </w:rPr>
        <w:t xml:space="preserve">6. Apply for septic repair help if you need it.</w:t>
      </w:r>
      <w:r>
        <w:t xml:space="preserve"> </w:t>
      </w:r>
      <w:r>
        <w:t xml:space="preserve">Virginia’s Onsite Sewage Indemnification Fund covers households at up to twice the federal poverty level [19]. Most people who qualify don’t know about it. The planning district commission can help with the paperwork.</w:t>
      </w:r>
    </w:p>
    <w:p>
      <w:pPr>
        <w:pStyle w:val="BodyText"/>
      </w:pPr>
      <w:r>
        <w:rPr>
          <w:bCs/>
          <w:b/>
        </w:rPr>
        <w:t xml:space="preserve">7. Connect to sewer if it ever comes to you.</w:t>
      </w:r>
      <w:r>
        <w:t xml:space="preserve"> </w:t>
      </w:r>
      <w:r>
        <w:t xml:space="preserve">The Hampton Roads Sanitation District is extending sewer through Nassawadox, Exmore, Keller, Onley, Onancock, Accomac, and Wachapreague [20]. If a line reaches your property, take it — the long-term protection for your family and your neighbors is worth the hookup cost.</w:t>
      </w:r>
    </w:p>
    <w:bookmarkEnd w:id="21"/>
    <w:bookmarkStart w:id="22" w:name="sidebar-where-to-call"/>
    <w:p>
      <w:pPr>
        <w:pStyle w:val="Heading2"/>
      </w:pPr>
      <w:r>
        <w:t xml:space="preserve">Sidebar —</w:t>
      </w:r>
      <w:r>
        <w:t xml:space="preserve"> </w:t>
      </w:r>
      <w:r>
        <w:t xml:space="preserve">“</w:t>
      </w:r>
      <w:r>
        <w:t xml:space="preserve">Where to call</w:t>
      </w:r>
      <w:r>
        <w:t xml:space="preserve">”</w:t>
      </w:r>
    </w:p>
    <w:p>
      <w:pPr>
        <w:numPr>
          <w:ilvl w:val="0"/>
          <w:numId w:val="1001"/>
        </w:numPr>
        <w:pStyle w:val="Compact"/>
      </w:pPr>
      <w:r>
        <w:rPr>
          <w:bCs/>
          <w:b/>
        </w:rPr>
        <w:t xml:space="preserve">Eastern Shore Health District (Virginia Department of Health):</w:t>
      </w:r>
      <w:r>
        <w:t xml:space="preserve"> </w:t>
      </w:r>
      <w:r>
        <w:t xml:space="preserve">757-787-5886. Well water testing, septic permits, infant formula and nitrate questions, repair-program information.</w:t>
      </w:r>
    </w:p>
    <w:p>
      <w:pPr>
        <w:numPr>
          <w:ilvl w:val="0"/>
          <w:numId w:val="1001"/>
        </w:numPr>
        <w:pStyle w:val="Compact"/>
      </w:pPr>
      <w:r>
        <w:rPr>
          <w:bCs/>
          <w:b/>
        </w:rPr>
        <w:t xml:space="preserve">Accomack–Northampton Planning District Commission:</w:t>
      </w:r>
      <w:r>
        <w:t xml:space="preserve"> </w:t>
      </w:r>
      <w:r>
        <w:t xml:space="preserve">Onley office handles the pump-out and septic repair assistance programs and can help applicants complete the paperwork.</w:t>
      </w:r>
    </w:p>
    <w:p>
      <w:pPr>
        <w:numPr>
          <w:ilvl w:val="0"/>
          <w:numId w:val="1001"/>
        </w:numPr>
        <w:pStyle w:val="Compact"/>
      </w:pPr>
      <w:r>
        <w:rPr>
          <w:bCs/>
          <w:b/>
        </w:rPr>
        <w:t xml:space="preserve">Eastern Shore Community College — Smart Septic Project:</w:t>
      </w:r>
      <w:r>
        <w:t xml:space="preserve"> </w:t>
      </w:r>
      <w:r>
        <w:t xml:space="preserve">Dr. Alex Foxworthy and the student team run well water testing events and community outreach in partnership with the University of Virginia’s Climate Collaborative project. ESCC main office in Melfa.</w:t>
      </w:r>
    </w:p>
    <w:p>
      <w:pPr>
        <w:numPr>
          <w:ilvl w:val="0"/>
          <w:numId w:val="1001"/>
        </w:numPr>
        <w:pStyle w:val="Compact"/>
      </w:pPr>
      <w:r>
        <w:rPr>
          <w:bCs/>
          <w:b/>
        </w:rPr>
        <w:t xml:space="preserve">For pediatric concerns about infant formula and nitrate:</w:t>
      </w:r>
      <w:r>
        <w:t xml:space="preserve"> </w:t>
      </w:r>
      <w:r>
        <w:t xml:space="preserve">ask your child’s pediatrician, or call the Eastern Shore Health District directly. The Children’s Hospital of The King’s Daughters in Norfolk and Riverside Shore Memorial Hospital in Nassawadox can also answer questions.</w:t>
      </w:r>
    </w:p>
    <w:bookmarkEnd w:id="22"/>
    <w:bookmarkStart w:id="23" w:name="Xe5efde90d42cc49e701c3dad06316bb4ec46d84"/>
    <w:p>
      <w:pPr>
        <w:pStyle w:val="Heading2"/>
      </w:pPr>
      <w:r>
        <w:t xml:space="preserve">Sidebar —</w:t>
      </w:r>
      <w:r>
        <w:t xml:space="preserve"> </w:t>
      </w:r>
      <w:r>
        <w:t xml:space="preserve">“</w:t>
      </w:r>
      <w:r>
        <w:t xml:space="preserve">If you have a baby or are expecting</w:t>
      </w:r>
      <w:r>
        <w:t xml:space="preserve">”</w:t>
      </w:r>
    </w:p>
    <w:p>
      <w:pPr>
        <w:pStyle w:val="FirstParagraph"/>
      </w:pPr>
      <w:r>
        <w:t xml:space="preserve">The single most important thing to know is that</w:t>
      </w:r>
      <w:r>
        <w:t xml:space="preserve"> </w:t>
      </w:r>
      <w:r>
        <w:rPr>
          <w:bCs/>
          <w:b/>
        </w:rPr>
        <w:t xml:space="preserve">boiling water does not remove nitrate — it concentrates it</w:t>
      </w:r>
      <w:r>
        <w:t xml:space="preserve"> </w:t>
      </w:r>
      <w:r>
        <w:t xml:space="preserve">[12]. The instinct to boil water you’re worried about works for bacteria but is exactly the wrong move for nitrate, which infants under four months old are uniquely vulnerable to [11].</w:t>
      </w:r>
    </w:p>
    <w:p>
      <w:pPr>
        <w:pStyle w:val="BodyText"/>
      </w:pPr>
      <w:r>
        <w:rPr>
          <w:bCs/>
          <w:b/>
        </w:rPr>
        <w:t xml:space="preserve">Safe choices for formula mixing if you have not had your well tested:</w:t>
      </w:r>
      <w:r>
        <w:t xml:space="preserve"> </w:t>
      </w:r>
      <w:r>
        <w:t xml:space="preserve">- Bottled distilled water or bottled</w:t>
      </w:r>
      <w:r>
        <w:t xml:space="preserve"> </w:t>
      </w:r>
      <w:r>
        <w:t xml:space="preserve">“</w:t>
      </w:r>
      <w:r>
        <w:t xml:space="preserve">nursery water</w:t>
      </w:r>
      <w:r>
        <w:t xml:space="preserve">”</w:t>
      </w:r>
      <w:r>
        <w:t xml:space="preserve"> </w:t>
      </w:r>
      <w:r>
        <w:t xml:space="preserve">sold for infant formula — safe regardless of well status.</w:t>
      </w:r>
      <w:r>
        <w:t xml:space="preserve"> </w:t>
      </w:r>
      <w:r>
        <w:t xml:space="preserve">- Water from a properly installed reverse-osmosis filter rated for nitrate removal.</w:t>
      </w:r>
    </w:p>
    <w:p>
      <w:pPr>
        <w:pStyle w:val="BodyText"/>
      </w:pPr>
      <w:r>
        <w:rPr>
          <w:bCs/>
          <w:b/>
        </w:rPr>
        <w:t xml:space="preserve">Get the well tested before the baby comes</w:t>
      </w:r>
      <w:r>
        <w:t xml:space="preserve"> </w:t>
      </w:r>
      <w:r>
        <w:t xml:space="preserve">if you can. If you’re already a new parent and you haven’t tested, do it now. Free testing days are available through the Eastern Shore Health District and ESCC; if the timing doesn’t work, the health district has done subsidized testing on request for families with infants.</w:t>
      </w:r>
    </w:p>
    <w:p>
      <w:pPr>
        <w:pStyle w:val="BodyText"/>
      </w:pPr>
      <w:r>
        <w:rPr>
          <w:bCs/>
          <w:b/>
        </w:rPr>
        <w:t xml:space="preserve">Bathing and washing.</w:t>
      </w:r>
      <w:r>
        <w:t xml:space="preserve"> </w:t>
      </w:r>
      <w:r>
        <w:t xml:space="preserve">The nitrate risk for infants is from drinking the water (or formula made with the water). Bathing is fine. Washing bottles in tap water and then rinsing in safe water is fine.</w:t>
      </w:r>
    </w:p>
    <w:p>
      <w:pPr>
        <w:pStyle w:val="BodyText"/>
      </w:pPr>
      <w:r>
        <w:rPr>
          <w:bCs/>
          <w:b/>
        </w:rPr>
        <w:t xml:space="preserve">If your test comes back high.</w:t>
      </w:r>
      <w:r>
        <w:t xml:space="preserve"> </w:t>
      </w:r>
      <w:r>
        <w:t xml:space="preserve">Call your pediatrician with the actual number before you change anything. Most cases are easily managed with bottled or filtered water for formula and drinking. If nitrate is high enough to require a longer-term fix, that conversation can include treatment options for the household.</w:t>
      </w:r>
    </w:p>
    <w:bookmarkEnd w:id="23"/>
    <w:bookmarkStart w:id="46" w:name="sources-and-citations"/>
    <w:p>
      <w:pPr>
        <w:pStyle w:val="Heading2"/>
      </w:pPr>
      <w:r>
        <w:t xml:space="preserve">Sources and citations</w:t>
      </w:r>
    </w:p>
    <w:p>
      <w:pPr>
        <w:pStyle w:val="FirstParagraph"/>
      </w:pPr>
      <w:r>
        <w:t xml:space="preserve">These citations support every specific factual claim in the article and sidebars. The bracketed numbers [1], [2], etc. in the article correspond to the entries below. Where the original source is paywalled, a freely available alternative or government summary is provided.</w:t>
      </w:r>
    </w:p>
    <w:p>
      <w:pPr>
        <w:pStyle w:val="BodyText"/>
      </w:pPr>
      <w:r>
        <w:rPr>
          <w:bCs/>
          <w:b/>
        </w:rPr>
        <w:t xml:space="preserve">For students:</w:t>
      </w:r>
      <w:r>
        <w:t xml:space="preserve"> </w:t>
      </w:r>
      <w:r>
        <w:t xml:space="preserve">every claim you’d need to verify or cite in your own version of the article is here. The peer-reviewed papers are the most authoritative; the government and Extension sources are the most accessible. When you write your own article, you can either keep the inline numbers (scientific style) or rephrase claims as</w:t>
      </w:r>
      <w:r>
        <w:t xml:space="preserve"> </w:t>
      </w:r>
      <w:r>
        <w:t xml:space="preserve">“</w:t>
      </w:r>
      <w:r>
        <w:t xml:space="preserve">according to a 2018 Danish study of 2.7 million people…</w:t>
      </w:r>
      <w:r>
        <w:t xml:space="preserve">”</w:t>
      </w:r>
      <w:r>
        <w:t xml:space="preserve"> </w:t>
      </w:r>
      <w:r>
        <w:t xml:space="preserve">style (journalism style). Either is fine.</w:t>
      </w:r>
    </w:p>
    <w:p>
      <w:pPr>
        <w:pStyle w:val="BodyText"/>
      </w:pPr>
      <w:r>
        <w:rPr>
          <w:bCs/>
          <w:b/>
        </w:rPr>
        <w:t xml:space="preserve">For editors:</w:t>
      </w:r>
      <w:r>
        <w:t xml:space="preserve"> </w:t>
      </w:r>
      <w:r>
        <w:t xml:space="preserve">if this article runs in the Eastern Shore Post, the inline numbers can be left in place (some papers use them) or stripped without changing the prose. If stripped, this section can be omitted or printed as a sidebar headed</w:t>
      </w:r>
      <w:r>
        <w:t xml:space="preserve"> </w:t>
      </w:r>
      <w:r>
        <w:t xml:space="preserve">“</w:t>
      </w:r>
      <w:r>
        <w:t xml:space="preserve">Sources available on request.</w:t>
      </w:r>
      <w:r>
        <w:t xml:space="preserve">”</w:t>
      </w:r>
    </w:p>
    <w:p>
      <w:pPr>
        <w:pStyle w:val="BodyText"/>
      </w:pPr>
      <w:r>
        <w:t xml:space="preserve">[1]</w:t>
      </w:r>
      <w:r>
        <w:t xml:space="preserve"> </w:t>
      </w:r>
      <w:r>
        <w:rPr>
          <w:bCs/>
          <w:b/>
        </w:rPr>
        <w:t xml:space="preserve">EPA sole-source aquifer designation, 1997.</w:t>
      </w:r>
      <w:r>
        <w:t xml:space="preserve"> </w:t>
      </w:r>
      <w:r>
        <w:t xml:space="preserve">U.S. Environmental Protection Agency. Eastern Shore of Virginia aquifer system, Accomack and Northampton Counties.</w:t>
      </w:r>
      <w:r>
        <w:t xml:space="preserve"> </w:t>
      </w:r>
      <w:r>
        <w:rPr>
          <w:iCs/>
          <w:i/>
        </w:rPr>
        <w:t xml:space="preserve">Federal Register</w:t>
      </w:r>
      <w:r>
        <w:t xml:space="preserve"> </w:t>
      </w:r>
      <w:r>
        <w:t xml:space="preserve">62 FR 11562, March 12, 1997.</w:t>
      </w:r>
      <w:r>
        <w:t xml:space="preserve"> </w:t>
      </w:r>
      <w:hyperlink r:id="rId24">
        <w:r>
          <w:rPr>
            <w:rStyle w:val="Hyperlink"/>
          </w:rPr>
          <w:t xml:space="preserve">https://www.federalregister.gov/documents/1997/03/12/97-6235/eastern-shore-of-virginia-aquifer-sole-source-aquifer-designation</w:t>
        </w:r>
      </w:hyperlink>
    </w:p>
    <w:p>
      <w:pPr>
        <w:pStyle w:val="BodyText"/>
      </w:pPr>
      <w:r>
        <w:t xml:space="preserve">[2]</w:t>
      </w:r>
      <w:r>
        <w:t xml:space="preserve"> </w:t>
      </w:r>
      <w:r>
        <w:rPr>
          <w:bCs/>
          <w:b/>
        </w:rPr>
        <w:t xml:space="preserve">~43 percent of tested Shore wells show contamination.</w:t>
      </w:r>
      <w:r>
        <w:t xml:space="preserve"> </w:t>
      </w:r>
      <w:r>
        <w:t xml:space="preserve">Compiled from Eastern Shore Health District well testing data and Accomack–Northampton Planning District Commission well sampling reports. See also Bay Journal:</w:t>
      </w:r>
      <w:r>
        <w:t xml:space="preserve"> </w:t>
      </w:r>
      <w:r>
        <w:t xml:space="preserve">“</w:t>
      </w:r>
      <w:r>
        <w:t xml:space="preserve">Septic system failures expected to increase in coastal Virginia.</w:t>
      </w:r>
      <w:r>
        <w:t xml:space="preserve">”</w:t>
      </w:r>
      <w:r>
        <w:t xml:space="preserve"> </w:t>
      </w:r>
      <w:hyperlink r:id="rId25">
        <w:r>
          <w:rPr>
            <w:rStyle w:val="Hyperlink"/>
          </w:rPr>
          <w:t xml:space="preserve">https://www.bayjournal.com/news/pollution/septic-system-failures-expected-to-increase-in-coastal-virginia/article_3fed2079-1b2a-5e5c-a8a0-e1080844cc16.html</w:t>
        </w:r>
      </w:hyperlink>
    </w:p>
    <w:p>
      <w:pPr>
        <w:pStyle w:val="BodyText"/>
      </w:pPr>
      <w:r>
        <w:t xml:space="preserve">[3]</w:t>
      </w:r>
      <w:r>
        <w:t xml:space="preserve"> </w:t>
      </w:r>
      <w:r>
        <w:rPr>
          <w:bCs/>
          <w:b/>
        </w:rPr>
        <w:t xml:space="preserve">Virginia does not require private well testing.</w:t>
      </w:r>
      <w:r>
        <w:t xml:space="preserve"> </w:t>
      </w:r>
      <w:r>
        <w:t xml:space="preserve">Virginia Code §32.1-176.3 (Private Wells); Virginia Department of Health, Office of Environmental Health Services well program.</w:t>
      </w:r>
      <w:r>
        <w:t xml:space="preserve"> </w:t>
      </w:r>
      <w:hyperlink r:id="rId26">
        <w:r>
          <w:rPr>
            <w:rStyle w:val="Hyperlink"/>
          </w:rPr>
          <w:t xml:space="preserve">https://www.vdh.virginia.gov/environmental-health/onsite-sewage-water-services-updated/private-wells/</w:t>
        </w:r>
      </w:hyperlink>
    </w:p>
    <w:p>
      <w:pPr>
        <w:pStyle w:val="BodyText"/>
      </w:pPr>
      <w:r>
        <w:t xml:space="preserve">[4]</w:t>
      </w:r>
      <w:r>
        <w:t xml:space="preserve"> </w:t>
      </w:r>
      <w:r>
        <w:rPr>
          <w:bCs/>
          <w:b/>
        </w:rPr>
        <w:t xml:space="preserve">First-time well-test cost (~$20).</w:t>
      </w:r>
      <w:r>
        <w:t xml:space="preserve"> </w:t>
      </w:r>
      <w:r>
        <w:t xml:space="preserve">Virginia Cooperative Extension Household Water Quality Program; Virginia Tech analytical fees.</w:t>
      </w:r>
      <w:r>
        <w:t xml:space="preserve"> </w:t>
      </w:r>
      <w:hyperlink r:id="rId27">
        <w:r>
          <w:rPr>
            <w:rStyle w:val="Hyperlink"/>
          </w:rPr>
          <w:t xml:space="preserve">https://www.wellwater.bse.vt.edu/</w:t>
        </w:r>
      </w:hyperlink>
    </w:p>
    <w:p>
      <w:pPr>
        <w:pStyle w:val="BodyText"/>
      </w:pPr>
      <w:r>
        <w:t xml:space="preserve">[5]</w:t>
      </w:r>
      <w:r>
        <w:t xml:space="preserve"> </w:t>
      </w:r>
      <w:r>
        <w:rPr>
          <w:bCs/>
          <w:b/>
        </w:rPr>
        <w:t xml:space="preserve">Free testing days through ESHD and ESCC; EPA SepticSmart Week.</w:t>
      </w:r>
      <w:r>
        <w:t xml:space="preserve"> </w:t>
      </w:r>
      <w:r>
        <w:t xml:space="preserve">U.S. EPA SepticSmart Week, held every September.</w:t>
      </w:r>
      <w:r>
        <w:t xml:space="preserve"> </w:t>
      </w:r>
      <w:hyperlink r:id="rId28">
        <w:r>
          <w:rPr>
            <w:rStyle w:val="Hyperlink"/>
          </w:rPr>
          <w:t xml:space="preserve">https://www.epa.gov/septic/septicsmart-week</w:t>
        </w:r>
      </w:hyperlink>
    </w:p>
    <w:p>
      <w:pPr>
        <w:pStyle w:val="BodyText"/>
      </w:pPr>
      <w:r>
        <w:t xml:space="preserve">[6]</w:t>
      </w:r>
      <w:r>
        <w:t xml:space="preserve"> </w:t>
      </w:r>
      <w:r>
        <w:rPr>
          <w:bCs/>
          <w:b/>
        </w:rPr>
        <w:t xml:space="preserve">Federal nitrate maximum contaminant level (10 mg/L).</w:t>
      </w:r>
      <w:r>
        <w:t xml:space="preserve"> </w:t>
      </w:r>
      <w:r>
        <w:t xml:space="preserve">EPA National Primary Drinking Water Regulations, 40 CFR §141.62.</w:t>
      </w:r>
      <w:r>
        <w:t xml:space="preserve"> </w:t>
      </w:r>
      <w:hyperlink r:id="rId29">
        <w:r>
          <w:rPr>
            <w:rStyle w:val="Hyperlink"/>
          </w:rPr>
          <w:t xml:space="preserve">https://www.epa.gov/dwreginfo/national-primary-drinking-water-regulations</w:t>
        </w:r>
      </w:hyperlink>
    </w:p>
    <w:p>
      <w:pPr>
        <w:pStyle w:val="BodyText"/>
      </w:pPr>
      <w:r>
        <w:t xml:space="preserve">[7]</w:t>
      </w:r>
      <w:r>
        <w:t xml:space="preserve"> </w:t>
      </w:r>
      <w:r>
        <w:rPr>
          <w:bCs/>
          <w:b/>
        </w:rPr>
        <w:t xml:space="preserve">The 10 mg/L nitrate limit was set in 1962 by the U.S. Public Health Service and has not been updated since.</w:t>
      </w:r>
      <w:r>
        <w:t xml:space="preserve"> </w:t>
      </w:r>
      <w:r>
        <w:t xml:space="preserve">Walton G. 1951. Survey of literature relating to infant methemoglobinemia due to nitrate-contaminated water.</w:t>
      </w:r>
      <w:r>
        <w:t xml:space="preserve"> </w:t>
      </w:r>
      <w:r>
        <w:rPr>
          <w:iCs/>
          <w:i/>
        </w:rPr>
        <w:t xml:space="preserve">American Journal of Public Health</w:t>
      </w:r>
      <w:r>
        <w:t xml:space="preserve"> </w:t>
      </w:r>
      <w:r>
        <w:t xml:space="preserve">41(8):986–996. PHS 1962 Drinking Water Standards (historical, retained by EPA). For a modern review of the standard’s adequacy: Ward MH, Jones RR, Brender JD, de Kok TM, Weyer PJ, Nolan BT, Villanueva CM, van Breda SG. 2018. Drinking water nitrate and human health: An updated review.</w:t>
      </w:r>
      <w:r>
        <w:t xml:space="preserve"> </w:t>
      </w:r>
      <w:r>
        <w:rPr>
          <w:iCs/>
          <w:i/>
        </w:rPr>
        <w:t xml:space="preserve">International Journal of Environmental Research and Public Health</w:t>
      </w:r>
      <w:r>
        <w:t xml:space="preserve"> </w:t>
      </w:r>
      <w:r>
        <w:t xml:space="preserve">15(7):1557.</w:t>
      </w:r>
      <w:r>
        <w:t xml:space="preserve"> </w:t>
      </w:r>
      <w:hyperlink r:id="rId30">
        <w:r>
          <w:rPr>
            <w:rStyle w:val="Hyperlink"/>
          </w:rPr>
          <w:t xml:space="preserve">https://www.ncbi.nlm.nih.gov/pmc/articles/PMC6068531/</w:t>
        </w:r>
      </w:hyperlink>
    </w:p>
    <w:p>
      <w:pPr>
        <w:pStyle w:val="BodyText"/>
      </w:pPr>
      <w:r>
        <w:t xml:space="preserve">[8]</w:t>
      </w:r>
      <w:r>
        <w:t xml:space="preserve"> </w:t>
      </w:r>
      <w:r>
        <w:rPr>
          <w:bCs/>
          <w:b/>
        </w:rPr>
        <w:t xml:space="preserve">Danish 2.7-million-person colorectal cancer / nitrate study.</w:t>
      </w:r>
      <w:r>
        <w:t xml:space="preserve"> </w:t>
      </w:r>
      <w:r>
        <w:t xml:space="preserve">Schullehner J, Hansen B, Thygesen M, Pedersen CB, Sigsgaard T. 2018. Nitrate in drinking water and colorectal cancer risk: A nationwide population-based cohort study.</w:t>
      </w:r>
      <w:r>
        <w:t xml:space="preserve"> </w:t>
      </w:r>
      <w:r>
        <w:rPr>
          <w:iCs/>
          <w:i/>
        </w:rPr>
        <w:t xml:space="preserve">International Journal of Cancer</w:t>
      </w:r>
      <w:r>
        <w:t xml:space="preserve"> </w:t>
      </w:r>
      <w:r>
        <w:t xml:space="preserve">143(1):73–79.</w:t>
      </w:r>
      <w:r>
        <w:t xml:space="preserve"> </w:t>
      </w:r>
      <w:hyperlink r:id="rId31">
        <w:r>
          <w:rPr>
            <w:rStyle w:val="Hyperlink"/>
          </w:rPr>
          <w:t xml:space="preserve">https://doi.org/10.1002/ijc.31306</w:t>
        </w:r>
      </w:hyperlink>
    </w:p>
    <w:p>
      <w:pPr>
        <w:pStyle w:val="BodyText"/>
      </w:pPr>
      <w:r>
        <w:t xml:space="preserve">[9]</w:t>
      </w:r>
      <w:r>
        <w:t xml:space="preserve"> </w:t>
      </w:r>
      <w:r>
        <w:rPr>
          <w:bCs/>
          <w:b/>
        </w:rPr>
        <w:t xml:space="preserve">Thyroid disruption at 5 mg/L nitrate (Iowa Women’s Health Study).</w:t>
      </w:r>
      <w:r>
        <w:t xml:space="preserve"> </w:t>
      </w:r>
      <w:r>
        <w:t xml:space="preserve">Ward MH, Kilfoy BA, Weyer PJ, Anderson KE, Folsom AR, Cerhan JR. 2010. Nitrate intake and the risk of thyroid cancer and thyroid disease.</w:t>
      </w:r>
      <w:r>
        <w:t xml:space="preserve"> </w:t>
      </w:r>
      <w:r>
        <w:rPr>
          <w:iCs/>
          <w:i/>
        </w:rPr>
        <w:t xml:space="preserve">Epidemiology</w:t>
      </w:r>
      <w:r>
        <w:t xml:space="preserve"> </w:t>
      </w:r>
      <w:r>
        <w:t xml:space="preserve">21(3):389–395.</w:t>
      </w:r>
      <w:r>
        <w:t xml:space="preserve"> </w:t>
      </w:r>
      <w:hyperlink r:id="rId32">
        <w:r>
          <w:rPr>
            <w:rStyle w:val="Hyperlink"/>
          </w:rPr>
          <w:t xml:space="preserve">https://doi.org/10.1097/EDE.0b013e3181d6201d</w:t>
        </w:r>
      </w:hyperlink>
      <w:r>
        <w:t xml:space="preserve">. See also Ward et al. 2018 (cited as [7]) for a comprehensive review.</w:t>
      </w:r>
    </w:p>
    <w:p>
      <w:pPr>
        <w:pStyle w:val="BodyText"/>
      </w:pPr>
      <w:r>
        <w:t xml:space="preserve">[10]</w:t>
      </w:r>
      <w:r>
        <w:t xml:space="preserve"> </w:t>
      </w:r>
      <w:r>
        <w:rPr>
          <w:bCs/>
          <w:b/>
        </w:rPr>
        <w:t xml:space="preserve">Reverse-osmosis filter performance and cost for nitrate removal at the tap.</w:t>
      </w:r>
      <w:r>
        <w:t xml:space="preserve"> </w:t>
      </w:r>
      <w:r>
        <w:t xml:space="preserve">EPA Drinking Water Treatment Technology Resources.</w:t>
      </w:r>
      <w:r>
        <w:t xml:space="preserve"> </w:t>
      </w:r>
      <w:hyperlink r:id="rId33">
        <w:r>
          <w:rPr>
            <w:rStyle w:val="Hyperlink"/>
          </w:rPr>
          <w:t xml:space="preserve">https://www.epa.gov/water-research/drinking-water-treatment-technology-unit-cost-models</w:t>
        </w:r>
      </w:hyperlink>
      <w:r>
        <w:t xml:space="preserve">. Virginia Cooperative Extension publication 442-908,</w:t>
      </w:r>
      <w:r>
        <w:t xml:space="preserve"> </w:t>
      </w:r>
      <w:r>
        <w:t xml:space="preserve">“</w:t>
      </w:r>
      <w:r>
        <w:t xml:space="preserve">Household Water Quality: Reverse Osmosis.</w:t>
      </w:r>
      <w:r>
        <w:t xml:space="preserve">”</w:t>
      </w:r>
      <w:r>
        <w:t xml:space="preserve"> </w:t>
      </w:r>
      <w:hyperlink r:id="rId34">
        <w:r>
          <w:rPr>
            <w:rStyle w:val="Hyperlink"/>
          </w:rPr>
          <w:t xml:space="preserve">https://www.pubs.ext.vt.edu/442/442-908/</w:t>
        </w:r>
      </w:hyperlink>
    </w:p>
    <w:p>
      <w:pPr>
        <w:pStyle w:val="BodyText"/>
      </w:pPr>
      <w:r>
        <w:t xml:space="preserve">[11]</w:t>
      </w:r>
      <w:r>
        <w:t xml:space="preserve"> </w:t>
      </w:r>
      <w:r>
        <w:rPr>
          <w:bCs/>
          <w:b/>
        </w:rPr>
        <w:t xml:space="preserve">Methemoglobinemia (blue baby syndrome) in infants from drinking-water nitrate.</w:t>
      </w:r>
      <w:r>
        <w:t xml:space="preserve"> </w:t>
      </w:r>
      <w:r>
        <w:t xml:space="preserve">Knobeloch L, Salna B, Hogan A, Postle J, Anderson H. 2000. Blue babies and nitrate-contaminated well water.</w:t>
      </w:r>
      <w:r>
        <w:t xml:space="preserve"> </w:t>
      </w:r>
      <w:r>
        <w:rPr>
          <w:iCs/>
          <w:i/>
        </w:rPr>
        <w:t xml:space="preserve">Environmental Health Perspectives</w:t>
      </w:r>
      <w:r>
        <w:t xml:space="preserve"> </w:t>
      </w:r>
      <w:r>
        <w:t xml:space="preserve">108(7):675–678.</w:t>
      </w:r>
      <w:r>
        <w:t xml:space="preserve"> </w:t>
      </w:r>
      <w:hyperlink r:id="rId35">
        <w:r>
          <w:rPr>
            <w:rStyle w:val="Hyperlink"/>
          </w:rPr>
          <w:t xml:space="preserve">https://www.ncbi.nlm.nih.gov/pmc/articles/PMC1638204/</w:t>
        </w:r>
      </w:hyperlink>
      <w:r>
        <w:t xml:space="preserve">. CDC private well health risks fact sheet.</w:t>
      </w:r>
      <w:r>
        <w:t xml:space="preserve"> </w:t>
      </w:r>
      <w:hyperlink r:id="rId36">
        <w:r>
          <w:rPr>
            <w:rStyle w:val="Hyperlink"/>
          </w:rPr>
          <w:t xml:space="preserve">https://www.cdc.gov/healthywater/drinking/private/wells/disease.html</w:t>
        </w:r>
      </w:hyperlink>
    </w:p>
    <w:p>
      <w:pPr>
        <w:pStyle w:val="BodyText"/>
      </w:pPr>
      <w:r>
        <w:t xml:space="preserve">[12]</w:t>
      </w:r>
      <w:r>
        <w:t xml:space="preserve"> </w:t>
      </w:r>
      <w:r>
        <w:rPr>
          <w:bCs/>
          <w:b/>
        </w:rPr>
        <w:t xml:space="preserve">Boiling water concentrates nitrate rather than removing it.</w:t>
      </w:r>
      <w:r>
        <w:t xml:space="preserve"> </w:t>
      </w:r>
      <w:r>
        <w:t xml:space="preserve">EPA Private Wells guidance.</w:t>
      </w:r>
      <w:r>
        <w:t xml:space="preserve"> </w:t>
      </w:r>
      <w:hyperlink r:id="rId37">
        <w:r>
          <w:rPr>
            <w:rStyle w:val="Hyperlink"/>
          </w:rPr>
          <w:t xml:space="preserve">https://www.epa.gov/privatewells</w:t>
        </w:r>
      </w:hyperlink>
      <w:r>
        <w:t xml:space="preserve">. CDC drinking water treatment guidance.</w:t>
      </w:r>
      <w:r>
        <w:t xml:space="preserve"> </w:t>
      </w:r>
      <w:hyperlink r:id="rId38">
        <w:r>
          <w:rPr>
            <w:rStyle w:val="Hyperlink"/>
          </w:rPr>
          <w:t xml:space="preserve">https://www.cdc.gov/healthywater/drinking/private/wells/treatment.html</w:t>
        </w:r>
      </w:hyperlink>
      <w:r>
        <w:t xml:space="preserve">. Specifically:</w:t>
      </w:r>
      <w:r>
        <w:t xml:space="preserve"> </w:t>
      </w:r>
      <w:r>
        <w:t xml:space="preserve">“</w:t>
      </w:r>
      <w:r>
        <w:t xml:space="preserve">Boiling water does not remove nitrate. Boiling causes some water to evaporate, which actually increases the concentration of nitrate in the remaining water.</w:t>
      </w:r>
      <w:r>
        <w:t xml:space="preserve">”</w:t>
      </w:r>
    </w:p>
    <w:p>
      <w:pPr>
        <w:pStyle w:val="BodyText"/>
      </w:pPr>
      <w:r>
        <w:t xml:space="preserve">[13]</w:t>
      </w:r>
      <w:r>
        <w:t xml:space="preserve"> </w:t>
      </w:r>
      <w:r>
        <w:rPr>
          <w:bCs/>
          <w:b/>
        </w:rPr>
        <w:t xml:space="preserve">Chincoteague stopped using its own groundwater and pipes water from NASA Wallops Island.</w:t>
      </w:r>
      <w:r>
        <w:t xml:space="preserve"> </w:t>
      </w:r>
      <w:r>
        <w:t xml:space="preserve">Bay Journal historical coverage; Town of Chincoteague public water history. See Pathway 5 in</w:t>
      </w:r>
      <w:r>
        <w:t xml:space="preserve"> </w:t>
      </w:r>
      <w:r>
        <w:rPr>
          <w:rStyle w:val="VerbatimChar"/>
        </w:rPr>
        <w:t xml:space="preserve">research/pathway_5_iconic_species.md</w:t>
      </w:r>
      <w:r>
        <w:t xml:space="preserve"> </w:t>
      </w:r>
      <w:r>
        <w:t xml:space="preserve">for project-team compiled context.</w:t>
      </w:r>
    </w:p>
    <w:p>
      <w:pPr>
        <w:pStyle w:val="BodyText"/>
      </w:pPr>
      <w:r>
        <w:t xml:space="preserve">[14]</w:t>
      </w:r>
      <w:r>
        <w:t xml:space="preserve"> </w:t>
      </w:r>
      <w:r>
        <w:rPr>
          <w:bCs/>
          <w:b/>
        </w:rPr>
        <w:t xml:space="preserve">Federal law does not regulate private wells.</w:t>
      </w:r>
      <w:r>
        <w:t xml:space="preserve"> </w:t>
      </w:r>
      <w:r>
        <w:t xml:space="preserve">The Safe Drinking Water Act applies only to public water systems serving 25 or more people for at least 60 days a year. EPA private well overview.</w:t>
      </w:r>
      <w:r>
        <w:t xml:space="preserve"> </w:t>
      </w:r>
      <w:hyperlink r:id="rId39">
        <w:r>
          <w:rPr>
            <w:rStyle w:val="Hyperlink"/>
          </w:rPr>
          <w:t xml:space="preserve">https://www.epa.gov/privatewells/learn-about-private-water-wells</w:t>
        </w:r>
      </w:hyperlink>
    </w:p>
    <w:p>
      <w:pPr>
        <w:pStyle w:val="BodyText"/>
      </w:pPr>
      <w:r>
        <w:t xml:space="preserve">[15]</w:t>
      </w:r>
      <w:r>
        <w:t xml:space="preserve"> </w:t>
      </w:r>
      <w:r>
        <w:rPr>
          <w:bCs/>
          <w:b/>
        </w:rPr>
        <w:t xml:space="preserve">Sea-level rise and rising water tables are compromising aging Eastern Shore drainfields.</w:t>
      </w:r>
      <w:r>
        <w:t xml:space="preserve"> </w:t>
      </w:r>
      <w:r>
        <w:t xml:space="preserve">Mitchell M, Isdell RE, Herman J, Tombleson C. 2021. Impact assessment and management challenges of key rural human health infrastructure under sea level rise.</w:t>
      </w:r>
      <w:r>
        <w:t xml:space="preserve"> </w:t>
      </w:r>
      <w:r>
        <w:rPr>
          <w:iCs/>
          <w:i/>
        </w:rPr>
        <w:t xml:space="preserve">Frontiers in Marine Science</w:t>
      </w:r>
      <w:r>
        <w:t xml:space="preserve"> </w:t>
      </w:r>
      <w:r>
        <w:t xml:space="preserve">8:631757.</w:t>
      </w:r>
      <w:r>
        <w:t xml:space="preserve"> </w:t>
      </w:r>
      <w:hyperlink r:id="rId40">
        <w:r>
          <w:rPr>
            <w:rStyle w:val="Hyperlink"/>
          </w:rPr>
          <w:t xml:space="preserve">https://doi.org/10.3389/fmars.2021.631757</w:t>
        </w:r>
      </w:hyperlink>
      <w:r>
        <w:t xml:space="preserve">. See also Hesamfar et al. (in review),</w:t>
      </w:r>
      <w:r>
        <w:t xml:space="preserve"> </w:t>
      </w:r>
      <w:r>
        <w:rPr>
          <w:iCs/>
          <w:i/>
        </w:rPr>
        <w:t xml:space="preserve">Journal of Hydrology</w:t>
      </w:r>
      <w:r>
        <w:t xml:space="preserve"> </w:t>
      </w:r>
      <w:r>
        <w:t xml:space="preserve">— SEAWAT modeling of ESVA septic vulnerability under sea-level-rise scenarios.</w:t>
      </w:r>
    </w:p>
    <w:p>
      <w:pPr>
        <w:pStyle w:val="BodyText"/>
      </w:pPr>
      <w:r>
        <w:t xml:space="preserve">[16]</w:t>
      </w:r>
      <w:r>
        <w:t xml:space="preserve"> </w:t>
      </w:r>
      <w:r>
        <w:rPr>
          <w:bCs/>
          <w:b/>
        </w:rPr>
        <w:t xml:space="preserve">18,000 Eastern Shore septic systems; ~7,800 projected at-risk by 2040.</w:t>
      </w:r>
      <w:r>
        <w:t xml:space="preserve"> </w:t>
      </w:r>
      <w:r>
        <w:t xml:space="preserve">UVA Environmental Institute Climate Collaborative proposal,</w:t>
      </w:r>
      <w:r>
        <w:t xml:space="preserve"> </w:t>
      </w:r>
      <w:r>
        <w:t xml:space="preserve">“</w:t>
      </w:r>
      <w:r>
        <w:t xml:space="preserve">Co-Producing Equitable Solutions to Septic System Failures</w:t>
      </w:r>
      <w:r>
        <w:t xml:space="preserve">”</w:t>
      </w:r>
      <w:r>
        <w:t xml:space="preserve"> </w:t>
      </w:r>
      <w:r>
        <w:t xml:space="preserve">(2026–2028). Eastern Shore Climate Equity StoryMap, April 2025.</w:t>
      </w:r>
      <w:r>
        <w:t xml:space="preserve"> </w:t>
      </w:r>
      <w:hyperlink r:id="rId41">
        <w:r>
          <w:rPr>
            <w:rStyle w:val="Hyperlink"/>
          </w:rPr>
          <w:t xml:space="preserve">https://storymaps.arcgis.com/stories/bb039401ce4c4b8491e4074dffe64f8e</w:t>
        </w:r>
      </w:hyperlink>
    </w:p>
    <w:p>
      <w:pPr>
        <w:pStyle w:val="BodyText"/>
      </w:pPr>
      <w:r>
        <w:t xml:space="preserve">[17]</w:t>
      </w:r>
      <w:r>
        <w:t xml:space="preserve"> </w:t>
      </w:r>
      <w:r>
        <w:rPr>
          <w:bCs/>
          <w:b/>
        </w:rPr>
        <w:t xml:space="preserve">Pump-out cost (~$400) and the Accomack–Northampton Planning District Commission pump-out assistance program.</w:t>
      </w:r>
      <w:r>
        <w:t xml:space="preserve"> </w:t>
      </w:r>
      <w:r>
        <w:t xml:space="preserve">A-NPDC Ground Water Committee and onsite sewage program.</w:t>
      </w:r>
      <w:r>
        <w:t xml:space="preserve"> </w:t>
      </w:r>
      <w:hyperlink r:id="rId42">
        <w:r>
          <w:rPr>
            <w:rStyle w:val="Hyperlink"/>
          </w:rPr>
          <w:t xml:space="preserve">https://a-npdc.org/accomack-northampton-planning-district-commission/ground-water-management/</w:t>
        </w:r>
      </w:hyperlink>
      <w:r>
        <w:t xml:space="preserve">. Virginia Department of Environmental Quality Septic Pumpout grants (administered through A-NPDC).</w:t>
      </w:r>
    </w:p>
    <w:p>
      <w:pPr>
        <w:pStyle w:val="BodyText"/>
      </w:pPr>
      <w:r>
        <w:t xml:space="preserve">[18]</w:t>
      </w:r>
      <w:r>
        <w:t xml:space="preserve"> </w:t>
      </w:r>
      <w:r>
        <w:rPr>
          <w:bCs/>
          <w:b/>
        </w:rPr>
        <w:t xml:space="preserve">The</w:t>
      </w:r>
      <w:r>
        <w:rPr>
          <w:bCs/>
          <w:b/>
        </w:rPr>
        <w:t xml:space="preserve"> </w:t>
      </w:r>
      <w:r>
        <w:rPr>
          <w:bCs/>
          <w:b/>
        </w:rPr>
        <w:t xml:space="preserve">“</w:t>
      </w:r>
      <w:r>
        <w:rPr>
          <w:bCs/>
          <w:b/>
        </w:rPr>
        <w:t xml:space="preserve">three P’s</w:t>
      </w:r>
      <w:r>
        <w:rPr>
          <w:bCs/>
          <w:b/>
        </w:rPr>
        <w:t xml:space="preserve">”</w:t>
      </w:r>
      <w:r>
        <w:rPr>
          <w:bCs/>
          <w:b/>
        </w:rPr>
        <w:t xml:space="preserve"> </w:t>
      </w:r>
      <w:r>
        <w:rPr>
          <w:bCs/>
          <w:b/>
        </w:rPr>
        <w:t xml:space="preserve">rule for what to flush.</w:t>
      </w:r>
      <w:r>
        <w:t xml:space="preserve"> </w:t>
      </w:r>
      <w:r>
        <w:t xml:space="preserve">EPA SepticSmart</w:t>
      </w:r>
      <w:r>
        <w:t xml:space="preserve"> </w:t>
      </w:r>
      <w:r>
        <w:t xml:space="preserve">“</w:t>
      </w:r>
      <w:r>
        <w:t xml:space="preserve">Do’s and Don’ts.</w:t>
      </w:r>
      <w:r>
        <w:t xml:space="preserve">”</w:t>
      </w:r>
      <w:r>
        <w:t xml:space="preserve"> </w:t>
      </w:r>
      <w:hyperlink r:id="rId43">
        <w:r>
          <w:rPr>
            <w:rStyle w:val="Hyperlink"/>
          </w:rPr>
          <w:t xml:space="preserve">https://www.epa.gov/septic/septicsmart-homeowners</w:t>
        </w:r>
      </w:hyperlink>
    </w:p>
    <w:p>
      <w:pPr>
        <w:pStyle w:val="BodyText"/>
      </w:pPr>
      <w:r>
        <w:t xml:space="preserve">[19]</w:t>
      </w:r>
      <w:r>
        <w:t xml:space="preserve"> </w:t>
      </w:r>
      <w:r>
        <w:rPr>
          <w:bCs/>
          <w:b/>
        </w:rPr>
        <w:t xml:space="preserve">Virginia Onsite Sewage Indemnification Fund — eligibility at up to 200% of the federal poverty level.</w:t>
      </w:r>
      <w:r>
        <w:t xml:space="preserve"> </w:t>
      </w:r>
      <w:r>
        <w:t xml:space="preserve">Virginia Code §32.1-164.1:1. Virginia Department of Health, Office of Environmental Health Services.</w:t>
      </w:r>
      <w:r>
        <w:t xml:space="preserve"> </w:t>
      </w:r>
      <w:hyperlink r:id="rId44">
        <w:r>
          <w:rPr>
            <w:rStyle w:val="Hyperlink"/>
          </w:rPr>
          <w:t xml:space="preserve">https://www.vdh.virginia.gov/environmental-health/onsite-sewage-water-services-updated/funding-opportunities/</w:t>
        </w:r>
      </w:hyperlink>
    </w:p>
    <w:p>
      <w:pPr>
        <w:pStyle w:val="BodyText"/>
      </w:pPr>
      <w:r>
        <w:t xml:space="preserve">[20]</w:t>
      </w:r>
      <w:r>
        <w:t xml:space="preserve"> </w:t>
      </w:r>
      <w:r>
        <w:rPr>
          <w:bCs/>
          <w:b/>
        </w:rPr>
        <w:t xml:space="preserve">HRSD Eastern Shore sewer extension — Nassawadox, Exmore, Keller, Onley, Onancock, Accomac, Wachapreague.</w:t>
      </w:r>
      <w:r>
        <w:t xml:space="preserve"> </w:t>
      </w:r>
      <w:r>
        <w:t xml:space="preserve">Hampton Roads Sanitation District Eastern Shore Sewer Infrastructure Improvements project.</w:t>
      </w:r>
      <w:r>
        <w:t xml:space="preserve"> </w:t>
      </w:r>
      <w:hyperlink r:id="rId45">
        <w:r>
          <w:rPr>
            <w:rStyle w:val="Hyperlink"/>
          </w:rPr>
          <w:t xml:space="preserve">https://www.hrsd.com/eastern-shore-sewer-infrastructure-improvements</w:t>
        </w:r>
      </w:hyperlink>
    </w:p>
    <w:p>
      <w:r>
        <w:pict>
          <v:rect style="width:0;height:1.5pt" o:hralign="center" o:hrstd="t" o:hr="t"/>
        </w:pict>
      </w:r>
    </w:p>
    <w:bookmarkEnd w:id="46"/>
    <w:bookmarkStart w:id="47" w:name="editorial-notes-not-for-publication"/>
    <w:p>
      <w:pPr>
        <w:pStyle w:val="Heading2"/>
      </w:pPr>
      <w:r>
        <w:t xml:space="preserve">Editorial notes (not for publication)</w:t>
      </w:r>
    </w:p>
    <w:p>
      <w:pPr>
        <w:pStyle w:val="FirstParagraph"/>
      </w:pPr>
      <w:r>
        <w:rPr>
          <w:bCs/>
          <w:b/>
        </w:rPr>
        <w:t xml:space="preserve">Position in the series.</w:t>
      </w:r>
      <w:r>
        <w:t xml:space="preserve"> </w:t>
      </w:r>
      <w:r>
        <w:t xml:space="preserve">This is Part 2 of a planned series. Part 1 (the ecological version,</w:t>
      </w:r>
      <w:r>
        <w:t xml:space="preserve"> </w:t>
      </w:r>
      <w:r>
        <w:rPr>
          <w:rStyle w:val="VerbatimChar"/>
        </w:rPr>
        <w:t xml:space="preserve">article_eastern_shore_post_v1.md</w:t>
      </w:r>
      <w:r>
        <w:t xml:space="preserve">) leads with seafood industry and Hog Island Bay; Part 2 leads with family and the kitchen tap. Both articles converge on the same household action list — pump-outs, well testing, three Ps, repair subsidies — because the underlying actions don’t change; only the motivation does. Running them in sequence (a week or two apart) lets a reader who didn’t connect with one of them catch the other.</w:t>
      </w:r>
    </w:p>
    <w:p>
      <w:pPr>
        <w:pStyle w:val="BodyText"/>
      </w:pPr>
      <w:r>
        <w:rPr>
          <w:bCs/>
          <w:b/>
        </w:rPr>
        <w:t xml:space="preserve">Empowerment lean is deliberate.</w:t>
      </w:r>
      <w:r>
        <w:t xml:space="preserve"> </w:t>
      </w:r>
      <w:r>
        <w:t xml:space="preserve">The team’s prior behavioral research (</w:t>
      </w:r>
      <w:r>
        <w:rPr>
          <w:rStyle w:val="VerbatimChar"/>
        </w:rPr>
        <w:t xml:space="preserve">WHY_THIS_MATTERS.md</w:t>
      </w:r>
      <w:r>
        <w:t xml:space="preserve"> </w:t>
      </w:r>
      <w:r>
        <w:t xml:space="preserve">Part 6) shows that attitude predicts action more strongly than fear, that in-person beats letters, and that the intention-to-action gap is what kills well-meaning outreach. The article is written to give readers information they didn’t have, the specific next step (test), and the explicit assurance that this isn’t their fault. It deliberately resists the urge to lead with cancer statistics, even though the data would support it.</w:t>
      </w:r>
    </w:p>
    <w:p>
      <w:pPr>
        <w:pStyle w:val="BodyText"/>
      </w:pPr>
      <w:r>
        <w:rPr>
          <w:bCs/>
          <w:b/>
        </w:rPr>
        <w:t xml:space="preserve">Numbers used and their sources.</w:t>
      </w:r>
      <w:r>
        <w:t xml:space="preserve"> </w:t>
      </w:r>
      <w:r>
        <w:t xml:space="preserve">- 43 percent of tested Shore wells showing contamination — from</w:t>
      </w:r>
      <w:r>
        <w:t xml:space="preserve"> </w:t>
      </w:r>
      <w:r>
        <w:rPr>
          <w:rStyle w:val="VerbatimChar"/>
        </w:rPr>
        <w:t xml:space="preserve">WHY_THIS_MATTERS.md</w:t>
      </w:r>
      <w:r>
        <w:t xml:space="preserve"> </w:t>
      </w:r>
      <w:r>
        <w:t xml:space="preserve">Part 2.</w:t>
      </w:r>
      <w:r>
        <w:t xml:space="preserve"> </w:t>
      </w:r>
      <w:r>
        <w:t xml:space="preserve">- Federal nitrate limit (10 mg/L), 1962 origin — from</w:t>
      </w:r>
      <w:r>
        <w:t xml:space="preserve"> </w:t>
      </w:r>
      <w:r>
        <w:rPr>
          <w:rStyle w:val="VerbatimChar"/>
        </w:rPr>
        <w:t xml:space="preserve">WHY_THIS_MATTERS.md</w:t>
      </w:r>
      <w:r>
        <w:t xml:space="preserve"> </w:t>
      </w:r>
      <w:r>
        <w:t xml:space="preserve">Part 1.</w:t>
      </w:r>
      <w:r>
        <w:t xml:space="preserve"> </w:t>
      </w:r>
      <w:r>
        <w:t xml:space="preserve">- Danish 2.7-million-person colorectal cancer study (significant increase above 3.87 mg/L) —</w:t>
      </w:r>
      <w:r>
        <w:t xml:space="preserve"> </w:t>
      </w:r>
      <w:r>
        <w:rPr>
          <w:rStyle w:val="VerbatimChar"/>
        </w:rPr>
        <w:t xml:space="preserve">WHY_THIS_MATTERS.md</w:t>
      </w:r>
      <w:r>
        <w:t xml:space="preserve"> </w:t>
      </w:r>
      <w:r>
        <w:t xml:space="preserve">Part 1.</w:t>
      </w:r>
      <w:r>
        <w:t xml:space="preserve"> </w:t>
      </w:r>
      <w:r>
        <w:t xml:space="preserve">- Thyroid disruption at 5 mg/L —</w:t>
      </w:r>
      <w:r>
        <w:t xml:space="preserve"> </w:t>
      </w:r>
      <w:r>
        <w:rPr>
          <w:rStyle w:val="VerbatimChar"/>
        </w:rPr>
        <w:t xml:space="preserve">CHRONIC_DISEASE_CONTAMINANT_RESEARCH.md</w:t>
      </w:r>
      <w:r>
        <w:t xml:space="preserve">.</w:t>
      </w:r>
      <w:r>
        <w:t xml:space="preserve"> </w:t>
      </w:r>
      <w:r>
        <w:t xml:space="preserve">- 18,000 ESVA septic systems, 7,800 at-risk by 2040, $156M total replacement — project proposal.</w:t>
      </w:r>
      <w:r>
        <w:t xml:space="preserve"> </w:t>
      </w:r>
      <w:r>
        <w:t xml:space="preserve">- EPA sole-source aquifer designation 1997 —</w:t>
      </w:r>
      <w:r>
        <w:t xml:space="preserve"> </w:t>
      </w:r>
      <w:r>
        <w:rPr>
          <w:rStyle w:val="VerbatimChar"/>
        </w:rPr>
        <w:t xml:space="preserve">ECOLOGICAL_EFFECTS_SYNTHESIS.md</w:t>
      </w:r>
      <w:r>
        <w:t xml:space="preserve"> </w:t>
      </w:r>
      <w:r>
        <w:t xml:space="preserve">Section 1.</w:t>
      </w:r>
      <w:r>
        <w:t xml:space="preserve"> </w:t>
      </w:r>
      <w:r>
        <w:t xml:space="preserve">- Chincoteague water-pipe history —</w:t>
      </w:r>
      <w:r>
        <w:t xml:space="preserve"> </w:t>
      </w:r>
      <w:r>
        <w:rPr>
          <w:rStyle w:val="VerbatimChar"/>
        </w:rPr>
        <w:t xml:space="preserve">WHY_THIS_MATTERS.md</w:t>
      </w:r>
      <w:r>
        <w:t xml:space="preserve"> </w:t>
      </w:r>
      <w:r>
        <w:t xml:space="preserve">and Pathway 5.</w:t>
      </w:r>
      <w:r>
        <w:t xml:space="preserve"> </w:t>
      </w:r>
      <w:r>
        <w:t xml:space="preserve">- Pump-out cost, 50:1 ratio, A-NPDC programs —</w:t>
      </w:r>
      <w:r>
        <w:t xml:space="preserve"> </w:t>
      </w:r>
      <w:r>
        <w:rPr>
          <w:rStyle w:val="VerbatimChar"/>
        </w:rPr>
        <w:t xml:space="preserve">WHY_THIS_MATTERS.md</w:t>
      </w:r>
      <w:r>
        <w:t xml:space="preserve"> </w:t>
      </w:r>
      <w:r>
        <w:t xml:space="preserve">Parts 4 and 7.</w:t>
      </w:r>
      <w:r>
        <w:t xml:space="preserve"> </w:t>
      </w:r>
      <w:r>
        <w:t xml:space="preserve">- Indemnification Fund (≤200% poverty level) —</w:t>
      </w:r>
      <w:r>
        <w:t xml:space="preserve"> </w:t>
      </w:r>
      <w:r>
        <w:rPr>
          <w:rStyle w:val="VerbatimChar"/>
        </w:rPr>
        <w:t xml:space="preserve">WHY_THIS_MATTERS.md</w:t>
      </w:r>
      <w:r>
        <w:t xml:space="preserve"> </w:t>
      </w:r>
      <w:r>
        <w:t xml:space="preserve">Part 6.</w:t>
      </w:r>
    </w:p>
    <w:p>
      <w:pPr>
        <w:pStyle w:val="BodyText"/>
      </w:pPr>
      <w:r>
        <w:rPr>
          <w:bCs/>
          <w:b/>
        </w:rPr>
        <w:t xml:space="preserve">Items left out and why.</w:t>
      </w:r>
      <w:r>
        <w:t xml:space="preserve"> </w:t>
      </w:r>
      <w:r>
        <w:t xml:space="preserve">- PFAS, pharmaceuticals, antibiotic resistance genes. Real and important but cumulative, harder to act on at the household level beyond</w:t>
      </w:r>
      <w:r>
        <w:t xml:space="preserve"> </w:t>
      </w:r>
      <w:r>
        <w:t xml:space="preserve">“</w:t>
      </w:r>
      <w:r>
        <w:t xml:space="preserve">filter your drinking water,</w:t>
      </w:r>
      <w:r>
        <w:t xml:space="preserve">”</w:t>
      </w:r>
      <w:r>
        <w:t xml:space="preserve"> </w:t>
      </w:r>
      <w:r>
        <w:t xml:space="preserve">and would dilute the article’s empowering tone.</w:t>
      </w:r>
      <w:r>
        <w:t xml:space="preserve"> </w:t>
      </w:r>
      <w:r>
        <w:t xml:space="preserve">- The full Shore health-disparity picture (3-year life expectancy gap, 40 percent obesity, 52–73 percent higher premature death rates). Powerful context but lands as</w:t>
      </w:r>
      <w:r>
        <w:t xml:space="preserve"> </w:t>
      </w:r>
      <w:r>
        <w:t xml:space="preserve">“</w:t>
      </w:r>
      <w:r>
        <w:t xml:space="preserve">your community is sick</w:t>
      </w:r>
      <w:r>
        <w:t xml:space="preserve">”</w:t>
      </w:r>
      <w:r>
        <w:t xml:space="preserve"> </w:t>
      </w:r>
      <w:r>
        <w:t xml:space="preserve">— discouraging rather than empowering for a general reader. A future op-ed under a named author byline could use this material.</w:t>
      </w:r>
      <w:r>
        <w:t xml:space="preserve"> </w:t>
      </w:r>
      <w:r>
        <w:t xml:space="preserve">- The</w:t>
      </w:r>
      <w:r>
        <w:t xml:space="preserve"> </w:t>
      </w:r>
      <w:r>
        <w:t xml:space="preserve">“</w:t>
      </w:r>
      <w:r>
        <w:t xml:space="preserve">cocktail effect</w:t>
      </w:r>
      <w:r>
        <w:t xml:space="preserve">”</w:t>
      </w:r>
      <w:r>
        <w:t xml:space="preserve"> </w:t>
      </w:r>
      <w:r>
        <w:t xml:space="preserve">research gap. Important for scholarly readers; abstract for a community newspaper audience.</w:t>
      </w:r>
      <w:r>
        <w:t xml:space="preserve"> </w:t>
      </w:r>
      <w:r>
        <w:t xml:space="preserve">- The ecological dollar figures from the Pathway 4 shellfish work (the $81M, 700 jobs). Already in Part 1.</w:t>
      </w:r>
      <w:r>
        <w:t xml:space="preserve"> </w:t>
      </w:r>
      <w:r>
        <w:t xml:space="preserve">- Detailed regulatory critique. Briefly noted as</w:t>
      </w:r>
      <w:r>
        <w:t xml:space="preserve"> </w:t>
      </w:r>
      <w:r>
        <w:t xml:space="preserve">“</w:t>
      </w:r>
      <w:r>
        <w:t xml:space="preserve">this isn’t your fault</w:t>
      </w:r>
      <w:r>
        <w:t xml:space="preserve">”</w:t>
      </w:r>
      <w:r>
        <w:t xml:space="preserve"> </w:t>
      </w:r>
      <w:r>
        <w:t xml:space="preserve">rather than expanded — empowerment tone calls for a quick acknowledgment, not a long indictment.</w:t>
      </w:r>
    </w:p>
    <w:p>
      <w:pPr>
        <w:pStyle w:val="BodyText"/>
      </w:pPr>
      <w:r>
        <w:rPr>
          <w:bCs/>
          <w:b/>
        </w:rPr>
        <w:t xml:space="preserve">Risk management.</w:t>
      </w:r>
      <w:r>
        <w:t xml:space="preserve"> </w:t>
      </w:r>
      <w:r>
        <w:t xml:space="preserve">- The cancer paragraph is written carefully to convey real risk without inducing fatalism.</w:t>
      </w:r>
      <w:r>
        <w:t xml:space="preserve"> </w:t>
      </w:r>
      <w:r>
        <w:t xml:space="preserve">“</w:t>
      </w:r>
      <w:r>
        <w:t xml:space="preserve">Most Shore wells are probably fine. What you don’t know is which ones.</w:t>
      </w:r>
      <w:r>
        <w:t xml:space="preserve">”</w:t>
      </w:r>
      <w:r>
        <w:t xml:space="preserve"> </w:t>
      </w:r>
      <w:r>
        <w:t xml:space="preserve">This phrasing has appeared multiple times in the team’s prior outreach material.</w:t>
      </w:r>
      <w:r>
        <w:t xml:space="preserve"> </w:t>
      </w:r>
      <w:r>
        <w:t xml:space="preserve">- The infant formula section is the most safety-critical content in the article. The</w:t>
      </w:r>
      <w:r>
        <w:t xml:space="preserve"> </w:t>
      </w:r>
      <w:r>
        <w:t xml:space="preserve">“</w:t>
      </w:r>
      <w:r>
        <w:t xml:space="preserve">boiling concentrates nitrate</w:t>
      </w:r>
      <w:r>
        <w:t xml:space="preserve">”</w:t>
      </w:r>
      <w:r>
        <w:t xml:space="preserve"> </w:t>
      </w:r>
      <w:r>
        <w:t xml:space="preserve">fact is genuinely counterintuitive and worth a sidebar that a parent could clip or screenshot. Pediatrician verification of the recommendations is worthwhile before publication.</w:t>
      </w:r>
      <w:r>
        <w:t xml:space="preserve"> </w:t>
      </w:r>
      <w:r>
        <w:t xml:space="preserve">- The Chincoteague history is used as a</w:t>
      </w:r>
      <w:r>
        <w:t xml:space="preserve"> </w:t>
      </w:r>
      <w:r>
        <w:t xml:space="preserve">“</w:t>
      </w:r>
      <w:r>
        <w:t xml:space="preserve">this happened here</w:t>
      </w:r>
      <w:r>
        <w:t xml:space="preserve">”</w:t>
      </w:r>
      <w:r>
        <w:t xml:space="preserve"> </w:t>
      </w:r>
      <w:r>
        <w:t xml:space="preserve">demonstration rather than as a</w:t>
      </w:r>
      <w:r>
        <w:t xml:space="preserve"> </w:t>
      </w:r>
      <w:r>
        <w:t xml:space="preserve">“</w:t>
      </w:r>
      <w:r>
        <w:t xml:space="preserve">this could happen here</w:t>
      </w:r>
      <w:r>
        <w:t xml:space="preserve">”</w:t>
      </w:r>
      <w:r>
        <w:t xml:space="preserve"> </w:t>
      </w:r>
      <w:r>
        <w:t xml:space="preserve">warning, again to keep the tone empowering rather than alarming.</w:t>
      </w:r>
    </w:p>
    <w:p>
      <w:pPr>
        <w:pStyle w:val="BodyText"/>
      </w:pPr>
      <w:r>
        <w:rPr>
          <w:bCs/>
          <w:b/>
        </w:rPr>
        <w:t xml:space="preserve">Numbers worth team verification before publication.</w:t>
      </w:r>
      <w:r>
        <w:t xml:space="preserve"> </w:t>
      </w:r>
      <w:r>
        <w:t xml:space="preserve">- The $20 typical first-time well-test cost — verify with the health district. Some kit prices have changed.</w:t>
      </w:r>
      <w:r>
        <w:t xml:space="preserve"> </w:t>
      </w:r>
      <w:r>
        <w:t xml:space="preserve">- The reverse-osmosis filter costs ($200 installed, $50/year replacement) — current as of recent extension-service sources but should be a quick local check.</w:t>
      </w:r>
      <w:r>
        <w:t xml:space="preserve"> </w:t>
      </w:r>
      <w:r>
        <w:t xml:space="preserve">- The 757-787-5886 phone number — public VDH directory listing; the project team should confirm it’s still current and that someone there can field test questions.</w:t>
      </w:r>
      <w:r>
        <w:t xml:space="preserve"> </w:t>
      </w:r>
      <w:r>
        <w:t xml:space="preserve">- The Indemnification Fund’s poverty-line threshold — confirm 200% is still the current eligibility cutoff.</w:t>
      </w:r>
    </w:p>
    <w:p>
      <w:pPr>
        <w:pStyle w:val="BodyText"/>
      </w:pPr>
      <w:r>
        <w:rPr>
          <w:bCs/>
          <w:b/>
        </w:rPr>
        <w:t xml:space="preserve">Suggested follow-up versions.</w:t>
      </w:r>
      <w:r>
        <w:t xml:space="preserve"> </w:t>
      </w:r>
      <w:r>
        <w:t xml:space="preserve">- Spanish-language version. The action items translate cleanly; the formula safety section is especially important for Shore Spanish-speaking households where reach is limited.</w:t>
      </w:r>
      <w:r>
        <w:t xml:space="preserve"> </w:t>
      </w:r>
      <w:r>
        <w:t xml:space="preserve">- Op-ed version under a named author byline — Dr. Foxworthy, a pediatrician, or a parent who has gone through a well-test-result conversation.</w:t>
      </w:r>
      <w:r>
        <w:t xml:space="preserve"> </w:t>
      </w:r>
      <w:r>
        <w:t xml:space="preserve">- A condensed</w:t>
      </w:r>
      <w:r>
        <w:t xml:space="preserve"> </w:t>
      </w:r>
      <w:r>
        <w:t xml:space="preserve">“</w:t>
      </w:r>
      <w:r>
        <w:t xml:space="preserve">fridge-magnet</w:t>
      </w:r>
      <w:r>
        <w:t xml:space="preserve">”</w:t>
      </w:r>
      <w:r>
        <w:t xml:space="preserve"> </w:t>
      </w:r>
      <w:r>
        <w:t xml:space="preserve">or one-page handout version of the action sidebar and the infant formula sidebar, for distribution at pediatrician offices, WIC clinics, and the community college.</w:t>
      </w:r>
      <w:r>
        <w:t xml:space="preserve"> </w:t>
      </w:r>
      <w:r>
        <w:t xml:space="preserve">- A future Part 3 of the series — possibly focused on financing, the HRSD sewer expansion, and what the project’s decision-support work will mean for households over the next few years.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a-npdc.org/accomack-northampton-planning-district-commission/ground-water-management/" TargetMode="External" /><Relationship Type="http://schemas.openxmlformats.org/officeDocument/2006/relationships/hyperlink" Id="rId31" Target="https://doi.org/10.1002/ijc.31306" TargetMode="External" /><Relationship Type="http://schemas.openxmlformats.org/officeDocument/2006/relationships/hyperlink" Id="rId32" Target="https://doi.org/10.1097/EDE.0b013e3181d6201d" TargetMode="External" /><Relationship Type="http://schemas.openxmlformats.org/officeDocument/2006/relationships/hyperlink" Id="rId40" Target="https://doi.org/10.3389/fmars.2021.631757" TargetMode="External" /><Relationship Type="http://schemas.openxmlformats.org/officeDocument/2006/relationships/hyperlink" Id="rId41" Target="https://storymaps.arcgis.com/stories/bb039401ce4c4b8491e4074dffe64f8e" TargetMode="External" /><Relationship Type="http://schemas.openxmlformats.org/officeDocument/2006/relationships/hyperlink" Id="rId25" Target="https://www.bayjournal.com/news/pollution/septic-system-failures-expected-to-increase-in-coastal-virginia/article_3fed2079-1b2a-5e5c-a8a0-e1080844cc16.html" TargetMode="External" /><Relationship Type="http://schemas.openxmlformats.org/officeDocument/2006/relationships/hyperlink" Id="rId36" Target="https://www.cdc.gov/healthywater/drinking/private/wells/disease.html" TargetMode="External" /><Relationship Type="http://schemas.openxmlformats.org/officeDocument/2006/relationships/hyperlink" Id="rId38" Target="https://www.cdc.gov/healthywater/drinking/private/wells/treatment.html" TargetMode="External" /><Relationship Type="http://schemas.openxmlformats.org/officeDocument/2006/relationships/hyperlink" Id="rId29" Target="https://www.epa.gov/dwreginfo/national-primary-drinking-water-regulations" TargetMode="External" /><Relationship Type="http://schemas.openxmlformats.org/officeDocument/2006/relationships/hyperlink" Id="rId37" Target="https://www.epa.gov/privatewells" TargetMode="External" /><Relationship Type="http://schemas.openxmlformats.org/officeDocument/2006/relationships/hyperlink" Id="rId39" Target="https://www.epa.gov/privatewells/learn-about-private-water-wells" TargetMode="External" /><Relationship Type="http://schemas.openxmlformats.org/officeDocument/2006/relationships/hyperlink" Id="rId43" Target="https://www.epa.gov/septic/septicsmart-homeowners" TargetMode="External" /><Relationship Type="http://schemas.openxmlformats.org/officeDocument/2006/relationships/hyperlink" Id="rId28" Target="https://www.epa.gov/septic/septicsmart-week" TargetMode="External" /><Relationship Type="http://schemas.openxmlformats.org/officeDocument/2006/relationships/hyperlink" Id="rId33" Target="https://www.epa.gov/water-research/drinking-water-treatment-technology-unit-cost-models" TargetMode="External" /><Relationship Type="http://schemas.openxmlformats.org/officeDocument/2006/relationships/hyperlink" Id="rId24" Target="https://www.federalregister.gov/documents/1997/03/12/97-6235/eastern-shore-of-virginia-aquifer-sole-source-aquifer-designation" TargetMode="External" /><Relationship Type="http://schemas.openxmlformats.org/officeDocument/2006/relationships/hyperlink" Id="rId45" Target="https://www.hrsd.com/eastern-shore-sewer-infrastructure-improvements" TargetMode="External" /><Relationship Type="http://schemas.openxmlformats.org/officeDocument/2006/relationships/hyperlink" Id="rId35" Target="https://www.ncbi.nlm.nih.gov/pmc/articles/PMC1638204/" TargetMode="External" /><Relationship Type="http://schemas.openxmlformats.org/officeDocument/2006/relationships/hyperlink" Id="rId30" Target="https://www.ncbi.nlm.nih.gov/pmc/articles/PMC6068531/" TargetMode="External" /><Relationship Type="http://schemas.openxmlformats.org/officeDocument/2006/relationships/hyperlink" Id="rId34" Target="https://www.pubs.ext.vt.edu/442/442-908/" TargetMode="External" /><Relationship Type="http://schemas.openxmlformats.org/officeDocument/2006/relationships/hyperlink" Id="rId44" Target="https://www.vdh.virginia.gov/environmental-health/onsite-sewage-water-services-updated/funding-opportunities/" TargetMode="External" /><Relationship Type="http://schemas.openxmlformats.org/officeDocument/2006/relationships/hyperlink" Id="rId26" Target="https://www.vdh.virginia.gov/environmental-health/onsite-sewage-water-services-updated/private-wells/" TargetMode="External" /><Relationship Type="http://schemas.openxmlformats.org/officeDocument/2006/relationships/hyperlink" Id="rId27" Target="https://www.wellwater.bse.vt.edu/" TargetMode="External" /></Relationships>
</file>

<file path=word/_rels/footnotes.xml.rels><?xml version="1.0" encoding="UTF-8"?><Relationships xmlns="http://schemas.openxmlformats.org/package/2006/relationships"><Relationship Type="http://schemas.openxmlformats.org/officeDocument/2006/relationships/hyperlink" Id="rId42" Target="https://a-npdc.org/accomack-northampton-planning-district-commission/ground-water-management/" TargetMode="External" /><Relationship Type="http://schemas.openxmlformats.org/officeDocument/2006/relationships/hyperlink" Id="rId31" Target="https://doi.org/10.1002/ijc.31306" TargetMode="External" /><Relationship Type="http://schemas.openxmlformats.org/officeDocument/2006/relationships/hyperlink" Id="rId32" Target="https://doi.org/10.1097/EDE.0b013e3181d6201d" TargetMode="External" /><Relationship Type="http://schemas.openxmlformats.org/officeDocument/2006/relationships/hyperlink" Id="rId40" Target="https://doi.org/10.3389/fmars.2021.631757" TargetMode="External" /><Relationship Type="http://schemas.openxmlformats.org/officeDocument/2006/relationships/hyperlink" Id="rId41" Target="https://storymaps.arcgis.com/stories/bb039401ce4c4b8491e4074dffe64f8e" TargetMode="External" /><Relationship Type="http://schemas.openxmlformats.org/officeDocument/2006/relationships/hyperlink" Id="rId25" Target="https://www.bayjournal.com/news/pollution/septic-system-failures-expected-to-increase-in-coastal-virginia/article_3fed2079-1b2a-5e5c-a8a0-e1080844cc16.html" TargetMode="External" /><Relationship Type="http://schemas.openxmlformats.org/officeDocument/2006/relationships/hyperlink" Id="rId36" Target="https://www.cdc.gov/healthywater/drinking/private/wells/disease.html" TargetMode="External" /><Relationship Type="http://schemas.openxmlformats.org/officeDocument/2006/relationships/hyperlink" Id="rId38" Target="https://www.cdc.gov/healthywater/drinking/private/wells/treatment.html" TargetMode="External" /><Relationship Type="http://schemas.openxmlformats.org/officeDocument/2006/relationships/hyperlink" Id="rId29" Target="https://www.epa.gov/dwreginfo/national-primary-drinking-water-regulations" TargetMode="External" /><Relationship Type="http://schemas.openxmlformats.org/officeDocument/2006/relationships/hyperlink" Id="rId37" Target="https://www.epa.gov/privatewells" TargetMode="External" /><Relationship Type="http://schemas.openxmlformats.org/officeDocument/2006/relationships/hyperlink" Id="rId39" Target="https://www.epa.gov/privatewells/learn-about-private-water-wells" TargetMode="External" /><Relationship Type="http://schemas.openxmlformats.org/officeDocument/2006/relationships/hyperlink" Id="rId43" Target="https://www.epa.gov/septic/septicsmart-homeowners" TargetMode="External" /><Relationship Type="http://schemas.openxmlformats.org/officeDocument/2006/relationships/hyperlink" Id="rId28" Target="https://www.epa.gov/septic/septicsmart-week" TargetMode="External" /><Relationship Type="http://schemas.openxmlformats.org/officeDocument/2006/relationships/hyperlink" Id="rId33" Target="https://www.epa.gov/water-research/drinking-water-treatment-technology-unit-cost-models" TargetMode="External" /><Relationship Type="http://schemas.openxmlformats.org/officeDocument/2006/relationships/hyperlink" Id="rId24" Target="https://www.federalregister.gov/documents/1997/03/12/97-6235/eastern-shore-of-virginia-aquifer-sole-source-aquifer-designation" TargetMode="External" /><Relationship Type="http://schemas.openxmlformats.org/officeDocument/2006/relationships/hyperlink" Id="rId45" Target="https://www.hrsd.com/eastern-shore-sewer-infrastructure-improvements" TargetMode="External" /><Relationship Type="http://schemas.openxmlformats.org/officeDocument/2006/relationships/hyperlink" Id="rId35" Target="https://www.ncbi.nlm.nih.gov/pmc/articles/PMC1638204/" TargetMode="External" /><Relationship Type="http://schemas.openxmlformats.org/officeDocument/2006/relationships/hyperlink" Id="rId30" Target="https://www.ncbi.nlm.nih.gov/pmc/articles/PMC6068531/" TargetMode="External" /><Relationship Type="http://schemas.openxmlformats.org/officeDocument/2006/relationships/hyperlink" Id="rId34" Target="https://www.pubs.ext.vt.edu/442/442-908/" TargetMode="External" /><Relationship Type="http://schemas.openxmlformats.org/officeDocument/2006/relationships/hyperlink" Id="rId44" Target="https://www.vdh.virginia.gov/environmental-health/onsite-sewage-water-services-updated/funding-opportunities/" TargetMode="External" /><Relationship Type="http://schemas.openxmlformats.org/officeDocument/2006/relationships/hyperlink" Id="rId26" Target="https://www.vdh.virginia.gov/environmental-health/onsite-sewage-water-services-updated/private-wells/" TargetMode="External" /><Relationship Type="http://schemas.openxmlformats.org/officeDocument/2006/relationships/hyperlink" Id="rId27" Target="https://www.wellwater.bse.v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2026-07-27T20:28:28Z</dcterms:created>
  <dcterms:modified xsi:type="dcterms:W3CDTF">2026-07-27T20:28:28Z</dcterms:modified>
</cp:coreProperties>
</file>

<file path=docProps/custom.xml><?xml version="1.0" encoding="utf-8"?>
<Properties xmlns="http://schemas.openxmlformats.org/officeDocument/2006/custom-properties" xmlns:vt="http://schemas.openxmlformats.org/officeDocument/2006/docPropsVTypes"/>
</file>