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d90501ec8871bb6b085b364eb533d797350bd60"/>
    <w:p>
      <w:pPr>
        <w:pStyle w:val="Heading1"/>
      </w:pPr>
      <w:r>
        <w:t xml:space="preserve">Pathway 2 — Tidal creeks and salt marsh nutrient dynamics</w:t>
      </w:r>
    </w:p>
    <w:p>
      <w:pPr>
        <w:pStyle w:val="FirstParagraph"/>
      </w:pPr>
      <w:r>
        <w:rPr>
          <w:iCs/>
          <w:i/>
        </w:rPr>
        <w:t xml:space="preserve">Draft — ESVA Septic Project ecological synthesis. Author-year citations inline; full references at end.</w:t>
      </w:r>
    </w:p>
    <w:bookmarkStart w:id="20" w:name="mechanism-of-harm"/>
    <w:p>
      <w:pPr>
        <w:pStyle w:val="Heading2"/>
      </w:pPr>
      <w:r>
        <w:t xml:space="preserve">Mechanism of harm</w:t>
      </w:r>
    </w:p>
    <w:p>
      <w:pPr>
        <w:pStyle w:val="FirstParagraph"/>
      </w:pPr>
      <w:r>
        <w:t xml:space="preserve">Tidal creeks and their fringing salt marshes are the transitional zone between upland septic drainfields and the open receiving waters of the Chesapeake Bay and the Atlantic barrier-island lagoons. Four mechanisms link failing decentralized septic systems to ecological harm in this zone.</w:t>
      </w:r>
    </w:p>
    <w:p>
      <w:pPr>
        <w:pStyle w:val="BodyText"/>
      </w:pPr>
      <w:r>
        <w:rPr>
          <w:bCs/>
          <w:b/>
        </w:rPr>
        <w:t xml:space="preserve">1. Groundwater-mediated nitrogen delivery.</w:t>
      </w:r>
      <w:r>
        <w:t xml:space="preserve"> </w:t>
      </w:r>
      <w:r>
        <w:t xml:space="preserve">In coastal plain settings, a large fraction of tidal creek flow originates as groundwater discharge rather than overland runoff. Shallow septic drainfields leach nitrate (NO₃⁻) into the surficial aquifer; nitrate moves laterally with groundwater and emerges at creek banks and creek heads (Bohlke and Denver 1995; Speiran 2010). Because nitrate is mobile in oxygenated groundwater and removal by denitrification requires low-oxygen, carbon-rich conditions, much of the septic-derived nitrogen can reach tidal waters intact (Capps et al. 2020).</w:t>
      </w:r>
    </w:p>
    <w:p>
      <w:pPr>
        <w:pStyle w:val="BodyText"/>
      </w:pPr>
      <w:r>
        <w:rPr>
          <w:bCs/>
          <w:b/>
        </w:rPr>
        <w:t xml:space="preserve">2. Creek and marsh-surface eutrophication.</w:t>
      </w:r>
      <w:r>
        <w:t xml:space="preserve"> </w:t>
      </w:r>
      <w:r>
        <w:t xml:space="preserve">Once in the tidal channel, dissolved inorganic nitrogen fuels phytoplankton growth, benthic microalgae, and especially opportunistic macroalgae such as</w:t>
      </w:r>
      <w:r>
        <w:t xml:space="preserve"> </w:t>
      </w:r>
      <w:r>
        <w:rPr>
          <w:iCs/>
          <w:i/>
        </w:rPr>
        <w:t xml:space="preserve">Ulva</w:t>
      </w:r>
      <w:r>
        <w:t xml:space="preserve"> </w:t>
      </w:r>
      <w:r>
        <w:t xml:space="preserve">and the non-native</w:t>
      </w:r>
      <w:r>
        <w:t xml:space="preserve"> </w:t>
      </w:r>
      <w:r>
        <w:rPr>
          <w:iCs/>
          <w:i/>
        </w:rPr>
        <w:t xml:space="preserve">Gracilaria vermiculophylla</w:t>
      </w:r>
      <w:r>
        <w:t xml:space="preserve"> </w:t>
      </w:r>
      <w:r>
        <w:t xml:space="preserve">(Tyler, McGlathery, and Anderson 2001; Thomsen and McGlathery 2007). Dense macroalgal mats shade submerged aquatic vegetation, alter sediment oxygen conditions, and cycle nitrogen between the water column and porewater in ways that sustain bloom biomass long after external inputs decline (Tyler et al. 2003; McGlathery, Sundbäck, and Anderson 2007).</w:t>
      </w:r>
    </w:p>
    <w:p>
      <w:pPr>
        <w:pStyle w:val="BodyText"/>
      </w:pPr>
      <w:r>
        <w:rPr>
          <w:bCs/>
          <w:b/>
        </w:rPr>
        <w:t xml:space="preserve">3. Salt marsh vegetation response and bank collapse.</w:t>
      </w:r>
      <w:r>
        <w:t xml:space="preserve"> </w:t>
      </w:r>
      <w:r>
        <w:t xml:space="preserve">Chronic nitrogen loading alters how</w:t>
      </w:r>
      <w:r>
        <w:t xml:space="preserve"> </w:t>
      </w:r>
      <w:r>
        <w:rPr>
          <w:iCs/>
          <w:i/>
        </w:rPr>
        <w:t xml:space="preserve">Spartina alterniflora</w:t>
      </w:r>
      <w:r>
        <w:t xml:space="preserve"> </w:t>
      </w:r>
      <w:r>
        <w:t xml:space="preserve">— the dominant salt marsh grass — allocates biomass. Under enrichment, plants invest more carbon in above-ground leaves and less in the dense below-ground rhizome mat that physically holds the marsh peat together. Combined with accelerated microbial decomposition of marsh organic matter under high N, this weakens the structural integrity of creek banks. The nine-year TIDE whole-ecosystem enrichment experiment at Plum Island, Massachusetts (Deegan et al. 2012) found that at roughly 10× ambient nitrogen loading (~1,700 kg N creek⁻¹ yr⁻¹), creek banks began to fracture and slump, converting vegetated marsh edge to unvegetated mudflat. This is the strongest experimental demonstration to date that coastal nutrient loading can drive outright marsh loss through a mechanism distinct from sea-level-rise drowning.</w:t>
      </w:r>
    </w:p>
    <w:p>
      <w:pPr>
        <w:pStyle w:val="BodyText"/>
      </w:pPr>
      <w:r>
        <w:rPr>
          <w:bCs/>
          <w:b/>
        </w:rPr>
        <w:t xml:space="preserve">4. Pathogen delivery via short groundwater flow paths.</w:t>
      </w:r>
      <w:r>
        <w:t xml:space="preserve"> </w:t>
      </w:r>
      <w:r>
        <w:t xml:space="preserve">Where drainfields sit close to tidal creeks and the separation distance between the drainfield trench and the water table is small — conditions widespread on ESVA — bacterial and viral contamination can reach surface waters before soil passage removes them. This pathway primarily matters for the shellfish and human-contact uses covered in Pathway 4, but it also affects creek-bottom microbial communities and nutrient cycling (Carroll et al. 2005).</w:t>
      </w:r>
    </w:p>
    <w:p>
      <w:pPr>
        <w:pStyle w:val="BodyText"/>
      </w:pPr>
      <w:r>
        <w:t xml:space="preserve">These mechanisms interact. Eutrophied creeks support larger macroalgal mats, which when they senesce deposit organic matter on the marsh surface and accelerate peat decomposition, reinforcing bank collapse (Deegan et al. 2012). Sea-level rise further compresses the unsaturated zone above drainfields, shortening the travel path for nitrate and pathogens to reach creeks and shifting marsh denitrification zones landward (Weston 2014; Kirwan and Megonigal 2013). The combined result is a system in which the ecological consequences of septic failure scale nonlinearly with climate change.</w:t>
      </w:r>
    </w:p>
    <w:bookmarkEnd w:id="20"/>
    <w:bookmarkStart w:id="21" w:name="esva-specific-evidence"/>
    <w:p>
      <w:pPr>
        <w:pStyle w:val="Heading2"/>
      </w:pPr>
      <w:r>
        <w:t xml:space="preserve">ESVA-specific evidence</w:t>
      </w:r>
    </w:p>
    <w:p>
      <w:pPr>
        <w:pStyle w:val="FirstParagraph"/>
      </w:pPr>
      <w:r>
        <w:t xml:space="preserve">ESVA is unusually well suited to this pathway because of the peninsula’s hydrography. The Shore has no significant surface streams — a fact EPA cited when designating the aquifer system sole-source — and its tidal creeks are fed principally by groundwater discharge (Richardson 1994; Speiran 1996). The</w:t>
      </w:r>
      <w:r>
        <w:t xml:space="preserve"> </w:t>
      </w:r>
      <w:r>
        <w:rPr>
          <w:iCs/>
          <w:i/>
        </w:rPr>
        <w:t xml:space="preserve">Accomack County Regional Water Supply Plan</w:t>
      </w:r>
      <w:r>
        <w:t xml:space="preserve"> </w:t>
      </w:r>
      <w:r>
        <w:t xml:space="preserve">(2010) states that the county’s thirty tidal creeks</w:t>
      </w:r>
      <w:r>
        <w:t xml:space="preserve"> </w:t>
      </w:r>
      <w:r>
        <w:t xml:space="preserve">“</w:t>
      </w:r>
      <w:r>
        <w:t xml:space="preserve">are largely supplied from groundwater discharge (approximately 80%).</w:t>
      </w:r>
      <w:r>
        <w:t xml:space="preserve">”</w:t>
      </w:r>
      <w:r>
        <w:t xml:space="preserve"> </w:t>
      </w:r>
      <w:r>
        <w:rPr>
          <w:iCs/>
          <w:i/>
        </w:rPr>
        <w:t xml:space="preserve">[Scope note: this figure is specific to Accomack County. No equivalent published figure has been located for Northampton, though its hydrogeologic setting is broadly similar. Note also that the claim concerns the share of creek supply/flow, not of baseflow — baseflow is by definition the groundwater-derived component.]</w:t>
      </w:r>
      <w:r>
        <w:t xml:space="preserve"> </w:t>
      </w:r>
      <w:r>
        <w:t xml:space="preserve">This means virtually every septic drainfield on the peninsula sits in the upgradient contributing area of at least one tidal creek, and nitrate leaving the drainfield has a short, direct groundwater path to the creek mouth.</w:t>
      </w:r>
    </w:p>
    <w:p>
      <w:pPr>
        <w:pStyle w:val="BodyText"/>
      </w:pPr>
      <w:r>
        <w:rPr>
          <w:bCs/>
          <w:b/>
        </w:rPr>
        <w:t xml:space="preserve">USGS riparian buffer study.</w:t>
      </w:r>
      <w:r>
        <w:t xml:space="preserve"> </w:t>
      </w:r>
      <w:r>
        <w:t xml:space="preserve">Speiran (1996, 2010) examined groundwater nitrate transport across two riparian forest corridors on the Eastern Shore. Nitrate concentrations exceeding 10 mg L⁻¹ beneath cropland declined to about 2 mg L⁻¹ beneath the riparian buffer, but the removal was attributable to specific flow-path and organic-soil conditions rather than to the buffer vegetation itself. At the coastal site, groundwater carrying &gt;5 mg L⁻¹ was forced deeper beneath the buffer, bypassing the shallow denitrification zone and delivering nitrate directly to tidal waters. The implication for septic systems is that the usual assumption —</w:t>
      </w:r>
      <w:r>
        <w:t xml:space="preserve"> </w:t>
      </w:r>
      <w:r>
        <w:t xml:space="preserve">“</w:t>
      </w:r>
      <w:r>
        <w:t xml:space="preserve">the buffer will catch it</w:t>
      </w:r>
      <w:r>
        <w:t xml:space="preserve">”</w:t>
      </w:r>
      <w:r>
        <w:t xml:space="preserve"> </w:t>
      </w:r>
      <w:r>
        <w:t xml:space="preserve">— does not hold under ESVA hydrogeology when source concentrations are high and flow paths are deep.</w:t>
      </w:r>
    </w:p>
    <w:p>
      <w:pPr>
        <w:pStyle w:val="BodyText"/>
      </w:pPr>
      <w:r>
        <w:rPr>
          <w:bCs/>
          <w:b/>
        </w:rPr>
        <w:t xml:space="preserve">Virginia Coast Reserve LTER salt marsh research.</w:t>
      </w:r>
      <w:r>
        <w:t xml:space="preserve"> </w:t>
      </w:r>
      <w:r>
        <w:t xml:space="preserve">The VCR LTER (NSF-funded since 1987) has produced the most sustained ecological research program on ESVA salt marshes. Work by the McGlathery group has shown that VCR salt marshes are typically nitrogen-limited in young marshes, with nitrogen fixation supplementing plant N supply (Tyler, McGlathery, and Anderson 2003; Thomsen et al. 2007). This baseline N limitation is precisely what makes these marshes responsive to septic-derived enrichment — added N translates directly into vegetation and algal response. The TIDE-type bank-collapse mechanism documented at Plum Island (Deegan et al. 2012) has not been tested experimentally on ESVA, but the VCR marshes share the microtidal regime,</w:t>
      </w:r>
      <w:r>
        <w:t xml:space="preserve"> </w:t>
      </w:r>
      <w:r>
        <w:rPr>
          <w:iCs/>
          <w:i/>
        </w:rPr>
        <w:t xml:space="preserve">Spartina</w:t>
      </w:r>
      <w:r>
        <w:t xml:space="preserve">-dominated vegetation, and organic-rich peat that make the Plum Island findings mechanistically transferable.</w:t>
      </w:r>
    </w:p>
    <w:p>
      <w:pPr>
        <w:pStyle w:val="BodyText"/>
      </w:pPr>
      <w:r>
        <w:rPr>
          <w:bCs/>
          <w:b/>
        </w:rPr>
        <w:t xml:space="preserve">Macroalgal blooms in Hog Island Bay.</w:t>
      </w:r>
      <w:r>
        <w:t xml:space="preserve"> </w:t>
      </w:r>
      <w:r>
        <w:t xml:space="preserve">A multi-year VCR LTER time series documented persistent macroalgal blooms in the shallow lagoon system bordered by ESVA tidal creeks.</w:t>
      </w:r>
      <w:r>
        <w:t xml:space="preserve"> </w:t>
      </w:r>
      <w:r>
        <w:rPr>
          <w:iCs/>
          <w:i/>
        </w:rPr>
        <w:t xml:space="preserve">Gracilaria vermiculophylla</w:t>
      </w:r>
      <w:r>
        <w:t xml:space="preserve"> </w:t>
      </w:r>
      <w:r>
        <w:t xml:space="preserve">— a non-native red alga — dominated macroalgal biomass, making up roughly 74 to 90 percent of total algal biomass across seasons and sites (Thomsen and McGlathery 2007; Thomsen 2010). Tyler, McGlathery, and Anderson (2001) measured the nitrogen-release rates of these mats and found that average daily release equaled roughly 67 percent of gross uptake, meaning the macroalgal biomass functions as a slow-release nitrogen reservoir that sustains blooms long after the original loading pulse. This dynamic is directly relevant to septic-driven creek eutrophication: chronic low-level septic inputs can support persistent blooms without requiring acute spikes.</w:t>
      </w:r>
    </w:p>
    <w:p>
      <w:pPr>
        <w:pStyle w:val="BodyText"/>
      </w:pPr>
      <w:r>
        <w:rPr>
          <w:bCs/>
          <w:b/>
        </w:rPr>
        <w:t xml:space="preserve">Marsh stability and sea-level-rise interaction.</w:t>
      </w:r>
      <w:r>
        <w:t xml:space="preserve"> </w:t>
      </w:r>
      <w:r>
        <w:t xml:space="preserve">Work by Kirwan and collaborators at the Virginia Institute of Marine Science has documented that ESVA salt marshes are losing ground to open water at rates among the highest in the mid-Atlantic (Kirwan et al. 2016; Kirwan and Megonigal 2013). The dominant mechanism attributed in most analyses is relative sea-level rise outpacing vertical accretion, but the Deegan et al. (2012) bank-collapse pathway is a plausible compounding contributor that has not been systematically partitioned for ESVA. Coupled eutrophication–SLR marsh dynamics are an active area in Kirwan’s recent work.</w:t>
      </w:r>
    </w:p>
    <w:p>
      <w:pPr>
        <w:pStyle w:val="BodyText"/>
      </w:pPr>
      <w:r>
        <w:rPr>
          <w:bCs/>
          <w:b/>
        </w:rPr>
        <w:t xml:space="preserve">Mitchell et al. 2021 regional assessment.</w:t>
      </w:r>
      <w:r>
        <w:t xml:space="preserve"> </w:t>
      </w:r>
      <w:r>
        <w:t xml:space="preserve">Mitchell, Isdell, Herman, and Tombleson (2021) mapped septic vulnerability across the Virginia coastal plain and specifically noted the density of septic systems within short groundwater distances of tidal creeks on ESVA. Their analysis did not directly measure creek N loading, but it established that a substantial fraction of ESVA septics sit in positions from which effluent can reach tidal waters within plausible groundwater travel times of years to decades.</w:t>
      </w:r>
    </w:p>
    <w:p>
      <w:pPr>
        <w:pStyle w:val="BodyText"/>
      </w:pPr>
      <w:r>
        <w:t xml:space="preserve">ESVA-specific evidence tying</w:t>
      </w:r>
      <w:r>
        <w:t xml:space="preserve"> </w:t>
      </w:r>
      <w:r>
        <w:rPr>
          <w:bCs/>
          <w:b/>
        </w:rPr>
        <w:t xml:space="preserve">failing septic systems</w:t>
      </w:r>
      <w:r>
        <w:t xml:space="preserve"> </w:t>
      </w:r>
      <w:r>
        <w:t xml:space="preserve">(as distinct from operating septic systems) to</w:t>
      </w:r>
      <w:r>
        <w:t xml:space="preserve"> </w:t>
      </w:r>
      <w:r>
        <w:rPr>
          <w:bCs/>
          <w:b/>
        </w:rPr>
        <w:t xml:space="preserve">specific ecological outcomes in tidal creeks</w:t>
      </w:r>
      <w:r>
        <w:t xml:space="preserve"> </w:t>
      </w:r>
      <w:r>
        <w:t xml:space="preserve">remains thin. The mechanistic chain is well supported by local hydrology, local marsh research, and analogue experiments, but end-to-end attribution studies on ESVA creeks have not yet been published.</w:t>
      </w:r>
    </w:p>
    <w:bookmarkEnd w:id="21"/>
    <w:bookmarkStart w:id="22" w:name="analogue-region-evidence"/>
    <w:p>
      <w:pPr>
        <w:pStyle w:val="Heading2"/>
      </w:pPr>
      <w:r>
        <w:t xml:space="preserve">Analogue-region evidence</w:t>
      </w:r>
    </w:p>
    <w:p>
      <w:pPr>
        <w:pStyle w:val="FirstParagraph"/>
      </w:pPr>
      <w:r>
        <w:t xml:space="preserve">Because ESVA-specific end-to-end attribution studies are limited, the strongest experimental and attribution evidence for this pathway comes from three analogue systems.</w:t>
      </w:r>
    </w:p>
    <w:p>
      <w:pPr>
        <w:pStyle w:val="BodyText"/>
      </w:pPr>
      <w:r>
        <w:rPr>
          <w:bCs/>
          <w:b/>
        </w:rPr>
        <w:t xml:space="preserve">Plum Island Ecosystems LTER, Massachusetts (TIDE experiment).</w:t>
      </w:r>
      <w:r>
        <w:t xml:space="preserve"> </w:t>
      </w:r>
      <w:r>
        <w:t xml:space="preserve">The nine-year TIDE experiment (Deegan et al. 2012) remains the definitive demonstration that coastal-scale nitrogen enrichment can convert vegetated salt marsh to unvegetated mudflat. Researchers added nitrate at roughly 10× ambient loading to whole tidal creeks and their fringing marshes for nine consecutive growing seasons. The experiment documented increased above-ground</w:t>
      </w:r>
      <w:r>
        <w:t xml:space="preserve"> </w:t>
      </w:r>
      <w:r>
        <w:rPr>
          <w:iCs/>
          <w:i/>
        </w:rPr>
        <w:t xml:space="preserve">Spartina</w:t>
      </w:r>
      <w:r>
        <w:t xml:space="preserve"> </w:t>
      </w:r>
      <w:r>
        <w:t xml:space="preserve">biomass, decreased below-ground rhizome mass, elevated microbial decomposition of marsh peat, and ultimately the fracturing and slumping of creek banks. The enrichment loading (1,700 kg N creek⁻¹ yr⁻¹) was chosen specifically to match the loads receiving estuaries commonly see in developed coastal watersheds. Transferability to ESVA is strong: Plum Island and ESVA both have microtidal regimes,</w:t>
      </w:r>
      <w:r>
        <w:t xml:space="preserve"> </w:t>
      </w:r>
      <w:r>
        <w:rPr>
          <w:iCs/>
          <w:i/>
        </w:rPr>
        <w:t xml:space="preserve">Spartina alterniflora</w:t>
      </w:r>
      <w:r>
        <w:t xml:space="preserve">-dominated vegetation, organic peat banks, and tidal creek networks of comparable dimension. The main difference is salinity regime — Plum Island is somewhat fresher at the marsh platform — but the mechanism does not depend on salinity.</w:t>
      </w:r>
    </w:p>
    <w:p>
      <w:pPr>
        <w:pStyle w:val="BodyText"/>
      </w:pPr>
      <w:r>
        <w:rPr>
          <w:bCs/>
          <w:b/>
        </w:rPr>
        <w:t xml:space="preserve">Waquoit Bay, Massachusetts (Cape Cod septic-N studies).</w:t>
      </w:r>
      <w:r>
        <w:t xml:space="preserve"> </w:t>
      </w:r>
      <w:r>
        <w:t xml:space="preserve">Valiela and collaborators built the foundational attribution framework for septic-derived nitrogen loading to a coastal-plain embayment. Using nitrogen stable isotopes, land-use gradients, and mass balance, the Waquoit Bay studies demonstrated that septic systems on a sandy coastal plain can contribute 30–75 percent of total nitrogen load to downgradient estuaries, with the exact share dependent on housing density, drainfield–to–creek distance, and groundwater travel time (Valiela et al. 1997; Bowen and Valiela 2001, 2008). These studies remain the cleanest demonstrations that residential septic density, independent of agricultural sources, can dominate nutrient budgets in a small coastal watershed. Transferability to ESVA is high for the Bayside sub-watersheds where septic density is elevated and groundwater flow paths are short; lower for the more agriculturally dominated northern Accomack sub-basins where agricultural nitrogen is likely to swamp the septic signal.</w:t>
      </w:r>
    </w:p>
    <w:p>
      <w:pPr>
        <w:pStyle w:val="BodyText"/>
      </w:pPr>
      <w:r>
        <w:rPr>
          <w:bCs/>
          <w:b/>
        </w:rPr>
        <w:t xml:space="preserve">Great South Bay, New York and Indian River Lagoon, Florida.</w:t>
      </w:r>
      <w:r>
        <w:t xml:space="preserve"> </w:t>
      </w:r>
      <w:r>
        <w:t xml:space="preserve">Both are shallow lagoon systems that experienced progressive ecological decline linked to increasing watershed nitrogen loading. Great South Bay suffered the</w:t>
      </w:r>
      <w:r>
        <w:t xml:space="preserve"> </w:t>
      </w:r>
      <w:r>
        <w:rPr>
          <w:iCs/>
          <w:i/>
        </w:rPr>
        <w:t xml:space="preserve">Aureococcus anophagefferens</w:t>
      </w:r>
      <w:r>
        <w:t xml:space="preserve"> </w:t>
      </w:r>
      <w:r>
        <w:t xml:space="preserve">brown tide and eelgrass collapse that has been attributed in part to septic nitrogen loading from the dense residential development of Long Island (Gobler, Boneillo, and Debenham 2005; Kinney and Valiela 2011). Indian River Lagoon has undergone repeated seagrass collapse events and persistent HABs, with septic-system nitrogen identified as a significant and growing contributor (Phlips et al. 2015; Lapointe et al. 2015, 2020). Both systems show the nonlinear, regime-shift character of shallow lagoon eutrophication that is directly relevant to the ESVA seaside system covered in Pathway 3b, but the tidal creek dynamics — nutrient delivery via groundwater, macroalgal response, and marsh edge consequences — are shared.</w:t>
      </w:r>
    </w:p>
    <w:p>
      <w:pPr>
        <w:pStyle w:val="BodyText"/>
      </w:pPr>
      <w:r>
        <w:t xml:space="preserve">None of these analogues is a perfect ESVA substitute. Plum Island has better experimental control but different salinity and geomorphology. Waquoit Bay has the cleanest septic attribution but a much smaller watershed. Great South Bay and Indian River Lagoon have ecological outcomes that approach worst-case trajectories but reflect decades of loading history ESVA has not yet accumulated. Taken together, however, they converge on a consistent picture: chronic nitrogen loading from dense residential septic systems in coastal-plain watersheds alters tidal creek and marsh ecology through mechanisms that are mechanistically understood, experimentally validated, and repeatedly observed.</w:t>
      </w:r>
    </w:p>
    <w:bookmarkEnd w:id="22"/>
    <w:bookmarkStart w:id="23" w:name="strength-of-evidence-assessment"/>
    <w:p>
      <w:pPr>
        <w:pStyle w:val="Heading2"/>
      </w:pPr>
      <w:r>
        <w:t xml:space="preserve">Strength-of-evidence assessment</w:t>
      </w:r>
    </w:p>
    <w:p>
      <w:pPr>
        <w:pStyle w:val="FirstParagraph"/>
      </w:pPr>
      <w:r>
        <w:t xml:space="preserve">Using the synthesis’s four-level labeling scheme (ESTABLISHED / STRONGLY SUPPORTED / PLAUSIBLE / SPECULATIVE):</w:t>
      </w:r>
    </w:p>
    <w:p>
      <w:pPr>
        <w:numPr>
          <w:ilvl w:val="0"/>
          <w:numId w:val="1001"/>
        </w:numPr>
      </w:pPr>
      <w:r>
        <w:rPr>
          <w:bCs/>
          <w:b/>
        </w:rPr>
        <w:t xml:space="preserve">Groundwater-mediated delivery of septic nitrate to ESVA tidal creeks — STRONGLY SUPPORTED.</w:t>
      </w:r>
      <w:r>
        <w:t xml:space="preserve"> </w:t>
      </w:r>
      <w:r>
        <w:t xml:space="preserve">The hydrogeologic architecture (shallow Columbia aquifer, short flow paths, 80 percent groundwater-fed creek baseflow) is well documented (Richardson 1994; Speiran 1996, 2010). What is ESTABLISHED in analogue systems (Waquoit Bay) is mechanistically transferable to ESVA with high confidence, but direct ESVA-specific attribution studies have not yet been published.</w:t>
      </w:r>
    </w:p>
    <w:p>
      <w:pPr>
        <w:numPr>
          <w:ilvl w:val="0"/>
          <w:numId w:val="1001"/>
        </w:numPr>
      </w:pPr>
      <w:r>
        <w:rPr>
          <w:bCs/>
          <w:b/>
        </w:rPr>
        <w:t xml:space="preserve">Chronic low-level nitrogen loading supports macroalgal blooms in ESVA lagoons and creek mouths — ESTABLISHED.</w:t>
      </w:r>
      <w:r>
        <w:t xml:space="preserve"> </w:t>
      </w:r>
      <w:r>
        <w:t xml:space="preserve">The Hog Island Bay time series (Tyler, McGlathery, and Anderson 2001, 2003; Thomsen and McGlathery 2007) directly documented this. The fraction of the loading attributable to septic versus agricultural versus atmospheric sources is not yet partitioned for ESVA.</w:t>
      </w:r>
    </w:p>
    <w:p>
      <w:pPr>
        <w:numPr>
          <w:ilvl w:val="0"/>
          <w:numId w:val="1001"/>
        </w:numPr>
      </w:pPr>
      <w:r>
        <w:rPr>
          <w:bCs/>
          <w:b/>
        </w:rPr>
        <w:t xml:space="preserve">Nitrogen loading at TIDE-experiment levels causes salt marsh bank collapse — ESTABLISHED.</w:t>
      </w:r>
      <w:r>
        <w:t xml:space="preserve"> </w:t>
      </w:r>
      <w:r>
        <w:t xml:space="preserve">The Deegan et al. (2012) experimental evidence is definitive within its system.</w:t>
      </w:r>
    </w:p>
    <w:p>
      <w:pPr>
        <w:numPr>
          <w:ilvl w:val="0"/>
          <w:numId w:val="1001"/>
        </w:numPr>
      </w:pPr>
      <w:r>
        <w:rPr>
          <w:bCs/>
          <w:b/>
        </w:rPr>
        <w:t xml:space="preserve">Bank-collapse mechanism is operative at current ESVA loading rates — PLAUSIBLE.</w:t>
      </w:r>
      <w:r>
        <w:t xml:space="preserve"> </w:t>
      </w:r>
      <w:r>
        <w:t xml:space="preserve">The experimental loading in TIDE (~10× reference) is higher than best estimates of current ESVA loading. The mechanism likely operates at lower rates as well, but the dose–response curve is not well characterized and the threshold for ecologically meaningful change is uncertain. Chronic low-level enrichment may contribute to observed marsh loss on ESVA but cannot yet be partitioned from sea-level rise as the dominant driver.</w:t>
      </w:r>
    </w:p>
    <w:p>
      <w:pPr>
        <w:numPr>
          <w:ilvl w:val="0"/>
          <w:numId w:val="1001"/>
        </w:numPr>
      </w:pPr>
      <w:r>
        <w:rPr>
          <w:bCs/>
          <w:b/>
        </w:rPr>
        <w:t xml:space="preserve">Failing (as opposed to operating) septic systems on ESVA are a measurable contributor to current creek nitrogen loads — PLAUSIBLE.</w:t>
      </w:r>
      <w:r>
        <w:t xml:space="preserve"> </w:t>
      </w:r>
      <w:r>
        <w:t xml:space="preserve">Mechanism is sound; direct measurement is absent.</w:t>
      </w:r>
    </w:p>
    <w:p>
      <w:pPr>
        <w:numPr>
          <w:ilvl w:val="0"/>
          <w:numId w:val="1001"/>
        </w:numPr>
      </w:pPr>
      <w:r>
        <w:rPr>
          <w:bCs/>
          <w:b/>
        </w:rPr>
        <w:t xml:space="preserve">Marsh collapse on ESVA is currently being accelerated by septic-derived nitrogen — SPECULATIVE.</w:t>
      </w:r>
      <w:r>
        <w:t xml:space="preserve"> </w:t>
      </w:r>
      <w:r>
        <w:t xml:space="preserve">Would require partitioning among SLR, legacy agricultural loading, and septic loading that has not been attempted.</w:t>
      </w:r>
    </w:p>
    <w:bookmarkEnd w:id="23"/>
    <w:bookmarkStart w:id="24" w:name="data-gaps"/>
    <w:p>
      <w:pPr>
        <w:pStyle w:val="Heading2"/>
      </w:pPr>
      <w:r>
        <w:t xml:space="preserve">Data gaps</w:t>
      </w:r>
    </w:p>
    <w:p>
      <w:pPr>
        <w:pStyle w:val="FirstParagraph"/>
      </w:pPr>
      <w:r>
        <w:t xml:space="preserve">The most important open questions on this pathway, framed as actionable research targets for the project’s Expansion Stage and for ESCC capstone projects:</w:t>
      </w:r>
    </w:p>
    <w:p>
      <w:pPr>
        <w:numPr>
          <w:ilvl w:val="0"/>
          <w:numId w:val="1002"/>
        </w:numPr>
      </w:pPr>
      <w:r>
        <w:rPr>
          <w:bCs/>
          <w:b/>
        </w:rPr>
        <w:t xml:space="preserve">Source attribution for nitrogen loads in ESVA tidal creeks.</w:t>
      </w:r>
      <w:r>
        <w:t xml:space="preserve"> </w:t>
      </w:r>
      <w:r>
        <w:t xml:space="preserve">What fraction of the dissolved inorganic nitrogen flux reaching individual ESVA tidal creeks comes from septic systems versus agricultural applications versus atmospheric deposition? Methods exist (stable isotope mixing models, co-tracer approaches using caffeine or acesulfame, Bayesian mixing analysis); the work has simply not been done on ESVA creeks. A single well-designed synoptic sampling study across 5–10 creeks spanning a septic-density gradient would substantially close this gap.</w:t>
      </w:r>
    </w:p>
    <w:p>
      <w:pPr>
        <w:numPr>
          <w:ilvl w:val="0"/>
          <w:numId w:val="1002"/>
        </w:numPr>
      </w:pPr>
      <w:r>
        <w:rPr>
          <w:bCs/>
          <w:b/>
        </w:rPr>
        <w:t xml:space="preserve">Baseline macroalgal biomass and loading dose–response.</w:t>
      </w:r>
      <w:r>
        <w:t xml:space="preserve"> </w:t>
      </w:r>
      <w:r>
        <w:t xml:space="preserve">Current macroalgal dynamics in Hog Island Bay and other seaside bays are documented, but a loading dose–response that would let managers forecast bloom changes under different septic-mitigation scenarios is absent. VCR LTER data are the obvious starting point.</w:t>
      </w:r>
    </w:p>
    <w:p>
      <w:pPr>
        <w:numPr>
          <w:ilvl w:val="0"/>
          <w:numId w:val="1002"/>
        </w:numPr>
      </w:pPr>
      <w:r>
        <w:rPr>
          <w:bCs/>
          <w:b/>
        </w:rPr>
        <w:t xml:space="preserve">In-creek denitrification capacity.</w:t>
      </w:r>
      <w:r>
        <w:t xml:space="preserve"> </w:t>
      </w:r>
      <w:r>
        <w:t xml:space="preserve">How much of the septic-derived nitrogen that reaches ESVA tidal creeks is removed within the creek and its fringing marsh before it reaches the lagoons or the Bay? If the answer is</w:t>
      </w:r>
      <w:r>
        <w:t xml:space="preserve"> </w:t>
      </w:r>
      <w:r>
        <w:t xml:space="preserve">“</w:t>
      </w:r>
      <w:r>
        <w:t xml:space="preserve">most of it,</w:t>
      </w:r>
      <w:r>
        <w:t xml:space="preserve">”</w:t>
      </w:r>
      <w:r>
        <w:t xml:space="preserve"> </w:t>
      </w:r>
      <w:r>
        <w:t xml:space="preserve">then ecological harm is concentrated at creek scale and the receiving-water pathways (3a, 3b) are partially protected; if little, then the tidal creek is simply a conveyor. This question is tractable with established methods (N₂ flux chambers, push-pull tests).</w:t>
      </w:r>
    </w:p>
    <w:p>
      <w:pPr>
        <w:numPr>
          <w:ilvl w:val="0"/>
          <w:numId w:val="1002"/>
        </w:numPr>
      </w:pPr>
      <w:r>
        <w:rPr>
          <w:bCs/>
          <w:b/>
        </w:rPr>
        <w:t xml:space="preserve">Creek bank retreat rates partitioned by driver.</w:t>
      </w:r>
      <w:r>
        <w:t xml:space="preserve"> </w:t>
      </w:r>
      <w:r>
        <w:t xml:space="preserve">High-resolution aerial or UAV-based monitoring of creek bank retreat, combined with loading estimates, could test whether ESVA creek banks are retreating faster in higher-septic-density sub-watersheds. This is an ideal ESCC capstone project: the method is straightforward, the data sources are public, and the result would directly test the Deegan pathway at ESVA scale.</w:t>
      </w:r>
    </w:p>
    <w:p>
      <w:pPr>
        <w:numPr>
          <w:ilvl w:val="0"/>
          <w:numId w:val="1002"/>
        </w:numPr>
      </w:pPr>
      <w:r>
        <w:rPr>
          <w:bCs/>
          <w:b/>
        </w:rPr>
        <w:t xml:space="preserve">Long-term septic-derived nutrient loading trajectory.</w:t>
      </w:r>
      <w:r>
        <w:t xml:space="preserve"> </w:t>
      </w:r>
      <w:r>
        <w:t xml:space="preserve">Most septic systems on ESVA were installed decades ago, which means the groundwater system is currently receiving legacy loading from decades of operation. How much of the nutrient currently reaching tidal creeks is a legacy signal from historical loading versus a current-input signal? Groundwater age-dating (³H/³He, CFCs) can address this.</w:t>
      </w:r>
    </w:p>
    <w:p>
      <w:pPr>
        <w:numPr>
          <w:ilvl w:val="0"/>
          <w:numId w:val="1002"/>
        </w:numPr>
      </w:pPr>
      <w:r>
        <w:rPr>
          <w:bCs/>
          <w:b/>
        </w:rPr>
        <w:t xml:space="preserve">Integration with sea-level-rise compression of the unsaturated zone.</w:t>
      </w:r>
      <w:r>
        <w:t xml:space="preserve"> </w:t>
      </w:r>
      <w:r>
        <w:t xml:space="preserve">As the water table rises, the vertical separation between drainfields and groundwater shrinks, increasing nutrient throughput and shortening pathogen travel paths. The coupled effect of rising groundwater and nutrient loading on tidal creek ecology has not been quantitatively modeled for ESVA; the Hesamfar/Culver SEAWAT framework is the natural modeling platform.</w:t>
      </w:r>
    </w:p>
    <w:bookmarkEnd w:id="24"/>
    <w:bookmarkStart w:id="27" w:name="references"/>
    <w:p>
      <w:pPr>
        <w:pStyle w:val="Heading2"/>
      </w:pPr>
      <w:r>
        <w:t xml:space="preserve">References</w:t>
      </w:r>
    </w:p>
    <w:p>
      <w:pPr>
        <w:pStyle w:val="FirstParagraph"/>
      </w:pPr>
      <w:r>
        <w:t xml:space="preserve">Accomack County. 2010.</w:t>
      </w:r>
      <w:r>
        <w:t xml:space="preserve"> </w:t>
      </w:r>
      <w:r>
        <w:rPr>
          <w:iCs/>
          <w:i/>
        </w:rPr>
        <w:t xml:space="preserve">Accomack County Regional Water Supply Plan</w:t>
      </w:r>
      <w:r>
        <w:t xml:space="preserve"> </w:t>
      </w:r>
      <w:r>
        <w:t xml:space="preserve">(April 2010). Prepared with the Accomack–Northampton Planning District Commission.</w:t>
      </w:r>
      <w:r>
        <w:t xml:space="preserve"> </w:t>
      </w:r>
      <w:hyperlink r:id="rId25">
        <w:r>
          <w:rPr>
            <w:rStyle w:val="Hyperlink"/>
          </w:rPr>
          <w:t xml:space="preserve">https://www.esvaplan.org/wp-content/uploads/2024/05/Accomack-County-Water-Supply-Plan.pdf</w:t>
        </w:r>
      </w:hyperlink>
    </w:p>
    <w:p>
      <w:pPr>
        <w:pStyle w:val="BodyText"/>
      </w:pPr>
      <w:r>
        <w:t xml:space="preserve">A-NPDC (Accomack-Northampton Planning District Commission). 2022.</w:t>
      </w:r>
      <w:r>
        <w:t xml:space="preserve"> </w:t>
      </w:r>
      <w:r>
        <w:rPr>
          <w:iCs/>
          <w:i/>
        </w:rPr>
        <w:t xml:space="preserve">Facts about the Eastern Shore of Virginia’s Groundwater.</w:t>
      </w:r>
      <w:r>
        <w:t xml:space="preserve"> </w:t>
      </w:r>
      <w:hyperlink r:id="rId26">
        <w:r>
          <w:rPr>
            <w:rStyle w:val="Hyperlink"/>
          </w:rPr>
          <w:t xml:space="preserve">https://www.esvaplan.org/wp-content/uploads/2022/03/Facts-about-the-ESVA-Groundwater.pdf</w:t>
        </w:r>
      </w:hyperlink>
    </w:p>
    <w:p>
      <w:pPr>
        <w:pStyle w:val="BodyText"/>
      </w:pPr>
      <w:r>
        <w:t xml:space="preserve">Bohlke, J. K., and J. M. Denver. 1995. Combined use of groundwater dating, chemical, and isotopic analyses to resolve the history and fate of nitrate contamination in two agricultural watersheds, Atlantic coastal plain, Maryland.</w:t>
      </w:r>
      <w:r>
        <w:t xml:space="preserve"> </w:t>
      </w:r>
      <w:r>
        <w:rPr>
          <w:iCs/>
          <w:i/>
        </w:rPr>
        <w:t xml:space="preserve">Water Resources Research</w:t>
      </w:r>
      <w:r>
        <w:t xml:space="preserve"> </w:t>
      </w:r>
      <w:r>
        <w:t xml:space="preserve">31(9): 2319–2339.</w:t>
      </w:r>
    </w:p>
    <w:p>
      <w:pPr>
        <w:pStyle w:val="BodyText"/>
      </w:pPr>
      <w:r>
        <w:t xml:space="preserve">Bowen, J. L., and I. Valiela. 2001. The ecological effects of urbanization of coastal watersheds: historical increases in nitrogen loads and eutrophication of Waquoit Bay estuaries.</w:t>
      </w:r>
      <w:r>
        <w:t xml:space="preserve"> </w:t>
      </w:r>
      <w:r>
        <w:rPr>
          <w:iCs/>
          <w:i/>
        </w:rPr>
        <w:t xml:space="preserve">Canadian Journal of Fisheries and Aquatic Sciences</w:t>
      </w:r>
      <w:r>
        <w:t xml:space="preserve"> </w:t>
      </w:r>
      <w:r>
        <w:t xml:space="preserve">58(8): 1489–1500.</w:t>
      </w:r>
    </w:p>
    <w:p>
      <w:pPr>
        <w:pStyle w:val="BodyText"/>
      </w:pPr>
      <w:r>
        <w:t xml:space="preserve">Bowen, J. L., and I. Valiela. 2008. Using δ¹⁵N to assess coupling between watersheds and estuaries in temperate and tropical regions.</w:t>
      </w:r>
      <w:r>
        <w:t xml:space="preserve"> </w:t>
      </w:r>
      <w:r>
        <w:rPr>
          <w:iCs/>
          <w:i/>
        </w:rPr>
        <w:t xml:space="preserve">Journal of Coastal Research</w:t>
      </w:r>
      <w:r>
        <w:t xml:space="preserve"> </w:t>
      </w:r>
      <w:r>
        <w:t xml:space="preserve">24(3): 804–813.</w:t>
      </w:r>
    </w:p>
    <w:p>
      <w:pPr>
        <w:pStyle w:val="BodyText"/>
      </w:pPr>
      <w:r>
        <w:t xml:space="preserve">Capps, K. A., J. M. Bateman McDonald, N. Gaur, and R. Parsons. 2020. Assessing the socio-environmental risk of onsite wastewater treatment systems to inform management decisions.</w:t>
      </w:r>
      <w:r>
        <w:t xml:space="preserve"> </w:t>
      </w:r>
      <w:r>
        <w:rPr>
          <w:iCs/>
          <w:i/>
        </w:rPr>
        <w:t xml:space="preserve">Environmental Science &amp; Technology</w:t>
      </w:r>
      <w:r>
        <w:t xml:space="preserve"> </w:t>
      </w:r>
      <w:r>
        <w:t xml:space="preserve">54(23): 14843–14853. doi:10.1021/acs.est.0c03909.</w:t>
      </w:r>
    </w:p>
    <w:p>
      <w:pPr>
        <w:pStyle w:val="BodyText"/>
      </w:pPr>
      <w:r>
        <w:t xml:space="preserve">Carroll, S., A. Goonetilleke, E. Thomas, M. Hargreaves, R. Frost, and L. Dawes. 2005. Integrated risk framework for onsite wastewater treatment systems.</w:t>
      </w:r>
      <w:r>
        <w:t xml:space="preserve"> </w:t>
      </w:r>
      <w:r>
        <w:rPr>
          <w:iCs/>
          <w:i/>
        </w:rPr>
        <w:t xml:space="preserve">Environmental Management</w:t>
      </w:r>
      <w:r>
        <w:t xml:space="preserve"> </w:t>
      </w:r>
      <w:r>
        <w:t xml:space="preserve">38(2): 286–303.</w:t>
      </w:r>
    </w:p>
    <w:p>
      <w:pPr>
        <w:pStyle w:val="BodyText"/>
      </w:pPr>
      <w:r>
        <w:t xml:space="preserve">Deegan, L. A., D. S. Johnson, R. S. Warren, B. J. Peterson, J. W. Fleeger, S. Fagherazzi, and W. M. Wollheim. 2012. Coastal eutrophication as a driver of salt marsh loss.</w:t>
      </w:r>
      <w:r>
        <w:t xml:space="preserve"> </w:t>
      </w:r>
      <w:r>
        <w:rPr>
          <w:iCs/>
          <w:i/>
        </w:rPr>
        <w:t xml:space="preserve">Nature</w:t>
      </w:r>
      <w:r>
        <w:t xml:space="preserve"> </w:t>
      </w:r>
      <w:r>
        <w:t xml:space="preserve">490(7420): 388–392. doi:10.1038/nature11533.</w:t>
      </w:r>
    </w:p>
    <w:p>
      <w:pPr>
        <w:pStyle w:val="BodyText"/>
      </w:pPr>
      <w:r>
        <w:t xml:space="preserve">Gobler, C. J., G. E. Boneillo, and C. J. Debenham. 2005. Ecology, phylogeny, and physiology of the harmful brown tide alga,</w:t>
      </w:r>
      <w:r>
        <w:t xml:space="preserve"> </w:t>
      </w:r>
      <w:r>
        <w:rPr>
          <w:iCs/>
          <w:i/>
        </w:rPr>
        <w:t xml:space="preserve">Aureococcus anophagefferens. Harmful Algae</w:t>
      </w:r>
      <w:r>
        <w:t xml:space="preserve"> </w:t>
      </w:r>
      <w:r>
        <w:t xml:space="preserve">4(4): 649–669.</w:t>
      </w:r>
    </w:p>
    <w:p>
      <w:pPr>
        <w:pStyle w:val="BodyText"/>
      </w:pPr>
      <w:r>
        <w:t xml:space="preserve">Kinney, E. L., and I. Valiela. 2011. Nitrogen loading to Great South Bay: land use, sources, retention, and transport from land to bay.</w:t>
      </w:r>
      <w:r>
        <w:t xml:space="preserve"> </w:t>
      </w:r>
      <w:r>
        <w:rPr>
          <w:iCs/>
          <w:i/>
        </w:rPr>
        <w:t xml:space="preserve">Journal of Coastal Research</w:t>
      </w:r>
      <w:r>
        <w:t xml:space="preserve"> </w:t>
      </w:r>
      <w:r>
        <w:t xml:space="preserve">27(4): 672–686.</w:t>
      </w:r>
    </w:p>
    <w:p>
      <w:pPr>
        <w:pStyle w:val="BodyText"/>
      </w:pPr>
      <w:r>
        <w:t xml:space="preserve">Kirwan, M. L., and J. P. Megonigal. 2013. Tidal wetland stability in the face of human impacts and sea-level rise.</w:t>
      </w:r>
      <w:r>
        <w:t xml:space="preserve"> </w:t>
      </w:r>
      <w:r>
        <w:rPr>
          <w:iCs/>
          <w:i/>
        </w:rPr>
        <w:t xml:space="preserve">Nature</w:t>
      </w:r>
      <w:r>
        <w:t xml:space="preserve"> </w:t>
      </w:r>
      <w:r>
        <w:t xml:space="preserve">504(7478): 53–60.</w:t>
      </w:r>
    </w:p>
    <w:p>
      <w:pPr>
        <w:pStyle w:val="BodyText"/>
      </w:pPr>
      <w:r>
        <w:t xml:space="preserve">Kirwan, M. L., S. Temmerman, E. E. Skeehan, G. R. Guntenspergen, and S. Fagherazzi. 2016. Overestimation of marsh vulnerability to sea level rise.</w:t>
      </w:r>
      <w:r>
        <w:t xml:space="preserve"> </w:t>
      </w:r>
      <w:r>
        <w:rPr>
          <w:iCs/>
          <w:i/>
        </w:rPr>
        <w:t xml:space="preserve">Nature Climate Change</w:t>
      </w:r>
      <w:r>
        <w:t xml:space="preserve"> </w:t>
      </w:r>
      <w:r>
        <w:t xml:space="preserve">6: 253–260.</w:t>
      </w:r>
    </w:p>
    <w:p>
      <w:pPr>
        <w:pStyle w:val="BodyText"/>
      </w:pPr>
      <w:r>
        <w:t xml:space="preserve">Lapointe, B. E., L. W. Herren, D. D. Debortoli, and M. A. Vogel. 2015. Evidence of sewage-driven eutrophication and harmful algal blooms in Florida’s Indian River Lagoon.</w:t>
      </w:r>
      <w:r>
        <w:t xml:space="preserve"> </w:t>
      </w:r>
      <w:r>
        <w:rPr>
          <w:iCs/>
          <w:i/>
        </w:rPr>
        <w:t xml:space="preserve">Harmful Algae</w:t>
      </w:r>
      <w:r>
        <w:t xml:space="preserve"> </w:t>
      </w:r>
      <w:r>
        <w:t xml:space="preserve">43: 82–102.</w:t>
      </w:r>
    </w:p>
    <w:p>
      <w:pPr>
        <w:pStyle w:val="BodyText"/>
      </w:pPr>
      <w:r>
        <w:t xml:space="preserve">Lapointe, B. E., L. W. Herren, R. A. Brewton, and P. K. Alderman. 2020. Nutrient over-enrichment and light limitation of seagrass communities in the Indian River Lagoon, an urbanized subtropical estuary.</w:t>
      </w:r>
      <w:r>
        <w:t xml:space="preserve"> </w:t>
      </w:r>
      <w:r>
        <w:rPr>
          <w:iCs/>
          <w:i/>
        </w:rPr>
        <w:t xml:space="preserve">Science of the Total Environment</w:t>
      </w:r>
      <w:r>
        <w:t xml:space="preserve"> </w:t>
      </w:r>
      <w:r>
        <w:t xml:space="preserve">699: 134068.</w:t>
      </w:r>
    </w:p>
    <w:p>
      <w:pPr>
        <w:pStyle w:val="BodyText"/>
      </w:pPr>
      <w:r>
        <w:t xml:space="preserve">McGlathery, K. J., K. Sundbäck, and I. C. Anderson. 2007. Eutrophication in shallow coastal bays and lagoons: the role of plants in the coastal filter.</w:t>
      </w:r>
      <w:r>
        <w:t xml:space="preserve"> </w:t>
      </w:r>
      <w:r>
        <w:rPr>
          <w:iCs/>
          <w:i/>
        </w:rPr>
        <w:t xml:space="preserve">Marine Ecology Progress Series</w:t>
      </w:r>
      <w:r>
        <w:t xml:space="preserve"> </w:t>
      </w:r>
      <w:r>
        <w:t xml:space="preserve">348: 1–18.</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w:t>
      </w:r>
    </w:p>
    <w:p>
      <w:pPr>
        <w:pStyle w:val="BodyText"/>
      </w:pPr>
      <w:r>
        <w:t xml:space="preserve">Phlips, E. J., S. Badylak, M. A. Lasi, R. Chamberlain, W. C. Green, L. M. Hall, J. A. Hart, J. C. Lockwood, J. D. Miller, L. J. Morris, and J. S. Steward. 2015. From red tides to green and brown tides: bloom dynamics in a restricted subtropical lagoon under shifting climatic conditions.</w:t>
      </w:r>
      <w:r>
        <w:t xml:space="preserve"> </w:t>
      </w:r>
      <w:r>
        <w:rPr>
          <w:iCs/>
          <w:i/>
        </w:rPr>
        <w:t xml:space="preserve">Estuaries and Coasts</w:t>
      </w:r>
      <w:r>
        <w:t xml:space="preserve"> </w:t>
      </w:r>
      <w:r>
        <w:t xml:space="preserve">38: 886–904.</w:t>
      </w:r>
    </w:p>
    <w:p>
      <w:pPr>
        <w:pStyle w:val="BodyText"/>
      </w:pPr>
      <w:r>
        <w:t xml:space="preserve">Richardson, D. L. 1994.</w:t>
      </w:r>
      <w:r>
        <w:t xml:space="preserve"> </w:t>
      </w:r>
      <w:r>
        <w:rPr>
          <w:iCs/>
          <w:i/>
        </w:rPr>
        <w:t xml:space="preserve">Hydrogeology and analysis of the ground-water-flow system of the Eastern Shore, Virginia.</w:t>
      </w:r>
      <w:r>
        <w:t xml:space="preserve"> </w:t>
      </w:r>
      <w:r>
        <w:t xml:space="preserve">U.S. Geological Survey Water-Supply Paper 2401.</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w:t>
      </w:r>
      <w:r>
        <w:t xml:space="preserve">U.S. Geological Survey Water-Supply Paper 2479.</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w:t>
      </w:r>
      <w:r>
        <w:t xml:space="preserve">46(2): 246–260.</w:t>
      </w:r>
    </w:p>
    <w:p>
      <w:pPr>
        <w:pStyle w:val="BodyText"/>
      </w:pPr>
      <w:r>
        <w:t xml:space="preserve">Thomsen, M. S. 2010. Experimental evidence for positive effects of invasive seaweed on native invertebrates via habitat-formation in a seagrass bed.</w:t>
      </w:r>
      <w:r>
        <w:t xml:space="preserve"> </w:t>
      </w:r>
      <w:r>
        <w:rPr>
          <w:iCs/>
          <w:i/>
        </w:rPr>
        <w:t xml:space="preserve">Aquatic Invasions</w:t>
      </w:r>
      <w:r>
        <w:t xml:space="preserve"> </w:t>
      </w:r>
      <w:r>
        <w:t xml:space="preserve">5(4): 341–346.</w:t>
      </w:r>
    </w:p>
    <w:p>
      <w:pPr>
        <w:pStyle w:val="BodyText"/>
      </w:pPr>
      <w:r>
        <w:t xml:space="preserve">Thomsen, M. S., and K. J. McGlathery. 2007. Stress tolerance of the invasive macroalgae</w:t>
      </w:r>
      <w:r>
        <w:t xml:space="preserve"> </w:t>
      </w:r>
      <w:r>
        <w:rPr>
          <w:iCs/>
          <w:i/>
        </w:rPr>
        <w:t xml:space="preserve">Codium fragile</w:t>
      </w:r>
      <w:r>
        <w:t xml:space="preserve"> </w:t>
      </w:r>
      <w:r>
        <w:t xml:space="preserve">and</w:t>
      </w:r>
      <w:r>
        <w:t xml:space="preserve"> </w:t>
      </w:r>
      <w:r>
        <w:rPr>
          <w:iCs/>
          <w:i/>
        </w:rPr>
        <w:t xml:space="preserve">Gracilaria vermiculophylla</w:t>
      </w:r>
      <w:r>
        <w:t xml:space="preserve"> </w:t>
      </w:r>
      <w:r>
        <w:t xml:space="preserve">in a soft-bottom turbid lagoon.</w:t>
      </w:r>
      <w:r>
        <w:t xml:space="preserve"> </w:t>
      </w:r>
      <w:r>
        <w:rPr>
          <w:iCs/>
          <w:i/>
        </w:rPr>
        <w:t xml:space="preserve">Biological Invasions</w:t>
      </w:r>
      <w:r>
        <w:t xml:space="preserve"> </w:t>
      </w:r>
      <w:r>
        <w:t xml:space="preserve">9(5): 499–513.</w:t>
      </w:r>
    </w:p>
    <w:p>
      <w:pPr>
        <w:pStyle w:val="BodyText"/>
      </w:pPr>
      <w:r>
        <w:t xml:space="preserve">Thomsen, M. S., K. J. McGlathery, and A. C. Tyler. 2007. Macroalgal distribution patterns in a shallow, soft-bottom lagoon, with emphasis on the non-native</w:t>
      </w:r>
      <w:r>
        <w:t xml:space="preserve"> </w:t>
      </w:r>
      <w:r>
        <w:rPr>
          <w:iCs/>
          <w:i/>
        </w:rPr>
        <w:t xml:space="preserve">Gracilaria vermiculophylla</w:t>
      </w:r>
      <w:r>
        <w:t xml:space="preserve"> </w:t>
      </w:r>
      <w:r>
        <w:t xml:space="preserve">and</w:t>
      </w:r>
      <w:r>
        <w:t xml:space="preserve"> </w:t>
      </w:r>
      <w:r>
        <w:rPr>
          <w:iCs/>
          <w:i/>
        </w:rPr>
        <w:t xml:space="preserve">Codium fragile. Estuaries and Coasts</w:t>
      </w:r>
      <w:r>
        <w:t xml:space="preserve"> </w:t>
      </w:r>
      <w:r>
        <w:t xml:space="preserve">29(3): 465–473.</w:t>
      </w:r>
    </w:p>
    <w:p>
      <w:pPr>
        <w:pStyle w:val="BodyText"/>
      </w:pPr>
      <w:r>
        <w:t xml:space="preserve">Tyler, A. C., K. J. McGlathery, and I. C. Anderson. 2001. Macroalgae mediation of dissolved organic nitrogen fluxes in a temperate coastal lagoon.</w:t>
      </w:r>
      <w:r>
        <w:t xml:space="preserve"> </w:t>
      </w:r>
      <w:r>
        <w:rPr>
          <w:iCs/>
          <w:i/>
        </w:rPr>
        <w:t xml:space="preserve">Estuarine, Coastal and Shelf Science</w:t>
      </w:r>
      <w:r>
        <w:t xml:space="preserve"> </w:t>
      </w:r>
      <w:r>
        <w:t xml:space="preserve">53(2): 155–168.</w:t>
      </w:r>
    </w:p>
    <w:p>
      <w:pPr>
        <w:pStyle w:val="BodyText"/>
      </w:pPr>
      <w:r>
        <w:t xml:space="preserve">Tyler, A. C., K. J. McGlathery, and I. C. Anderson. 2003. Benthic algae control sediment–water column fluxes of organic and inorganic nitrogen compounds in a temperate lagoon.</w:t>
      </w:r>
      <w:r>
        <w:t xml:space="preserve"> </w:t>
      </w:r>
      <w:r>
        <w:rPr>
          <w:iCs/>
          <w:i/>
        </w:rPr>
        <w:t xml:space="preserve">Limnology and Oceanography</w:t>
      </w:r>
      <w:r>
        <w:t xml:space="preserve"> </w:t>
      </w:r>
      <w:r>
        <w:t xml:space="preserve">48(6): 2125–2137.</w:t>
      </w:r>
    </w:p>
    <w:p>
      <w:pPr>
        <w:pStyle w:val="BodyText"/>
      </w:pPr>
      <w:r>
        <w:t xml:space="preserve">Valiela, I., G. Collins, J. Kremer, K. Lajtha, M. Geist, B. Seely, J. Brawley, and C. H. Sham. 1997. Nitrogen loading from coastal watersheds to receiving estuaries: new method and application.</w:t>
      </w:r>
      <w:r>
        <w:t xml:space="preserve"> </w:t>
      </w:r>
      <w:r>
        <w:rPr>
          <w:iCs/>
          <w:i/>
        </w:rPr>
        <w:t xml:space="preserve">Ecological Applications</w:t>
      </w:r>
      <w:r>
        <w:t xml:space="preserve"> </w:t>
      </w:r>
      <w:r>
        <w:t xml:space="preserve">7(2): 358–380.</w:t>
      </w:r>
    </w:p>
    <w:p>
      <w:pPr>
        <w:pStyle w:val="BodyText"/>
      </w:pPr>
      <w:r>
        <w:t xml:space="preserve">Weston, N. B. 2014. Declining sediments and rising seas: an unfortunate convergence for tidal wetlands.</w:t>
      </w:r>
      <w:r>
        <w:t xml:space="preserve"> </w:t>
      </w:r>
      <w:r>
        <w:rPr>
          <w:iCs/>
          <w:i/>
        </w:rPr>
        <w:t xml:space="preserve">Estuaries and Coasts</w:t>
      </w:r>
      <w:r>
        <w:t xml:space="preserve"> </w:t>
      </w:r>
      <w:r>
        <w:t xml:space="preserve">37(1): 1–23.</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 Target="https://www.esvaplan.org/wp-content/uploads/2022/03/Facts-about-the-ESVA-Groundwater.pdf" TargetMode="External" /><Relationship Type="http://schemas.openxmlformats.org/officeDocument/2006/relationships/hyperlink" Id="rId25" Target="https://www.esvaplan.org/wp-content/uploads/2024/05/Accomack-County-Water-Supply-Plan.pdf" TargetMode="External" /></Relationships>
</file>

<file path=word/_rels/footnotes.xml.rels><?xml version="1.0" encoding="UTF-8"?><Relationships xmlns="http://schemas.openxmlformats.org/package/2006/relationships"><Relationship Type="http://schemas.openxmlformats.org/officeDocument/2006/relationships/hyperlink" Id="rId26" Target="https://www.esvaplan.org/wp-content/uploads/2022/03/Facts-about-the-ESVA-Groundwater.pdf" TargetMode="External" /><Relationship Type="http://schemas.openxmlformats.org/officeDocument/2006/relationships/hyperlink" Id="rId25" Target="https://www.esvaplan.org/wp-content/uploads/2024/05/Accomack-County-Water-Supply-Plan.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2026-07-27T20:28:28Z</dcterms:created>
  <dcterms:modified xsi:type="dcterms:W3CDTF">2026-07-27T20:28:28Z</dcterms:modified>
</cp:coreProperties>
</file>

<file path=docProps/custom.xml><?xml version="1.0" encoding="utf-8"?>
<Properties xmlns="http://schemas.openxmlformats.org/officeDocument/2006/custom-properties" xmlns:vt="http://schemas.openxmlformats.org/officeDocument/2006/docPropsVTypes"/>
</file>