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57b0e1be6fb12670ffabca0f57124b91e73466"/>
    <w:p>
      <w:pPr>
        <w:pStyle w:val="Heading1"/>
      </w:pPr>
      <w:r>
        <w:t xml:space="preserve">Ecological Effects of Failing Septic Systems on Virginia’s Eastern Shore: A Scholarly Synthesis</w:t>
      </w:r>
    </w:p>
    <w:p>
      <w:pPr>
        <w:pStyle w:val="FirstParagraph"/>
      </w:pPr>
      <w:r>
        <w:rPr>
          <w:i/>
          <w:iCs/>
        </w:rPr>
        <w:t xml:space="preserve">Master synthesis document — EI Climate Collaborative ESVA Septic Project (2026–2028).</w:t>
      </w:r>
      <w:r>
        <w:t xml:space="preserve"> </w:t>
      </w:r>
      <w:r>
        <w:rPr>
          <w:i/>
          <w:iCs/>
        </w:rPr>
        <w:t xml:space="preserve">Author-year citations inline; full reference list in</w:t>
      </w:r>
      <w:r>
        <w:rPr>
          <w:i/>
          <w:iCs/>
        </w:rPr>
        <w:t xml:space="preserve"> </w:t>
      </w:r>
      <w:r>
        <w:rPr>
          <w:rStyle w:val="VerbatimChar"/>
          <w:i/>
          <w:iCs/>
        </w:rPr>
        <w:t xml:space="preserve">ECOLOGICAL_BIBLIOGRAPHY.md</w:t>
      </w:r>
      <w:r>
        <w:rPr>
          <w:i/>
          <w:iCs/>
        </w:rPr>
        <w:t xml:space="preserve">.</w:t>
      </w:r>
      <w:r>
        <w:t xml:space="preserve"> </w:t>
      </w:r>
      <w:r>
        <w:rPr>
          <w:i/>
          <w:iCs/>
        </w:rPr>
        <w:t xml:space="preserve">Detailed pathway-by-pathway evidence in the</w:t>
      </w:r>
      <w:r>
        <w:rPr>
          <w:i/>
          <w:iCs/>
        </w:rPr>
        <w:t xml:space="preserve"> </w:t>
      </w:r>
      <w:r>
        <w:rPr>
          <w:rStyle w:val="VerbatimChar"/>
          <w:i/>
          <w:iCs/>
        </w:rPr>
        <w:t xml:space="preserve">research/pathway_*.md</w:t>
      </w:r>
      <w:r>
        <w:rPr>
          <w:i/>
          <w:iCs/>
        </w:rPr>
        <w:t xml:space="preserve"> </w:t>
      </w:r>
      <w:r>
        <w:rPr>
          <w:i/>
          <w:iCs/>
        </w:rPr>
        <w:t xml:space="preserve">files.</w:t>
      </w:r>
    </w:p>
    <w:p>
      <w:pPr>
        <w:pStyle w:val="Heading3"/>
      </w:pPr>
      <w:bookmarkStart w:id="9" w:name="X2e6b7e5d772fde551eef6d2f0ffc3c1d8263cae"/>
      <w:r>
        <w:t xml:space="preserve">October 2026 evidence review: read this first</w:t>
      </w:r>
      <w:bookmarkEnd w:id="9"/>
    </w:p>
    <w:p>
      <w:pPr>
        <w:pStyle w:val="BlockText"/>
      </w:pPr>
      <w:r>
        <w:t xml:space="preserve">A source-by-source audit in October 2026 found that this synthesis overstated the evidence for Eastern Shore–specific ecological harm from septic systems. The main problems:</w:t>
      </w:r>
    </w:p>
    <w:p>
      <w:pPr>
        <w:pStyle w:val="Compact"/>
        <w:numPr>
          <w:ilvl w:val="0"/>
          <w:numId w:val="1001"/>
        </w:numPr>
      </w:pPr>
      <w:r>
        <w:rPr>
          <w:b/>
          <w:bCs/>
        </w:rPr>
        <w:t xml:space="preserve">Mitchell et al. (2021) was misrepresented.</w:t>
      </w:r>
      <w:r>
        <w:t xml:space="preserve"> </w:t>
      </w:r>
      <w:r>
        <w:t xml:space="preserve">It was cited throughout as ESVA evidence. In fact it is a Tidewater-wide analysis that does</w:t>
      </w:r>
      <w:r>
        <w:t xml:space="preserve"> </w:t>
      </w:r>
      <w:r>
        <w:rPr>
          <w:b/>
          <w:bCs/>
        </w:rPr>
        <w:t xml:space="preserve">not</w:t>
      </w:r>
      <w:r>
        <w:t xml:space="preserve"> </w:t>
      </w:r>
      <w:r>
        <w:t xml:space="preserve">identify the Eastern Shore as a septic hot spot. It found</w:t>
      </w:r>
      <w:r>
        <w:t xml:space="preserve"> </w:t>
      </w:r>
      <w:r>
        <w:t xml:space="preserve">“only one incident where a low WQ region overlapped directly with a septic hot spot in Tidewater Virginia,”</w:t>
      </w:r>
      <w:r>
        <w:t xml:space="preserve"> </w:t>
      </w:r>
      <w:r>
        <w:t xml:space="preserve">and warned that</w:t>
      </w:r>
      <w:r>
        <w:t xml:space="preserve"> </w:t>
      </w:r>
      <w:r>
        <w:t xml:space="preserve">“any correlation should be viewed with extreme caution.”</w:t>
      </w:r>
    </w:p>
    <w:p>
      <w:pPr>
        <w:pStyle w:val="Compact"/>
        <w:numPr>
          <w:ilvl w:val="0"/>
          <w:numId w:val="1001"/>
        </w:numPr>
      </w:pPr>
      <w:r>
        <w:rPr>
          <w:b/>
          <w:bCs/>
        </w:rPr>
        <w:t xml:space="preserve">The</w:t>
      </w:r>
      <w:r>
        <w:rPr>
          <w:b/>
          <w:bCs/>
        </w:rPr>
        <w:t xml:space="preserve"> </w:t>
      </w:r>
      <w:r>
        <w:rPr>
          <w:b/>
          <w:bCs/>
        </w:rPr>
        <w:t xml:space="preserve">“near-complete spatial overlap”</w:t>
      </w:r>
      <w:r>
        <w:rPr>
          <w:b/>
          <w:bCs/>
        </w:rPr>
        <w:t xml:space="preserve"> </w:t>
      </w:r>
      <w:r>
        <w:rPr>
          <w:b/>
          <w:bCs/>
        </w:rPr>
        <w:t xml:space="preserve">claim had no basis.</w:t>
      </w:r>
      <w:r>
        <w:t xml:space="preserve"> </w:t>
      </w:r>
      <w:r>
        <w:t xml:space="preserve">The claim that ESVA shellfish closures overlap septic hot spots came from this document’s own inference, not from any published analysis. No overlay of VDH shellfish closure areas against septic density has ever been published.</w:t>
      </w:r>
    </w:p>
    <w:p>
      <w:pPr>
        <w:pStyle w:val="Compact"/>
        <w:numPr>
          <w:ilvl w:val="0"/>
          <w:numId w:val="1001"/>
        </w:numPr>
      </w:pPr>
      <w:r>
        <w:rPr>
          <w:b/>
          <w:bCs/>
        </w:rPr>
        <w:t xml:space="preserve">Two local nitrogen figures were invented by the synthesis.</w:t>
      </w:r>
      <w:r>
        <w:t xml:space="preserve"> </w:t>
      </w:r>
      <w:r>
        <w:t xml:space="preserve">These were the</w:t>
      </w:r>
      <w:r>
        <w:t xml:space="preserve"> </w:t>
      </w:r>
      <w:r>
        <w:t xml:space="preserve">“20–40 percent”</w:t>
      </w:r>
      <w:r>
        <w:t xml:space="preserve"> </w:t>
      </w:r>
      <w:r>
        <w:t xml:space="preserve">local septic share of creek nitrogen and the</w:t>
      </w:r>
      <w:r>
        <w:t xml:space="preserve"> </w:t>
      </w:r>
      <w:r>
        <w:t xml:space="preserve">“order of magnitude above the Bay-wide share.”</w:t>
      </w:r>
      <w:r>
        <w:t xml:space="preserve"> </w:t>
      </w:r>
      <w:r>
        <w:t xml:space="preserve">No source contains them.</w:t>
      </w:r>
    </w:p>
    <w:p>
      <w:pPr>
        <w:pStyle w:val="Compact"/>
        <w:numPr>
          <w:ilvl w:val="0"/>
          <w:numId w:val="1001"/>
        </w:numPr>
      </w:pPr>
      <w:r>
        <w:rPr>
          <w:b/>
          <w:bCs/>
        </w:rPr>
        <w:t xml:space="preserve">The ESVA nitrate studies are agricultural.</w:t>
      </w:r>
      <w:r>
        <w:t xml:space="preserve"> </w:t>
      </w:r>
      <w:r>
        <w:t xml:space="preserve">The groundwater work cited (Speiran 1996, 2010; Stanhope et al. 2009) studied nitrate from</w:t>
      </w:r>
      <w:r>
        <w:t xml:space="preserve"> </w:t>
      </w:r>
      <w:r>
        <w:rPr>
          <w:b/>
          <w:bCs/>
        </w:rPr>
        <w:t xml:space="preserve">farmland</w:t>
      </w:r>
      <w:r>
        <w:t xml:space="preserve">. That septic nitrogen moves the same way on the Shore is a reasonable inference, but it has not been measured.</w:t>
      </w:r>
    </w:p>
    <w:p>
      <w:pPr>
        <w:pStyle w:val="Compact"/>
        <w:numPr>
          <w:ilvl w:val="0"/>
          <w:numId w:val="1001"/>
        </w:numPr>
      </w:pPr>
      <w:r>
        <w:rPr>
          <w:b/>
          <w:bCs/>
        </w:rPr>
        <w:t xml:space="preserve">Several facts were wrong:</w:t>
      </w:r>
    </w:p>
    <w:p>
      <w:pPr>
        <w:pStyle w:val="Compact"/>
        <w:numPr>
          <w:ilvl w:val="1"/>
          <w:numId w:val="1002"/>
        </w:numPr>
      </w:pPr>
      <w:r>
        <w:rPr>
          <w:b/>
          <w:bCs/>
        </w:rPr>
        <w:t xml:space="preserve">Sole-source aquifer:</w:t>
      </w:r>
      <w:r>
        <w:t xml:space="preserve"> </w:t>
      </w:r>
      <w:r>
        <w:t xml:space="preserve">the designation covers both the Columbia and the deeper Yorktown–Eastover aquifers, not only</w:t>
      </w:r>
      <w:r>
        <w:t xml:space="preserve"> </w:t>
      </w:r>
      <w:r>
        <w:t xml:space="preserve">“the shallow Columbia.”</w:t>
      </w:r>
    </w:p>
    <w:p>
      <w:pPr>
        <w:pStyle w:val="Compact"/>
        <w:numPr>
          <w:ilvl w:val="1"/>
          <w:numId w:val="1002"/>
        </w:numPr>
      </w:pPr>
      <w:r>
        <w:rPr>
          <w:b/>
          <w:bCs/>
        </w:rPr>
        <w:t xml:space="preserve">Cape Charles</w:t>
      </w:r>
      <w:r>
        <w:t xml:space="preserve"> </w:t>
      </w:r>
      <w:r>
        <w:t xml:space="preserve">is sewered, not unsewered.</w:t>
      </w:r>
    </w:p>
    <w:p>
      <w:pPr>
        <w:pStyle w:val="Compact"/>
        <w:numPr>
          <w:ilvl w:val="1"/>
          <w:numId w:val="1002"/>
        </w:numPr>
      </w:pPr>
      <w:r>
        <w:rPr>
          <w:b/>
          <w:bCs/>
        </w:rPr>
        <w:t xml:space="preserve">Chincoteague</w:t>
      </w:r>
      <w:r>
        <w:t xml:space="preserve"> </w:t>
      </w:r>
      <w:r>
        <w:t xml:space="preserve">pipes its water from the mainland. No source documents septic contamination as the cause; the island’s early wells were brackish, and the documented contamination of the mainland wells is PFAS from firefighting foam.</w:t>
      </w:r>
    </w:p>
    <w:p>
      <w:pPr>
        <w:pStyle w:val="Compact"/>
        <w:numPr>
          <w:ilvl w:val="1"/>
          <w:numId w:val="1002"/>
        </w:numPr>
      </w:pPr>
      <w:r>
        <w:rPr>
          <w:b/>
          <w:bCs/>
        </w:rPr>
        <w:t xml:space="preserve">The 80% creek-water figure</w:t>
      </w:r>
      <w:r>
        <w:t xml:space="preserve"> </w:t>
      </w:r>
      <w:r>
        <w:t xml:space="preserve">comes from the</w:t>
      </w:r>
      <w:r>
        <w:t xml:space="preserve"> </w:t>
      </w:r>
      <w:r>
        <w:rPr>
          <w:i/>
          <w:iCs/>
        </w:rPr>
        <w:t xml:space="preserve">Accomack County Regional Water Supply Plan</w:t>
      </w:r>
      <w:r>
        <w:t xml:space="preserve"> </w:t>
      </w:r>
      <w:r>
        <w:t xml:space="preserve">(2010). It applies to Accomack only and describes freshwater inflow, not</w:t>
      </w:r>
      <w:r>
        <w:t xml:space="preserve"> </w:t>
      </w:r>
      <w:r>
        <w:t xml:space="preserve">“baseflow.”</w:t>
      </w:r>
    </w:p>
    <w:p>
      <w:pPr>
        <w:pStyle w:val="Compact"/>
        <w:numPr>
          <w:ilvl w:val="1"/>
          <w:numId w:val="1002"/>
        </w:numPr>
      </w:pPr>
      <w:r>
        <w:rPr>
          <w:b/>
          <w:bCs/>
        </w:rPr>
        <w:t xml:space="preserve">Leight &amp; Hood 2018</w:t>
      </w:r>
      <w:r>
        <w:t xml:space="preserve"> </w:t>
      </w:r>
      <w:r>
        <w:t xml:space="preserve">is a Maryland study, and its citation was garbled in places.</w:t>
      </w:r>
    </w:p>
    <w:p>
      <w:pPr>
        <w:pStyle w:val="Compact"/>
        <w:numPr>
          <w:ilvl w:val="0"/>
          <w:numId w:val="1001"/>
        </w:numPr>
      </w:pPr>
      <w:r>
        <w:rPr>
          <w:b/>
          <w:bCs/>
        </w:rPr>
        <w:t xml:space="preserve">Several evidence labels were too generous.</w:t>
      </w:r>
      <w:r>
        <w:t xml:space="preserve"> </w:t>
      </w:r>
      <w:r>
        <w:t xml:space="preserve">They are corrected in Section 4.</w:t>
      </w:r>
    </w:p>
    <w:p>
      <w:pPr>
        <w:pStyle w:val="BlockText"/>
      </w:pPr>
      <w:r>
        <w:rPr>
          <w:b/>
          <w:bCs/>
        </w:rPr>
        <w:t xml:space="preserve">What the evidence supports, in one paragraph.</w:t>
      </w:r>
      <w:r>
        <w:t xml:space="preserve"> </w:t>
      </w:r>
      <w:r>
        <w:t xml:space="preserve">The mechanisms by which septic effluent can affect coastal waters are well established in the general literature and in other places, almost all of them more densely developed than the Shore. On the Eastern Shore itself,</w:t>
      </w:r>
      <w:r>
        <w:t xml:space="preserve"> </w:t>
      </w:r>
      <w:r>
        <w:rPr>
          <w:b/>
          <w:bCs/>
        </w:rPr>
        <w:t xml:space="preserve">there is no published evidence that septic systems are currently causing measurable ecological harm, and no study has measured how much of the nitrogen or bacteria in Shore waters comes from septic systems rather than agriculture, wildlife or other sources.</w:t>
      </w:r>
    </w:p>
    <w:p>
      <w:pPr>
        <w:pStyle w:val="BlockText"/>
      </w:pPr>
      <w:r>
        <w:t xml:space="preserve">This matches what the Virginia Department of Health reports, which is no widespread septic-related shellfish contamination or public-health effects. The Shore’s seaside waters are, by current measures, in good condition. The documented threat to the restored eelgrass has been heat, not nutrients.</w:t>
      </w:r>
    </w:p>
    <w:p>
      <w:pPr>
        <w:pStyle w:val="BlockText"/>
      </w:pPr>
      <w:r>
        <w:t xml:space="preserve">The defensible ecological message is therefore</w:t>
      </w:r>
      <w:r>
        <w:t xml:space="preserve"> </w:t>
      </w:r>
      <w:r>
        <w:rPr>
          <w:b/>
          <w:bCs/>
        </w:rPr>
        <w:t xml:space="preserve">precautionary, not diagnostic.</w:t>
      </w:r>
      <w:r>
        <w:t xml:space="preserve"> </w:t>
      </w:r>
      <w:r>
        <w:t xml:space="preserve">Conventional septic systems pass most of their nitrogen through to groundwater. Groundwater feeds the creeks. Rising water tables are</w:t>
      </w:r>
      <w:r>
        <w:t xml:space="preserve"> </w:t>
      </w:r>
      <w:r>
        <w:rPr>
          <w:i/>
          <w:iCs/>
        </w:rPr>
        <w:t xml:space="preserve">projected</w:t>
      </w:r>
      <w:r>
        <w:t xml:space="preserve"> </w:t>
      </w:r>
      <w:r>
        <w:t xml:space="preserve">to reduce treatment. Whether any of this is measurably affecting Shore waters today is an open, answerable research question (Section 5).</w:t>
      </w:r>
    </w:p>
    <w:p>
      <w:pPr>
        <w:pStyle w:val="BlockText"/>
      </w:pPr>
      <w:r>
        <w:t xml:space="preserve">Corrections have been made in the text below and are marked</w:t>
      </w:r>
      <w:r>
        <w:t xml:space="preserve"> </w:t>
      </w:r>
      <w:r>
        <w:rPr>
          <w:b/>
          <w:bCs/>
        </w:rPr>
        <w:t xml:space="preserve">[Oct 2026]</w:t>
      </w:r>
      <w:r>
        <w:t xml:space="preserve">. The pathway files in</w:t>
      </w:r>
      <w:r>
        <w:t xml:space="preserve"> </w:t>
      </w:r>
      <w:r>
        <w:rPr>
          <w:rStyle w:val="VerbatimChar"/>
        </w:rPr>
        <w:t xml:space="preserve">research/</w:t>
      </w:r>
      <w:r>
        <w:t xml:space="preserve"> </w:t>
      </w:r>
      <w:r>
        <w:t xml:space="preserve">carry the same review notice. For what this means for public outreach, see</w:t>
      </w:r>
      <w:r>
        <w:t xml:space="preserve"> </w:t>
      </w:r>
      <w:r>
        <w:rPr>
          <w:rStyle w:val="VerbatimChar"/>
        </w:rPr>
        <w:t xml:space="preserve">OUTREACH_MESSAGING_REVIEW.md</w:t>
      </w:r>
      <w:r>
        <w:t xml:space="preserve">.</w:t>
      </w:r>
    </w:p>
    <w:bookmarkStart w:id="10" w:name="how-to-use-this-document"/>
    <w:p>
      <w:pPr>
        <w:pStyle w:val="Heading2"/>
      </w:pPr>
      <w:r>
        <w:t xml:space="preserve">How to use this document</w:t>
      </w:r>
    </w:p>
    <w:p>
      <w:pPr>
        <w:pStyle w:val="FirstParagraph"/>
      </w:pPr>
      <w:r>
        <w:t xml:space="preserve">This master synthesis is a modular overview. The authoritative technical content lives in the six pathway files in</w:t>
      </w:r>
      <w:r>
        <w:t xml:space="preserve"> </w:t>
      </w:r>
      <w:r>
        <w:rPr>
          <w:rStyle w:val="VerbatimChar"/>
        </w:rPr>
        <w:t xml:space="preserve">research/</w:t>
      </w:r>
      <w:r>
        <w:t xml:space="preserve">, each of which contains mechanism, ESVA-specific evidence, analogue-region evidence, strength-of-evidence labels, data gaps, and a full reference list for that pathway. This document does three things the pathway files do not:</w:t>
      </w:r>
    </w:p>
    <w:p>
      <w:pPr>
        <w:pStyle w:val="Compact"/>
        <w:numPr>
          <w:ilvl w:val="0"/>
          <w:numId w:val="1003"/>
        </w:numPr>
      </w:pPr>
      <w:r>
        <w:t xml:space="preserve">It places the six pathways into a single framework so a reader can see the full ecological footprint of a failing septic system on ESVA without reading ~27,000 words of pathway detail.</w:t>
      </w:r>
    </w:p>
    <w:p>
      <w:pPr>
        <w:pStyle w:val="Compact"/>
        <w:numPr>
          <w:ilvl w:val="0"/>
          <w:numId w:val="1003"/>
        </w:numPr>
      </w:pPr>
      <w:r>
        <w:t xml:space="preserve">It highlights cross-cutting themes — findings that emerged independently in multiple pathways and are therefore more robust than any single line of evidence.</w:t>
      </w:r>
    </w:p>
    <w:p>
      <w:pPr>
        <w:pStyle w:val="Compact"/>
        <w:numPr>
          <w:ilvl w:val="0"/>
          <w:numId w:val="1003"/>
        </w:numPr>
      </w:pPr>
      <w:r>
        <w:t xml:space="preserve">It provides an integrated strength-of-evidence summary and a consolidated list of the most important data gaps, framed so they can directly feed Expansion Stage grant proposals and ESCC capstone projects.</w:t>
      </w:r>
    </w:p>
    <w:p>
      <w:pPr>
        <w:pStyle w:val="FirstParagraph"/>
      </w:pPr>
      <w:r>
        <w:t xml:space="preserve">Claims cited here are documented in the relevant pathway file.</w:t>
      </w:r>
      <w:r>
        <w:t xml:space="preserve"> </w:t>
      </w:r>
      <w:r>
        <w:rPr>
          <w:b/>
          <w:bCs/>
        </w:rPr>
        <w:t xml:space="preserve">[Oct 2026]</w:t>
      </w:r>
      <w:r>
        <w:t xml:space="preserve"> </w:t>
      </w:r>
      <w:r>
        <w:t xml:space="preserve">The October 2026 review found that a number of those claims were unsupported or misattributed; they are corrected and marked in both places. The deduplicated reference list for all six pathways lives in</w:t>
      </w:r>
      <w:r>
        <w:t xml:space="preserve"> </w:t>
      </w:r>
      <w:r>
        <w:rPr>
          <w:rStyle w:val="VerbatimChar"/>
        </w:rPr>
        <w:t xml:space="preserve">ECOLOGICAL_BIBLIOGRAPHY.md</w:t>
      </w:r>
      <w:r>
        <w:t xml:space="preserve">. Health-focused findings (cancer, thyroid, pathogens in human drinking water) are covered separately on the</w:t>
      </w:r>
      <w:r>
        <w:t xml:space="preserve"> </w:t>
      </w:r>
      <w:r>
        <w:rPr>
          <w:rStyle w:val="VerbatimChar"/>
        </w:rPr>
        <w:t xml:space="preserve">claude/summarize-project-files-9UwoB</w:t>
      </w:r>
      <w:r>
        <w:t xml:space="preserve"> </w:t>
      </w:r>
      <w:r>
        <w:t xml:space="preserve">branch and are deliberately excluded here; the scope of this synthesis is strictly ecological.</w:t>
      </w:r>
    </w:p>
    <w:bookmarkEnd w:id="10"/>
    <w:bookmarkStart w:id="11" w:name="context-and-framing"/>
    <w:p>
      <w:pPr>
        <w:pStyle w:val="Heading2"/>
      </w:pPr>
      <w:r>
        <w:t xml:space="preserve">1. Context and framing</w:t>
      </w:r>
    </w:p>
    <w:p>
      <w:pPr>
        <w:pStyle w:val="FirstParagraph"/>
      </w:pPr>
      <w:r>
        <w:t xml:space="preserve">Virginia’s Eastern Shore (ESVA) is a narrow, low-relief peninsula of two counties — Accomack and Northampton — separating the Chesapeake Bay from the Atlantic Ocean. Approximately 18,000 households rely on decentralized septic systems for wastewater disposal. VDH’s 2025 upper-bound estimate is about 18,100 systems in Accomack and 6,300 in Northampton, and VDH notes this is likely an overestimate (VDH 2025, RD1005). The peninsula is underlain by the Columbia surficial aquifer, a shallow, sandy, unconfined groundwater body, and by the deeper, confined Yorktown–Eastover aquifer system.</w:t>
      </w:r>
      <w:r>
        <w:t xml:space="preserve"> </w:t>
      </w:r>
      <w:r>
        <w:rPr>
          <w:b/>
          <w:bCs/>
        </w:rPr>
        <w:t xml:space="preserve">[Oct 2026]</w:t>
      </w:r>
      <w:r>
        <w:t xml:space="preserve"> </w:t>
      </w:r>
      <w:r>
        <w:t xml:space="preserve">The 1997 EPA sole-source aquifer designation under §1424(e) of the Safe Drinking Water Act covers</w:t>
      </w:r>
      <w:r>
        <w:t xml:space="preserve"> </w:t>
      </w:r>
      <w:r>
        <w:rPr>
          <w:b/>
          <w:bCs/>
        </w:rPr>
        <w:t xml:space="preserve">both</w:t>
      </w:r>
      <w:r>
        <w:t xml:space="preserve"> </w:t>
      </w:r>
      <w:r>
        <w:t xml:space="preserve">systems, and excludes Chincoteague and Tangier islands (EPA 1997). Earlier versions of this document described the designation as applying to the shallow Columbia aquifer alone. Groundwater flow paths across ESVA are short and nearly always terminate at a tidal shoreline — either a western-Shore creek draining to the Chesapeake Bay or an eastern-Shore creek and marsh draining to the Atlantic barrier-island lagoon system. The peninsula also experiences some of the fastest rates of relative sea-level rise on the US East Coast, with water tables rising to meet drainfields that were installed under drier historical conditions (Mitchell et al. 2021; Hesamfar et al. in review; Cox, Loomis, and Amador 2019; O’Driscoll et al. 2024).</w:t>
      </w:r>
    </w:p>
    <w:p>
      <w:pPr>
        <w:pStyle w:val="BodyText"/>
      </w:pPr>
      <w:r>
        <w:t xml:space="preserve">These four features — dense decentralized wastewater, shallow sole-source aquifer, short groundwater path to tidal waters, and rising water table — together create an unusually complete pathway from household septic system to coastal ecosystem. A failing drainfield on ESVA is rarely more than a few hundred meters and a few years of groundwater travel time from a tidal creek. This physical compression is what makes ESVA a consequential and tractable setting for studying septic-ecosystem coupling.</w:t>
      </w:r>
    </w:p>
    <w:p>
      <w:pPr>
        <w:pStyle w:val="BodyText"/>
      </w:pPr>
      <w:r>
        <w:t xml:space="preserve">The synthesis is organized around six distinct ecological pathways, chosen to cover the proximate subsurface pathway (1), the tidal creek and marsh pathway that dominates ESVA hydrography (2), the two hydrologically distinct receiving-water systems — Chesapeake Bay mainstem (3a) and the seaside barrier-island lagoon complex (3b) — that together drain ESVA in opposite directions, the shellfish grounds that tie ecology to economy (4), iconic and sensitive species for which the public is most likely to care about outcomes (5), and the terrestrial drainfield footprint that is often elided in septic-ecology literature (6). Each pathway has its own dominant mechanism, its own evidence base, and its own set of data gaps; several cross-cut, and those cross-cuts are drawn out in Section 3.</w:t>
      </w:r>
    </w:p>
    <w:p>
      <w:pPr>
        <w:pStyle w:val="BodyText"/>
      </w:pPr>
      <w:r>
        <w:rPr>
          <w:b/>
          <w:bCs/>
        </w:rPr>
        <w:t xml:space="preserve">[Oct 2026, revised]</w:t>
      </w:r>
      <w:r>
        <w:t xml:space="preserve"> </w:t>
      </w:r>
      <w:r>
        <w:t xml:space="preserve">The overriding message is that the</w:t>
      </w:r>
      <w:r>
        <w:t xml:space="preserve"> </w:t>
      </w:r>
      <w:r>
        <w:rPr>
          <w:i/>
          <w:iCs/>
        </w:rPr>
        <w:t xml:space="preserve">mechanisms</w:t>
      </w:r>
      <w:r>
        <w:t xml:space="preserve"> </w:t>
      </w:r>
      <w:r>
        <w:t xml:space="preserve">by which septic effluent can affect coastal ecosystems are well understood in the general literature. However,</w:t>
      </w:r>
      <w:r>
        <w:t xml:space="preserve"> </w:t>
      </w:r>
      <w:r>
        <w:rPr>
          <w:b/>
          <w:bCs/>
        </w:rPr>
        <w:t xml:space="preserve">there is no published ESVA-specific evidence that septic systems are currently causing measurable ecological harm, and no ESVA attribution studies exist.</w:t>
      </w:r>
      <w:r>
        <w:t xml:space="preserve"> </w:t>
      </w:r>
      <w:r>
        <w:t xml:space="preserve">The earlier phrasing,</w:t>
      </w:r>
      <w:r>
        <w:t xml:space="preserve"> </w:t>
      </w:r>
      <w:r>
        <w:t xml:space="preserve">“mechanistically well understood and ecologically consequential,”</w:t>
      </w:r>
      <w:r>
        <w:t xml:space="preserve"> </w:t>
      </w:r>
      <w:r>
        <w:t xml:space="preserve">implied a demonstrated local consequence that the evidence does not show. The mechanism–to–attribution gap is the single most important feature of the evidence base and drives the data-gap agenda in Section 5.</w:t>
      </w:r>
    </w:p>
    <w:bookmarkEnd w:id="11"/>
    <w:bookmarkStart w:id="19" w:name="pathway-summaries"/>
    <w:p>
      <w:pPr>
        <w:pStyle w:val="Heading2"/>
      </w:pPr>
      <w:r>
        <w:t xml:space="preserve">2. Pathway summaries</w:t>
      </w:r>
    </w:p>
    <w:bookmarkStart w:id="12" w:name="Xb644b2723dded56267f5bd6b96f6b1cfac08c1a"/>
    <w:p>
      <w:pPr>
        <w:pStyle w:val="Heading3"/>
      </w:pPr>
      <w:r>
        <w:t xml:space="preserve">2.1 Pathway 1 — Groundwater and the sole-source Columbia aquifer</w:t>
      </w:r>
    </w:p>
    <w:p>
      <w:pPr>
        <w:pStyle w:val="FirstParagraph"/>
      </w:pPr>
      <w:r>
        <w:rPr>
          <w:b/>
          <w:bCs/>
        </w:rPr>
        <w:t xml:space="preserve">See</w:t>
      </w:r>
      <w:r>
        <w:rPr>
          <w:b/>
          <w:bCs/>
        </w:rPr>
        <w:t xml:space="preserve"> </w:t>
      </w:r>
      <w:r>
        <w:rPr>
          <w:rStyle w:val="VerbatimChar"/>
          <w:b/>
          <w:bCs/>
        </w:rPr>
        <w:t xml:space="preserve">research/pathway_1_groundwater.md</w:t>
      </w:r>
      <w:r>
        <w:rPr>
          <w:b/>
          <w:bCs/>
        </w:rPr>
        <w:t xml:space="preserve"> </w:t>
      </w:r>
      <w:r>
        <w:rPr>
          <w:b/>
          <w:bCs/>
        </w:rPr>
        <w:t xml:space="preserve">for the full treatment.</w:t>
      </w:r>
    </w:p>
    <w:p>
      <w:pPr>
        <w:pStyle w:val="BodyText"/>
      </w:pPr>
      <w:r>
        <w:t xml:space="preserve">The Columbia aquifer is both the habitat and the delivery vector for every septic-derived contaminant that eventually reaches ESVA’s tidal receiving waters. Nitrate is mobile, essentially conservative in the oxic sandy aquifer, and reaches tidal discharge zones with limited denitrification — which is confined to thin riparian and tidal-fringe bands where groundwater encounters reducing, carbon-rich sediments (Speiran 1996, 2010; Böhlke 2002). Phosphorus is conventionally assumed to be soil-retained, but long-operating drainfields in sandy, low-iron coastal plain soils saturate and break through over decadal timescales (Robertson, Schiff, and Ptacek 1998; Lusk et al. 2017); ESVA’s Bojac, Munden, and related soils are plausibly in this regime. Pharmaceuticals, PFAS, and artificial sweeteners pass through conventional drainfield treatment with limited attenuation and have been tracked kilometers downgradient at analogue sites like Cape Cod (Barber et al. 2015; Schaider, Ackerman, and Rudel 2014; Swartz et al. 2006), though direct ESVA measurements are absent.</w:t>
      </w:r>
    </w:p>
    <w:p>
      <w:pPr>
        <w:pStyle w:val="BodyText"/>
      </w:pPr>
      <w:r>
        <w:t xml:space="preserve">The most important septic-specific point in this pathway is structural rather than analytical. Sea-level rise is</w:t>
      </w:r>
      <w:r>
        <w:t xml:space="preserve"> </w:t>
      </w:r>
      <w:r>
        <w:rPr>
          <w:i/>
          <w:iCs/>
        </w:rPr>
        <w:t xml:space="preserve">projected</w:t>
      </w:r>
      <w:r>
        <w:t xml:space="preserve"> </w:t>
      </w:r>
      <w:r>
        <w:t xml:space="preserve">to progressively</w:t>
      </w:r>
      <w:r>
        <w:t xml:space="preserve"> </w:t>
      </w:r>
      <w:r>
        <w:t xml:space="preserve">“de-rate”</w:t>
      </w:r>
      <w:r>
        <w:t xml:space="preserve"> </w:t>
      </w:r>
      <w:r>
        <w:t xml:space="preserve">existing drainfields by raising the water table and compressing the unsaturated soil beneath them, which reduces treatment without any physical change to the infrastructure.</w:t>
      </w:r>
      <w:r>
        <w:t xml:space="preserve"> </w:t>
      </w:r>
      <w:r>
        <w:rPr>
          <w:b/>
          <w:bCs/>
        </w:rPr>
        <w:t xml:space="preserve">[Oct 2026]</w:t>
      </w:r>
      <w:r>
        <w:t xml:space="preserve"> </w:t>
      </w:r>
      <w:r>
        <w:t xml:space="preserve">The mechanism has been</w:t>
      </w:r>
      <w:r>
        <w:t xml:space="preserve"> </w:t>
      </w:r>
      <w:r>
        <w:rPr>
          <w:i/>
          <w:iCs/>
        </w:rPr>
        <w:t xml:space="preserve">measured</w:t>
      </w:r>
      <w:r>
        <w:t xml:space="preserve"> </w:t>
      </w:r>
      <w:r>
        <w:t xml:space="preserve">elsewhere: rising coastal water tables in Rhode Island (Cox et al. 2019) and Dare County, NC (O’Driscoll et al. 2024). On ESVA the evidence is</w:t>
      </w:r>
      <w:r>
        <w:t xml:space="preserve"> </w:t>
      </w:r>
      <w:r>
        <w:rPr>
          <w:i/>
          <w:iCs/>
        </w:rPr>
        <w:t xml:space="preserve">modeling</w:t>
      </w:r>
      <w:r>
        <w:t xml:space="preserve">: the project’s SEAWAT work (Hesamfar et al., in review) and the ESVA Climate Equity StoryMap. Mitchell et al. (2021) makes the general Tidewater argument but does not analyze ESVA specifically. VDH’s Eastern Shore Health District oversees about 90 repair permits a year (2026 project meeting notes), roughly 0.5% of systems. That is a useful and reassuring current baseline, and it means</w:t>
      </w:r>
      <w:r>
        <w:t xml:space="preserve"> </w:t>
      </w:r>
      <w:r>
        <w:t xml:space="preserve">“failure as a design trajectory”</w:t>
      </w:r>
      <w:r>
        <w:t xml:space="preserve"> </w:t>
      </w:r>
      <w:r>
        <w:t xml:space="preserve">should be stated as a projection, not as a present-day observation. Virginia’s actual separation requirement for a conventional drainfield is 18 inches of soil free of the seasonal water table immediately below the trench (12VAC5-610-594). The</w:t>
      </w:r>
      <w:r>
        <w:t xml:space="preserve"> </w:t>
      </w:r>
      <w:r>
        <w:t xml:space="preserve">“3 ft”</w:t>
      </w:r>
      <w:r>
        <w:t xml:space="preserve"> </w:t>
      </w:r>
      <w:r>
        <w:t xml:space="preserve">figure used in project screening is depth to groundwater from land surface, a vulnerability screen, not the regulatory standard. The pathway’s biggest data gap is the absence of any published ESVA dataset pairing upgradient and downgradient groundwater monitoring around septic clusters with a full analyte suite (N, P, PPCPs, PFAS, microbial community, ARGs). Current ESVA work is exposure modeling, not direct effects measurement.</w:t>
      </w:r>
    </w:p>
    <w:bookmarkEnd w:id="12"/>
    <w:bookmarkStart w:id="13" w:name="Xd90501ec8871bb6b085b364eb533d797350bd60"/>
    <w:p>
      <w:pPr>
        <w:pStyle w:val="Heading3"/>
      </w:pPr>
      <w:r>
        <w:t xml:space="preserve">2.2 Pathway 2 — Tidal creeks and salt marsh nutrient dynamics</w:t>
      </w:r>
    </w:p>
    <w:p>
      <w:pPr>
        <w:pStyle w:val="FirstParagraph"/>
      </w:pPr>
      <w:r>
        <w:rPr>
          <w:b/>
          <w:bCs/>
        </w:rPr>
        <w:t xml:space="preserve">See</w:t>
      </w:r>
      <w:r>
        <w:rPr>
          <w:b/>
          <w:bCs/>
        </w:rPr>
        <w:t xml:space="preserve"> </w:t>
      </w:r>
      <w:r>
        <w:rPr>
          <w:rStyle w:val="VerbatimChar"/>
          <w:b/>
          <w:bCs/>
        </w:rPr>
        <w:t xml:space="preserve">research/pathway_2_tidal_creeks_marshes.md</w:t>
      </w:r>
      <w:r>
        <w:rPr>
          <w:b/>
          <w:bCs/>
        </w:rPr>
        <w:t xml:space="preserve"> </w:t>
      </w:r>
      <w:r>
        <w:rPr>
          <w:b/>
          <w:bCs/>
        </w:rPr>
        <w:t xml:space="preserve">for the full treatment.</w:t>
      </w:r>
    </w:p>
    <w:p>
      <w:pPr>
        <w:pStyle w:val="BodyText"/>
      </w:pPr>
      <w:r>
        <w:t xml:space="preserve">Tidal creeks and their fringing salt marshes are the transitional zone where septic-derived groundwater first encounters the open estuary, and ESVA’s hydrography places nearly every drainfield in the contributing area of at least one tidal creek. Accomack County’s ~30 tidal creeks are estimated to derive about 80 percent of their</w:t>
      </w:r>
      <w:r>
        <w:t xml:space="preserve"> </w:t>
      </w:r>
      <w:r>
        <w:rPr>
          <w:i/>
          <w:iCs/>
        </w:rPr>
        <w:t xml:space="preserve">freshwater inflow</w:t>
      </w:r>
      <w:r>
        <w:t xml:space="preserve"> </w:t>
      </w:r>
      <w:r>
        <w:t xml:space="preserve">from groundwater discharge rather than overland flow (Accomack County Regional Water Supply Plan 2010). This applies to Accomack only, and tidal exchange supplies far greater total volume. It means that whatever enters shallow groundwater, from any source, is coupled closely to creek water quality. Speiran (1996, 2010) documented at ESVA scale that nitrate travels long flow paths with limited attenuation except in thin riparian denitrifying zones, and that forest buffers cannot be assumed to intercept deep groundwater carrying high source concentrations.</w:t>
      </w:r>
      <w:r>
        <w:t xml:space="preserve"> </w:t>
      </w:r>
      <w:r>
        <w:rPr>
          <w:b/>
          <w:bCs/>
        </w:rPr>
        <w:t xml:space="preserve">[Oct 2026]</w:t>
      </w:r>
      <w:r>
        <w:t xml:space="preserve"> </w:t>
      </w:r>
      <w:r>
        <w:t xml:space="preserve">The groundwater Speiran studied was recharged through</w:t>
      </w:r>
      <w:r>
        <w:t xml:space="preserve"> </w:t>
      </w:r>
      <w:r>
        <w:rPr>
          <w:b/>
          <w:bCs/>
        </w:rPr>
        <w:t xml:space="preserve">agricultural fields</w:t>
      </w:r>
      <w:r>
        <w:t xml:space="preserve">. He also recorded substantial nitrate removal (&gt;10 to ~2 mg/L) in organic-rich near-shore sediments. These are studies of farm nitrate. They establish how nitrate moves on the Shore, not how much septic nitrogen reaches creeks. Stanhope et al. (2009) found ESVA stream nitrogen concentrations tracked the percentage of</w:t>
      </w:r>
      <w:r>
        <w:t xml:space="preserve"> </w:t>
      </w:r>
      <w:r>
        <w:rPr>
          <w:b/>
          <w:bCs/>
        </w:rPr>
        <w:t xml:space="preserve">agricultural</w:t>
      </w:r>
      <w:r>
        <w:t xml:space="preserve"> </w:t>
      </w:r>
      <w:r>
        <w:t xml:space="preserve">land, which is consistent with agriculture being the dominant nitrogen source in many Shore catchments.</w:t>
      </w:r>
    </w:p>
    <w:p>
      <w:pPr>
        <w:pStyle w:val="BodyText"/>
      </w:pPr>
      <w:r>
        <w:t xml:space="preserve">Once in the creek, dissolved inorganic nitrogen fuels macroalgal blooms — the non-native</w:t>
      </w:r>
      <w:r>
        <w:t xml:space="preserve"> </w:t>
      </w:r>
      <w:r>
        <w:rPr>
          <w:i/>
          <w:iCs/>
        </w:rPr>
        <w:t xml:space="preserve">Gracilaria vermiculophylla</w:t>
      </w:r>
      <w:r>
        <w:t xml:space="preserve"> </w:t>
      </w:r>
      <w:r>
        <w:t xml:space="preserve">dominates macroalgal biomass in Hog Island Bay at 74–90 percent and cycles N between water column and porewater in ways that sustain bloom biomass long after external inputs decline (Thomsen and McGlathery 2007; Tyler, McGlathery, and Anderson 2001, 2003). The VCR LTER has been measuring these dynamics at ESVA scale for more than three decades, providing one of the richest long-term records of coastal lagoon nutrient–algal coupling in North America.</w:t>
      </w:r>
    </w:p>
    <w:p>
      <w:pPr>
        <w:pStyle w:val="BodyText"/>
      </w:pPr>
      <w:r>
        <w:t xml:space="preserve">The pathway’s most consequential ecological finding comes from an analogue system: the nine-year TIDE whole-ecosystem nutrient enrichment experiment at Plum Island, Massachusetts, demonstrated that chronic nitrogen loading can drive outright salt marsh bank collapse through altered</w:t>
      </w:r>
      <w:r>
        <w:t xml:space="preserve"> </w:t>
      </w:r>
      <w:r>
        <w:rPr>
          <w:i/>
          <w:iCs/>
        </w:rPr>
        <w:t xml:space="preserve">Spartina</w:t>
      </w:r>
      <w:r>
        <w:t xml:space="preserve"> </w:t>
      </w:r>
      <w:r>
        <w:t xml:space="preserve">biomass allocation and accelerated microbial decomposition of peat, converting vegetated marsh to unvegetated mudflat (Deegan et al. 2012). The TIDE experiment is mechanistically transferable to ESVA marshes (comparable tidal regime, vegetation, organic peat), but it used ~10× ambient N loading; whether ESVA current loading is already producing measurable bank retreat attributable to nitrogen rather than to sea-level rise alone is PLAUSIBLE but not yet partitioned. The biggest gap is source attribution: no published work partitions ESVA creek N loads between septic, agricultural, and atmospheric sources — a fundamental piece of information that stable-isotope or co-tracer studies could produce on a single ESCC-capstone budget.</w:t>
      </w:r>
    </w:p>
    <w:bookmarkEnd w:id="13"/>
    <w:bookmarkStart w:id="14" w:name="Xaa41680140248a8ebf7d3ef14695761d49d36a9"/>
    <w:p>
      <w:pPr>
        <w:pStyle w:val="Heading3"/>
      </w:pPr>
      <w:r>
        <w:t xml:space="preserve">2.3 Pathway 3a — Chesapeake Bay mainstem and ESVA Bayside tributaries</w:t>
      </w:r>
    </w:p>
    <w:p>
      <w:pPr>
        <w:pStyle w:val="FirstParagraph"/>
      </w:pPr>
      <w:r>
        <w:rPr>
          <w:b/>
          <w:bCs/>
        </w:rPr>
        <w:t xml:space="preserve">See</w:t>
      </w:r>
      <w:r>
        <w:rPr>
          <w:b/>
          <w:bCs/>
        </w:rPr>
        <w:t xml:space="preserve"> </w:t>
      </w:r>
      <w:r>
        <w:rPr>
          <w:rStyle w:val="VerbatimChar"/>
          <w:b/>
          <w:bCs/>
        </w:rPr>
        <w:t xml:space="preserve">research/pathway_3a_chesapeake_mainstem.md</w:t>
      </w:r>
      <w:r>
        <w:rPr>
          <w:b/>
          <w:bCs/>
        </w:rPr>
        <w:t xml:space="preserve"> </w:t>
      </w:r>
      <w:r>
        <w:rPr>
          <w:b/>
          <w:bCs/>
        </w:rPr>
        <w:t xml:space="preserve">for the full treatment.</w:t>
      </w:r>
    </w:p>
    <w:p>
      <w:pPr>
        <w:pStyle w:val="BodyText"/>
      </w:pPr>
      <w:r>
        <w:t xml:space="preserve">On the Bayside, septic-derived nitrogen enters the Chesapeake Bay through a dense network of tidal creeks — Pocomoke Sound, Tangier Sound, Onancock Creek, Pungoteague Creek, Nassawadox Creek, Cherrystone Creek, Old Plantation Creek, and their tributaries — and contributes to the well-documented Bay-wide eutrophication problem: elevated chlorophyll, SAV decline, hypoxia in the deep channel, and harmful algal blooms of</w:t>
      </w:r>
      <w:r>
        <w:t xml:space="preserve"> </w:t>
      </w:r>
      <w:r>
        <w:rPr>
          <w:i/>
          <w:iCs/>
        </w:rPr>
        <w:t xml:space="preserve">Prorocentrum minimum</w:t>
      </w:r>
      <w:r>
        <w:t xml:space="preserve">,</w:t>
      </w:r>
      <w:r>
        <w:t xml:space="preserve"> </w:t>
      </w:r>
      <w:r>
        <w:rPr>
          <w:i/>
          <w:iCs/>
        </w:rPr>
        <w:t xml:space="preserve">Karlodinium veneficum</w:t>
      </w:r>
      <w:r>
        <w:t xml:space="preserve">, and</w:t>
      </w:r>
      <w:r>
        <w:t xml:space="preserve"> </w:t>
      </w:r>
      <w:r>
        <w:rPr>
          <w:i/>
          <w:iCs/>
        </w:rPr>
        <w:t xml:space="preserve">Microcystis aeruginosa</w:t>
      </w:r>
      <w:r>
        <w:t xml:space="preserve"> </w:t>
      </w:r>
      <w:r>
        <w:t xml:space="preserve">(Kemp et al. 2005; Glibert et al. 2001, 2014; Bricker et al. 2008; Lefcheck et al. 2018).</w:t>
      </w:r>
    </w:p>
    <w:p>
      <w:pPr>
        <w:pStyle w:val="BodyText"/>
      </w:pPr>
      <w:r>
        <w:rPr>
          <w:b/>
          <w:bCs/>
        </w:rPr>
        <w:t xml:space="preserve">Resolution of the 6% vs. 3.3% Bay-nitrogen-from-septic figure.</w:t>
      </w:r>
      <w:r>
        <w:t xml:space="preserve"> </w:t>
      </w:r>
      <w:r>
        <w:t xml:space="preserve">The synthesis explicitly resolved this discrepancy. Both numbers are correct for different frames. The ~6% figure traces to the Chesapeake Bay Program Phase 5.3 watershed model that supported the 2010 TMDL, which attributed roughly 15–17 million pounds of total nitrogen per year to septic out of a Bay-wide ~300 million pounds per year. The ~3.3% figure comes from the current CBP Phase 6 / CAST model (2018 and 2022 base years), which attributes roughly 8–10 million pounds per year to septic out of a revised ~260 million pounds per year, with changes driven by updated per-capita loading coefficients, revised attenuation coefficients, and a different denominator. Both are Bay-wide averages and both are defensible within their respective model frames. Neither is a local ESVA number.</w:t>
      </w:r>
      <w:r>
        <w:t xml:space="preserve"> </w:t>
      </w:r>
      <w:r>
        <w:rPr>
          <w:b/>
          <w:bCs/>
        </w:rPr>
        <w:t xml:space="preserve">[Oct 2026, corrected]</w:t>
      </w:r>
      <w:r>
        <w:t xml:space="preserve"> </w:t>
      </w:r>
      <w:r>
        <w:t xml:space="preserve">Earlier versions of this paragraph made two further claims: that</w:t>
      </w:r>
      <w:r>
        <w:t xml:space="preserve"> </w:t>
      </w:r>
      <w:r>
        <w:t xml:space="preserve">“the plausible local septic share of tidal-creek N loads in small Bayside ESVA catchments is on the order of 20–40 percent,”</w:t>
      </w:r>
      <w:r>
        <w:t xml:space="preserve"> </w:t>
      </w:r>
      <w:r>
        <w:t xml:space="preserve">and that Ator et al. (2020) and Sanford and Pope (2013) showed Phase 6 coefficients to be a lower bound. Both are withdrawn.</w:t>
      </w:r>
      <w:r>
        <w:t xml:space="preserve"> </w:t>
      </w:r>
      <w:r>
        <w:t xml:space="preserve">-</w:t>
      </w:r>
      <w:r>
        <w:t xml:space="preserve"> </w:t>
      </w:r>
      <w:r>
        <w:rPr>
          <w:b/>
          <w:bCs/>
        </w:rPr>
        <w:t xml:space="preserve">The 20–40 percent figure</w:t>
      </w:r>
      <w:r>
        <w:t xml:space="preserve"> </w:t>
      </w:r>
      <w:r>
        <w:t xml:space="preserve">has no source; it was generated by the synthesis.</w:t>
      </w:r>
      <w:r>
        <w:t xml:space="preserve"> </w:t>
      </w:r>
      <w:r>
        <w:t xml:space="preserve">-</w:t>
      </w:r>
      <w:r>
        <w:t xml:space="preserve"> </w:t>
      </w:r>
      <w:r>
        <w:rPr>
          <w:b/>
          <w:bCs/>
        </w:rPr>
        <w:t xml:space="preserve">Sanford and Pope (2013)</w:t>
      </w:r>
      <w:r>
        <w:t xml:space="preserve"> </w:t>
      </w:r>
      <w:r>
        <w:t xml:space="preserve">predates the Phase 6 model.</w:t>
      </w:r>
      <w:r>
        <w:t xml:space="preserve"> </w:t>
      </w:r>
      <w:r>
        <w:t xml:space="preserve">-</w:t>
      </w:r>
      <w:r>
        <w:t xml:space="preserve"> </w:t>
      </w:r>
      <w:r>
        <w:rPr>
          <w:b/>
          <w:bCs/>
        </w:rPr>
        <w:t xml:space="preserve">Ator et al. (2020)</w:t>
      </w:r>
      <w:r>
        <w:t xml:space="preserve"> </w:t>
      </w:r>
      <w:r>
        <w:t xml:space="preserve">is a trend analysis, not a critique of septic coefficients.</w:t>
      </w:r>
    </w:p>
    <w:p>
      <w:pPr>
        <w:pStyle w:val="BodyText"/>
      </w:pPr>
      <w:r>
        <w:rPr>
          <w:b/>
          <w:bCs/>
        </w:rPr>
        <w:t xml:space="preserve">The local septic share of nitrogen in ESVA creeks is unknown.</w:t>
      </w:r>
      <w:r>
        <w:t xml:space="preserve"> </w:t>
      </w:r>
      <w:r>
        <w:t xml:space="preserve">It could be higher than the Bay-wide average in densely developed shoreline sub-basins, or lower than agriculture’s share in most of them. Stanhope et al. (2009) suggest agriculture is the stronger ESVA signal. Measuring it is data gap #1 (Section 5).</w:t>
      </w:r>
    </w:p>
    <w:p>
      <w:pPr>
        <w:pStyle w:val="BodyText"/>
      </w:pPr>
      <w:r>
        <w:rPr>
          <w:b/>
          <w:bCs/>
        </w:rPr>
        <w:t xml:space="preserve">[Oct 2026, corrected]</w:t>
      </w:r>
      <w:r>
        <w:t xml:space="preserve"> </w:t>
      </w:r>
      <w:r>
        <w:t xml:space="preserve">Earlier versions also attributed to Mitchell, Isdell, Herman, and Tombleson (2021) a finding that ESVA has Virginia’s highest at-risk septic densities, and a 1.5-foot sea-level scenario affecting Northampton Bayside drainfields. The paper contains neither.</w:t>
      </w:r>
      <w:r>
        <w:t xml:space="preserve"> </w:t>
      </w:r>
      <w:r>
        <w:t xml:space="preserve">-</w:t>
      </w:r>
      <w:r>
        <w:t xml:space="preserve"> </w:t>
      </w:r>
      <w:r>
        <w:rPr>
          <w:b/>
          <w:bCs/>
        </w:rPr>
        <w:t xml:space="preserve">What it actually is:</w:t>
      </w:r>
      <w:r>
        <w:t xml:space="preserve"> </w:t>
      </w:r>
      <w:r>
        <w:t xml:space="preserve">a Tidewater-wide analysis built from VDH repair-permit data. It finds hot spots</w:t>
      </w:r>
      <w:r>
        <w:t xml:space="preserve"> </w:t>
      </w:r>
      <w:r>
        <w:t xml:space="preserve">“prevalent… around Richmond and Gloucester,”</w:t>
      </w:r>
      <w:r>
        <w:t xml:space="preserve"> </w:t>
      </w:r>
      <w:r>
        <w:t xml:space="preserve">uses the Sweet et al. (2017) Intermediate sea-level scenario, and does not identify the Eastern Shore as a hot spot.</w:t>
      </w:r>
      <w:r>
        <w:t xml:space="preserve"> </w:t>
      </w:r>
      <w:r>
        <w:t xml:space="preserve">-</w:t>
      </w:r>
      <w:r>
        <w:t xml:space="preserve"> </w:t>
      </w:r>
      <w:r>
        <w:rPr>
          <w:b/>
          <w:bCs/>
        </w:rPr>
        <w:t xml:space="preserve">What it found on water quality:</w:t>
      </w:r>
      <w:r>
        <w:t xml:space="preserve"> </w:t>
      </w:r>
      <w:r>
        <w:t xml:space="preserve">“only one incident where a low WQ region overlapped directly with a septic hot spot in Tidewater Virginia.”</w:t>
      </w:r>
      <w:r>
        <w:t xml:space="preserve"> </w:t>
      </w:r>
      <w:r>
        <w:t xml:space="preserve">-</w:t>
      </w:r>
      <w:r>
        <w:t xml:space="preserve"> </w:t>
      </w:r>
      <w:r>
        <w:rPr>
          <w:b/>
          <w:bCs/>
        </w:rPr>
        <w:t xml:space="preserve">Its main conclusion:</w:t>
      </w:r>
      <w:r>
        <w:t xml:space="preserve"> </w:t>
      </w:r>
      <w:r>
        <w:t xml:space="preserve">inadequate septic data severely limit vulnerability assessment.</w:t>
      </w:r>
    </w:p>
    <w:p>
      <w:pPr>
        <w:pStyle w:val="BodyText"/>
      </w:pPr>
      <w:r>
        <w:t xml:space="preserve">The biggest data gap remains the absence of any basin-specific septic-N mass balance for the major Bayside creeks, calibrated to Columbia aquifer conditions.</w:t>
      </w:r>
    </w:p>
    <w:bookmarkEnd w:id="14"/>
    <w:bookmarkStart w:id="15" w:name="X0a92719465738746b9a02207d8d3629b286fdd0"/>
    <w:p>
      <w:pPr>
        <w:pStyle w:val="Heading3"/>
      </w:pPr>
      <w:r>
        <w:t xml:space="preserve">2.4 Pathway 3b — The ESVA Seaside coastal lagoon system</w:t>
      </w:r>
    </w:p>
    <w:p>
      <w:pPr>
        <w:pStyle w:val="FirstParagraph"/>
      </w:pPr>
      <w:r>
        <w:rPr>
          <w:b/>
          <w:bCs/>
        </w:rPr>
        <w:t xml:space="preserve">See</w:t>
      </w:r>
      <w:r>
        <w:rPr>
          <w:b/>
          <w:bCs/>
        </w:rPr>
        <w:t xml:space="preserve"> </w:t>
      </w:r>
      <w:r>
        <w:rPr>
          <w:rStyle w:val="VerbatimChar"/>
          <w:b/>
          <w:bCs/>
        </w:rPr>
        <w:t xml:space="preserve">research/pathway_3b_seaside_lagoons.md</w:t>
      </w:r>
      <w:r>
        <w:rPr>
          <w:b/>
          <w:bCs/>
        </w:rPr>
        <w:t xml:space="preserve"> </w:t>
      </w:r>
      <w:r>
        <w:rPr>
          <w:b/>
          <w:bCs/>
        </w:rPr>
        <w:t xml:space="preserve">for the full treatment.</w:t>
      </w:r>
    </w:p>
    <w:p>
      <w:pPr>
        <w:pStyle w:val="BodyText"/>
      </w:pPr>
      <w:r>
        <w:t xml:space="preserve">The eastern side of ESVA drains through a series of shallow, flushing-limited bays behind the Virginia barrier islands — South Bay, Hog Island Bay, Cobb Bay, Spider Crab Bay, Mockhorn Bay, Magothy Bay — that together form one of the largest and most intact barrier-lagoon-marsh systems on the US Atlantic coast. It is home to the Virginia Coast Reserve LTER (NSF-funded since 1987) and to</w:t>
      </w:r>
      <w:r>
        <w:t xml:space="preserve"> </w:t>
      </w:r>
      <w:r>
        <w:rPr>
          <w:b/>
          <w:bCs/>
        </w:rPr>
        <w:t xml:space="preserve">the largest successful seagrass restoration in the world</w:t>
      </w:r>
      <w:r>
        <w:t xml:space="preserve">: 3,612 hectares (~8,900 acres) of</w:t>
      </w:r>
      <w:r>
        <w:t xml:space="preserve"> </w:t>
      </w:r>
      <w:r>
        <w:rPr>
          <w:i/>
          <w:iCs/>
        </w:rPr>
        <w:t xml:space="preserve">Zostera marina</w:t>
      </w:r>
      <w:r>
        <w:t xml:space="preserve"> </w:t>
      </w:r>
      <w:r>
        <w:t xml:space="preserve">eelgrass restored across South, Cobb, Spider Crab, and Hog Island Bays from more than 70 million seeds broadcast since 1999, expanding at approximately 240 hectares per year since 2007 (Orth, Lefcheck, McGlathery et al. 2020; Aoki, McGlathery, and Orth 2020). The restoration has re-established the physical structure, the clear-water state, the carbon-sequestration function, and the faunal community of a coastal ecosystem that had been lost for 75 years.</w:t>
      </w:r>
    </w:p>
    <w:p>
      <w:pPr>
        <w:pStyle w:val="BodyText"/>
      </w:pPr>
      <w:r>
        <w:t xml:space="preserve">The pathway’s central ecological point is a general one. Shallow coastal lagoons can exhibit nonlinear regime shifts under nutrient loading, which is a well-established result in the lagoon eutrophication literature (Cloern 2001; McGlathery, Sundbäck, and Anderson 2007).</w:t>
      </w:r>
    </w:p>
    <w:p>
      <w:pPr>
        <w:pStyle w:val="BodyText"/>
      </w:pPr>
      <w:r>
        <w:rPr>
          <w:b/>
          <w:bCs/>
        </w:rPr>
        <w:t xml:space="preserve">[Oct 2026, corrected]</w:t>
      </w:r>
      <w:r>
        <w:t xml:space="preserve"> </w:t>
      </w:r>
      <w:r>
        <w:t xml:space="preserve">Earlier versions said the ESVA restoration</w:t>
      </w:r>
      <w:r>
        <w:t xml:space="preserve"> </w:t>
      </w:r>
      <w:r>
        <w:t xml:space="preserve">“rests on a quantitatively narrow margin of safety.”</w:t>
      </w:r>
      <w:r>
        <w:t xml:space="preserve"> </w:t>
      </w:r>
      <w:r>
        <w:t xml:space="preserve">That is withdrawn:</w:t>
      </w:r>
      <w:r>
        <w:t xml:space="preserve"> </w:t>
      </w:r>
      <w:r>
        <w:rPr>
          <w:b/>
          <w:bCs/>
        </w:rPr>
        <w:t xml:space="preserve">no nutrient threshold has been estimated for the seaside meadows.</w:t>
      </w:r>
      <w:r>
        <w:t xml:space="preserve"> </w:t>
      </w:r>
      <w:r>
        <w:t xml:space="preserve">The points that do hold:</w:t>
      </w:r>
      <w:r>
        <w:t xml:space="preserve"> </w:t>
      </w:r>
      <w:r>
        <w:t xml:space="preserve">-</w:t>
      </w:r>
      <w:r>
        <w:t xml:space="preserve"> </w:t>
      </w:r>
      <w:r>
        <w:rPr>
          <w:b/>
          <w:bCs/>
        </w:rPr>
        <w:t xml:space="preserve">Seaside nutrient concentrations are low</w:t>
      </w:r>
      <w:r>
        <w:t xml:space="preserve"> </w:t>
      </w:r>
      <w:r>
        <w:t xml:space="preserve">by global standards.</w:t>
      </w:r>
      <w:r>
        <w:t xml:space="preserve"> </w:t>
      </w:r>
      <w:r>
        <w:t xml:space="preserve">-</w:t>
      </w:r>
      <w:r>
        <w:t xml:space="preserve"> </w:t>
      </w:r>
      <w:r>
        <w:rPr>
          <w:b/>
          <w:bCs/>
        </w:rPr>
        <w:t xml:space="preserve">Warming raises eelgrass light requirements.</w:t>
      </w:r>
      <w:r>
        <w:t xml:space="preserve"> </w:t>
      </w:r>
      <w:r>
        <w:t xml:space="preserve">Lefcheck et al. (2017), working in the Chesapeake mainstem, show this lowers tolerance for nutrient-driven light loss. Applying that to the seaside is an inference.</w:t>
      </w:r>
      <w:r>
        <w:t xml:space="preserve"> </w:t>
      </w:r>
      <w:r>
        <w:t xml:space="preserve">-</w:t>
      </w:r>
      <w:r>
        <w:t xml:space="preserve"> </w:t>
      </w:r>
      <w:r>
        <w:rPr>
          <w:b/>
          <w:bCs/>
        </w:rPr>
        <w:t xml:space="preserve">The documented seaside losses have been thermal.</w:t>
      </w:r>
      <w:r>
        <w:t xml:space="preserve"> </w:t>
      </w:r>
      <w:r>
        <w:t xml:space="preserve">The 2015 marine heat wave caused severe, spatially uneven dieback in South Bay, with some inner-meadow sites losing ~90% of shoot density, followed by partial recovery. The</w:t>
      </w:r>
      <w:r>
        <w:t xml:space="preserve"> </w:t>
      </w:r>
      <w:r>
        <w:t xml:space="preserve">“~50 percent areal loss”</w:t>
      </w:r>
      <w:r>
        <w:t xml:space="preserve"> </w:t>
      </w:r>
      <w:r>
        <w:t xml:space="preserve">figure in earlier versions could not be verified.</w:t>
      </w:r>
    </w:p>
    <w:p>
      <w:pPr>
        <w:pStyle w:val="BodyText"/>
      </w:pPr>
      <w:r>
        <w:t xml:space="preserve">The analogue regime shifts are each at least partly attributed to residential septic loading (Gobler, Boneillo, and Debenham 2005; Kinney and Valiela 2011; Lapointe et al. 2015, 2020):</w:t>
      </w:r>
      <w:r>
        <w:t xml:space="preserve"> </w:t>
      </w:r>
      <w:r>
        <w:t xml:space="preserve">- Peconic Estuary and Great South Bay (NY) brown tides;</w:t>
      </w:r>
      <w:r>
        <w:t xml:space="preserve"> </w:t>
      </w:r>
      <w:r>
        <w:t xml:space="preserve">- Indian River Lagoon (FL) seagrass collapse.</w:t>
      </w:r>
    </w:p>
    <w:p>
      <w:pPr>
        <w:pStyle w:val="BodyText"/>
      </w:pPr>
      <w:r>
        <w:t xml:space="preserve">They show what happens at</w:t>
      </w:r>
      <w:r>
        <w:t xml:space="preserve"> </w:t>
      </w:r>
      <w:r>
        <w:rPr>
          <w:b/>
          <w:bCs/>
        </w:rPr>
        <w:t xml:space="preserve">much higher</w:t>
      </w:r>
      <w:r>
        <w:t xml:space="preserve"> </w:t>
      </w:r>
      <w:r>
        <w:t xml:space="preserve">septic density and longer water residence than the Virginia seaside, where lagoon interiors flush in days to weeks. They should be read as cautionary examples, not as predictions for ESVA.</w:t>
      </w:r>
    </w:p>
    <w:p>
      <w:pPr>
        <w:pStyle w:val="BodyText"/>
      </w:pPr>
      <w:r>
        <w:t xml:space="preserve">The biggest data gap is the absence of any published δ¹⁵N or hydrologic attribution study partitioning the dissolved inorganic and organic nitrogen reaching the seaside lagoons between septic, agricultural, atmospheric, and benthic-recycling sources. A Lapointe-style isotopic fingerprinting study across Hog Island Bay, South Bay, and Cobb Bay is the single most informative missing piece of the ESVA ecological evidence base. The scientific stakes are unusually high because the seagrass restoration is both internationally celebrated and inherently vulnerable.</w:t>
      </w:r>
    </w:p>
    <w:bookmarkEnd w:id="15"/>
    <w:bookmarkStart w:id="16" w:name="Xf89589fc54c3b7192a2bbdfde211729ab22e1e0"/>
    <w:p>
      <w:pPr>
        <w:pStyle w:val="Heading3"/>
      </w:pPr>
      <w:r>
        <w:t xml:space="preserve">2.5 Pathway 4 — Shellfish grounds, aquaculture, and commercial fisheries</w:t>
      </w:r>
    </w:p>
    <w:p>
      <w:pPr>
        <w:pStyle w:val="FirstParagraph"/>
      </w:pPr>
      <w:r>
        <w:rPr>
          <w:b/>
          <w:bCs/>
        </w:rPr>
        <w:t xml:space="preserve">See</w:t>
      </w:r>
      <w:r>
        <w:rPr>
          <w:b/>
          <w:bCs/>
        </w:rPr>
        <w:t xml:space="preserve"> </w:t>
      </w:r>
      <w:r>
        <w:rPr>
          <w:rStyle w:val="VerbatimChar"/>
          <w:b/>
          <w:bCs/>
        </w:rPr>
        <w:t xml:space="preserve">research/pathway_4_shellfish.md</w:t>
      </w:r>
      <w:r>
        <w:rPr>
          <w:b/>
          <w:bCs/>
        </w:rPr>
        <w:t xml:space="preserve"> </w:t>
      </w:r>
      <w:r>
        <w:rPr>
          <w:b/>
          <w:bCs/>
        </w:rPr>
        <w:t xml:space="preserve">for the full treatment.</w:t>
      </w:r>
    </w:p>
    <w:p>
      <w:pPr>
        <w:pStyle w:val="BodyText"/>
      </w:pPr>
      <w:r>
        <w:t xml:space="preserve">Accomack and Northampton counties produce virtually all of Virginia’s hard clam (</w:t>
      </w:r>
      <w:r>
        <w:rPr>
          <w:i/>
          <w:iCs/>
        </w:rPr>
        <w:t xml:space="preserve">Mercenaria mercenaria</w:t>
      </w:r>
      <w:r>
        <w:t xml:space="preserve">) harvest (99.9% of landings in 2021; Snyder 2021, VIMS ESL Technical Report 10) and a growing share of its aquaculture oyster (</w:t>
      </w:r>
      <w:r>
        <w:rPr>
          <w:i/>
          <w:iCs/>
        </w:rPr>
        <w:t xml:space="preserve">Crassostrea virginica</w:t>
      </w:r>
      <w:r>
        <w:t xml:space="preserve">) production.</w:t>
      </w:r>
      <w:r>
        <w:t xml:space="preserve"> </w:t>
      </w:r>
      <w:r>
        <w:rPr>
          <w:b/>
          <w:bCs/>
        </w:rPr>
        <w:t xml:space="preserve">[Oct 2026, updated]</w:t>
      </w:r>
      <w:r>
        <w:t xml:space="preserve"> </w:t>
      </w:r>
      <w:r>
        <w:t xml:space="preserve">Virginia shellfish aquaculture farm-gate sales were about $81 million in 2024, up from $53 million in 2018. The most recent report gives about $75 million for 2025 (clams ~$45M, oysters ~$30M), with more than 700 workers (Hudson/VIMS 2025, 2026). Bay scallops reintroduced in the seaside lagoons are rebounding (0.114 m⁻² in the 2025 VIMS survey), and VIMS says natural reproduction</w:t>
      </w:r>
      <w:r>
        <w:t xml:space="preserve"> </w:t>
      </w:r>
      <w:r>
        <w:t xml:space="preserve">“may now be occurring.”</w:t>
      </w:r>
      <w:r>
        <w:t xml:space="preserve"> </w:t>
      </w:r>
      <w:r>
        <w:t xml:space="preserve">The harvest moratorium remains. Blue crab is a major wild fishery with nursery habitat on both sides of the Shore.</w:t>
      </w:r>
    </w:p>
    <w:p>
      <w:pPr>
        <w:pStyle w:val="BodyText"/>
      </w:pPr>
      <w:r>
        <w:rPr>
          <w:b/>
          <w:bCs/>
        </w:rPr>
        <w:t xml:space="preserve">[Oct 2026, rewritten]</w:t>
      </w:r>
      <w:r>
        <w:t xml:space="preserve"> </w:t>
      </w:r>
      <w:r>
        <w:t xml:space="preserve">The septic-relevant mechanism is fecal contamination of shellfish waters reaching the thresholds that trigger VDH classification changes and rain-triggered closures. Fecal coliform is an imperfect proxy for norovirus (Lipp, Farrah, and Rose 2001; Campos et al. 2015, 2017). Leight and Hood (2018) found that, in</w:t>
      </w:r>
      <w:r>
        <w:t xml:space="preserve"> </w:t>
      </w:r>
      <w:r>
        <w:rPr>
          <w:b/>
          <w:bCs/>
        </w:rPr>
        <w:t xml:space="preserve">Maryland</w:t>
      </w:r>
      <w:r>
        <w:t xml:space="preserve"> </w:t>
      </w:r>
      <w:r>
        <w:t xml:space="preserve">Chesapeake shellfish waters from 2004 to 2014, fecal-coliform exceedance rose from about 7% of samples after less than 1 inch of rain to about 37% after 1 inch or more. That study did not apportion sources, and there is no ESVA equivalent. Earlier versions claimed</w:t>
      </w:r>
      <w:r>
        <w:t xml:space="preserve"> </w:t>
      </w:r>
      <w:r>
        <w:t xml:space="preserve">“closure days can exceed 30–60 per year”</w:t>
      </w:r>
      <w:r>
        <w:t xml:space="preserve"> </w:t>
      </w:r>
      <w:r>
        <w:t xml:space="preserve">on ESVA; that figure was unsourced and is withdrawn.</w:t>
      </w:r>
    </w:p>
    <w:p>
      <w:pPr>
        <w:pStyle w:val="BodyText"/>
      </w:pPr>
      <w:r>
        <w:rPr>
          <w:b/>
          <w:bCs/>
        </w:rPr>
        <w:t xml:space="preserve">What VDH actually measures on the Shore (October 2026 review).</w:t>
      </w:r>
    </w:p>
    <w:p>
      <w:pPr>
        <w:pStyle w:val="Compact"/>
        <w:numPr>
          <w:ilvl w:val="0"/>
          <w:numId w:val="1004"/>
        </w:numPr>
      </w:pPr>
      <w:r>
        <w:rPr>
          <w:b/>
          <w:bCs/>
        </w:rPr>
        <w:t xml:space="preserve">Water sampling.</w:t>
      </w:r>
      <w:r>
        <w:t xml:space="preserve"> </w:t>
      </w:r>
      <w:r>
        <w:t xml:space="preserve">The VDH Division of Shellfish Safety and Waterborne Hazards samples about 590 active ESVA stations at least six times a year. Classification is based on the 30 most recent samples.</w:t>
      </w:r>
    </w:p>
    <w:p>
      <w:pPr>
        <w:pStyle w:val="Compact"/>
        <w:numPr>
          <w:ilvl w:val="0"/>
          <w:numId w:val="1004"/>
        </w:numPr>
      </w:pPr>
      <w:r>
        <w:rPr>
          <w:b/>
          <w:bCs/>
        </w:rPr>
        <w:t xml:space="preserve">Station results.</w:t>
      </w:r>
      <w:r>
        <w:t xml:space="preserve"> </w:t>
      </w:r>
      <w:r>
        <w:t xml:space="preserve">By a project analysis of VDH’s public GIS layer (Oct 2026; verify before quoting publicly), about 89% of Shore stations meet the standard, against about 72% statewide. 60 of the 64 failing stations are on the Bayside, concentrated in creek headwaters: Nassawadox/Westerhouse, Onancock, Pungoteague, Hungars/Mattawoman, Nandua and Occohannock.</w:t>
      </w:r>
    </w:p>
    <w:p>
      <w:pPr>
        <w:pStyle w:val="Compact"/>
        <w:numPr>
          <w:ilvl w:val="0"/>
          <w:numId w:val="1004"/>
        </w:numPr>
      </w:pPr>
      <w:r>
        <w:rPr>
          <w:b/>
          <w:bCs/>
        </w:rPr>
        <w:t xml:space="preserve">Condemned acreage.</w:t>
      </w:r>
      <w:r>
        <w:t xml:space="preserve"> </w:t>
      </w:r>
      <w:r>
        <w:t xml:space="preserve">Roughly 1.2% of the Shore’s classified shellfish acreage is condemned, against about 6.4% statewide. The largest condemned blocks are tied to Tangier/Smith Island (including a Maryland sewage plant and Tangier overflows), Pocomoke, Nassawadox/Westerhouse, Willis Wharf, and Cape Charles harbor (WWTP outfall and marinas). Several closures are mandatory buffers around outfalls and marinas that exist regardless of septic systems. VDH’s 2026 notices appear to reopen several large formerly condemned sections (e.g., Occohannock, Cherrystone), though some of this may reflect remapping.</w:t>
      </w:r>
    </w:p>
    <w:p>
      <w:pPr>
        <w:pStyle w:val="Compact"/>
        <w:numPr>
          <w:ilvl w:val="0"/>
          <w:numId w:val="1004"/>
        </w:numPr>
      </w:pPr>
      <w:r>
        <w:rPr>
          <w:b/>
          <w:bCs/>
        </w:rPr>
        <w:t xml:space="preserve">Shoreline sanitary surveys.</w:t>
      </w:r>
      <w:r>
        <w:t xml:space="preserve"> </w:t>
      </w:r>
      <w:r>
        <w:t xml:space="preserve">Every Shore growing area has a current survey (2018–2026). Surveyors visually inspect roads and navigable shoreline property by property and refer deficiencies to the local health department. Across the 27 current surveys there are about 85 on-site sewage deficiencies:</w:t>
      </w:r>
    </w:p>
    <w:p>
      <w:pPr>
        <w:pStyle w:val="Compact"/>
        <w:numPr>
          <w:ilvl w:val="1"/>
          <w:numId w:val="1005"/>
        </w:numPr>
      </w:pPr>
      <w:r>
        <w:t xml:space="preserve">40</w:t>
      </w:r>
      <w:r>
        <w:t xml:space="preserve"> </w:t>
      </w:r>
      <w:r>
        <w:t xml:space="preserve">“contributes pollution”</w:t>
      </w:r>
      <w:r>
        <w:t xml:space="preserve">;</w:t>
      </w:r>
    </w:p>
    <w:p>
      <w:pPr>
        <w:pStyle w:val="Compact"/>
        <w:numPr>
          <w:ilvl w:val="1"/>
          <w:numId w:val="1005"/>
        </w:numPr>
      </w:pPr>
      <w:r>
        <w:t xml:space="preserve">17 greywater;</w:t>
      </w:r>
    </w:p>
    <w:p>
      <w:pPr>
        <w:pStyle w:val="Compact"/>
        <w:numPr>
          <w:ilvl w:val="1"/>
          <w:numId w:val="1005"/>
        </w:numPr>
      </w:pPr>
      <w:r>
        <w:t xml:space="preserve">28</w:t>
      </w:r>
      <w:r>
        <w:t xml:space="preserve"> </w:t>
      </w:r>
      <w:r>
        <w:t xml:space="preserve">“no facilities,”</w:t>
      </w:r>
      <w:r>
        <w:t xml:space="preserve"> </w:t>
      </w:r>
      <w:r>
        <w:t xml:space="preserve">i.e. no sewage system at all.</w:t>
      </w:r>
    </w:p>
    <w:p>
      <w:pPr>
        <w:pStyle w:val="Compact"/>
        <w:numPr>
          <w:ilvl w:val="0"/>
          <w:numId w:val="1000"/>
        </w:numPr>
      </w:pPr>
      <w:r>
        <w:t xml:space="preserve">They are concentrated in Chincoteague, where a significant proportion of homes rely on cesspools, along with Occohannock, Willis Wharf and Greenbackville. About 14 small restricted zones (~207 acres) are coded to individual sewage deficiencies. The 2025 surveys of the creeks with the most failing stations (Nassawadox, Hungars/Mattawoman) found</w:t>
      </w:r>
      <w:r>
        <w:t xml:space="preserve"> </w:t>
      </w:r>
      <w:r>
        <w:rPr>
          <w:b/>
          <w:bCs/>
        </w:rPr>
        <w:t xml:space="preserve">no</w:t>
      </w:r>
      <w:r>
        <w:t xml:space="preserve"> </w:t>
      </w:r>
      <w:r>
        <w:t xml:space="preserve">on-site deficiencies. VDH has begun human-marker (HF183) testing, and the limited samples so far have been negative except at a treatment-plant outfall.</w:t>
      </w:r>
    </w:p>
    <w:p>
      <w:pPr>
        <w:pStyle w:val="Compact"/>
        <w:numPr>
          <w:ilvl w:val="0"/>
          <w:numId w:val="1004"/>
        </w:numPr>
      </w:pPr>
      <w:r>
        <w:rPr>
          <w:b/>
          <w:bCs/>
        </w:rPr>
        <w:t xml:space="preserve">Source tracking in TMDLs.</w:t>
      </w:r>
      <w:r>
        <w:t xml:space="preserve"> </w:t>
      </w:r>
      <w:r>
        <w:t xml:space="preserve">The only ESVA bacterial source tracking dates from 2006–08 TMDLs. It used antibiotic-resistance analysis, which EPA described as experimental, and attributed 24–60% of fecal bacteria to</w:t>
      </w:r>
      <w:r>
        <w:t xml:space="preserve"> </w:t>
      </w:r>
      <w:r>
        <w:t xml:space="preserve">“human”</w:t>
      </w:r>
      <w:r>
        <w:t xml:space="preserve"> </w:t>
      </w:r>
      <w:r>
        <w:t xml:space="preserve">sources (which includes boats and sewer lines). The model-based 2017 Nassawadox/Westerhouse TMDL attributed about 1–2% to human sources and 61–95% to wildlife.</w:t>
      </w:r>
    </w:p>
    <w:p>
      <w:pPr>
        <w:pStyle w:val="FirstParagraph"/>
      </w:pPr>
      <w:r>
        <w:t xml:space="preserve">This is consistent with VDH’s report that it is not seeing widespread septic-related shellfish contamination.</w:t>
      </w:r>
      <w:r>
        <w:t xml:space="preserve"> </w:t>
      </w:r>
      <w:r>
        <w:rPr>
          <w:b/>
          <w:bCs/>
        </w:rPr>
        <w:t xml:space="preserve">Shellfish waters are monitored intensively, and the Shore’s are among the cleanest in Virginia.</w:t>
      </w:r>
      <w:r>
        <w:t xml:space="preserve"> </w:t>
      </w:r>
      <w:r>
        <w:t xml:space="preserve">Septic systems themselves are monitored poorly: surveys are visual, and VDH holds database records for only about 37% of the Shore’s estimated systems (VDH 2025, RD1005).</w:t>
      </w:r>
    </w:p>
    <w:p>
      <w:pPr>
        <w:pStyle w:val="BodyText"/>
      </w:pPr>
      <w:r>
        <w:rPr>
          <w:b/>
          <w:bCs/>
        </w:rPr>
        <w:t xml:space="preserve">[Oct 2026, withdrawn]</w:t>
      </w:r>
      <w:r>
        <w:t xml:space="preserve"> </w:t>
      </w:r>
      <w:r>
        <w:t xml:space="preserve">Earlier versions claimed a</w:t>
      </w:r>
      <w:r>
        <w:t xml:space="preserve"> </w:t>
      </w:r>
      <w:r>
        <w:t xml:space="preserve">“near-complete spatial overlap”</w:t>
      </w:r>
      <w:r>
        <w:t xml:space="preserve"> </w:t>
      </w:r>
      <w:r>
        <w:t xml:space="preserve">between Mitchell et al.’s (2021) septic hot spots and VDH condemnation zones at Oyster, Willis Wharf, Quinby, Wachapreague, Saxis, Chincoteague and Cape Charles. Mitchell et al. found</w:t>
      </w:r>
      <w:r>
        <w:t xml:space="preserve"> </w:t>
      </w:r>
      <w:r>
        <w:t xml:space="preserve">“only one incident where a low WQ region overlapped directly with a septic hot spot in Tidewater Virginia”</w:t>
      </w:r>
      <w:r>
        <w:t xml:space="preserve"> </w:t>
      </w:r>
      <w:r>
        <w:t xml:space="preserve">and urged</w:t>
      </w:r>
      <w:r>
        <w:t xml:space="preserve"> </w:t>
      </w:r>
      <w:r>
        <w:t xml:space="preserve">“extreme caution.”</w:t>
      </w:r>
      <w:r>
        <w:t xml:space="preserve"> </w:t>
      </w:r>
      <w:r>
        <w:t xml:space="preserve">The town list does not appear in RD883 (2021) either, and Cape Charles is sewered. What the evidence does support is narrower: a small number of documented on-site deficiencies near shellfish waters, concentrated at Chincoteague (cesspools) and a few waterfront communities, are already handled case by case through shoreline surveys.</w:t>
      </w:r>
    </w:p>
    <w:p>
      <w:pPr>
        <w:pStyle w:val="BodyText"/>
      </w:pPr>
      <w:r>
        <w:t xml:space="preserve">The biggest data gap is modern microbial source tracking on ESVA, using host-specific markers such as HF183, crAssphage, or enteric-virus panels. It would show how much of the chronic Bayside creek-headwater failures is human versus wildlife or agricultural. VDH’s new HF183 sampling is the natural starting point, and an overlay of closure areas against septic density (both public datasets) is an obvious capstone project. A finding that septic is a minor contributor would be as useful to managers as the opposite.</w:t>
      </w:r>
    </w:p>
    <w:bookmarkEnd w:id="16"/>
    <w:bookmarkStart w:id="17" w:name="Xf31b252508fbfae65fc2863eedac4e4a1cf2ac0"/>
    <w:p>
      <w:pPr>
        <w:pStyle w:val="Heading3"/>
      </w:pPr>
      <w:r>
        <w:t xml:space="preserve">2.6 Pathway 5 — Iconic and sensitive species and habitats</w:t>
      </w:r>
    </w:p>
    <w:p>
      <w:pPr>
        <w:pStyle w:val="FirstParagraph"/>
      </w:pPr>
      <w:r>
        <w:rPr>
          <w:b/>
          <w:bCs/>
        </w:rPr>
        <w:t xml:space="preserve">See</w:t>
      </w:r>
      <w:r>
        <w:rPr>
          <w:b/>
          <w:bCs/>
        </w:rPr>
        <w:t xml:space="preserve"> </w:t>
      </w:r>
      <w:r>
        <w:rPr>
          <w:rStyle w:val="VerbatimChar"/>
          <w:b/>
          <w:bCs/>
        </w:rPr>
        <w:t xml:space="preserve">research/pathway_5_iconic_species.md</w:t>
      </w:r>
      <w:r>
        <w:rPr>
          <w:b/>
          <w:bCs/>
        </w:rPr>
        <w:t xml:space="preserve"> </w:t>
      </w:r>
      <w:r>
        <w:rPr>
          <w:b/>
          <w:bCs/>
        </w:rPr>
        <w:t xml:space="preserve">for the full treatment.</w:t>
      </w:r>
    </w:p>
    <w:p>
      <w:pPr>
        <w:pStyle w:val="BodyText"/>
      </w:pPr>
      <w:r>
        <w:t xml:space="preserve">Pathway 5 asks whether failing septic systems plausibly contribute to harm for the species ESVA residents, managers, and visitors recognize and care about: oysters, bay scallops, blue crabs, diamondback terrapins, horseshoe crabs, red knots, piping plovers, Chincoteague ponies, and several habitat-forming species. This is the pathway with the widest range of evidence strengths in the synthesis, and the synthesis is deliberately disciplined about that range.</w:t>
      </w:r>
    </w:p>
    <w:p>
      <w:pPr>
        <w:pStyle w:val="BodyText"/>
      </w:pPr>
      <w:r>
        <w:t xml:space="preserve">Three evidence patterns dominate. (1) For habitat-forming species and the fauna most tightly coupled to SAV or to salt marsh structure — eelgrass meadows as foundation habitat, oyster reefs as ecosystem engineers, ribbed mussels as marsh N cyclers — the mechanism linking septic-derived N to habitat change is well established and the ESVA-specific attribution is PLAUSIBLE. (2) For species that depend on SAV indirectly — bay scallop (obligate eelgrass associate), blue crab (SAV nursery habitat), brant and other SAV-dependent waterfowl — the habitat-mediated mechanism is strong but the attribution of population change specifically to ESVA septic sources is SPECULATIVE given multiple competing drivers (climate, harvest, predation, disease, overwintering conditions). (3) For several iconic species most closely associated with the Shore in the public imagination — the Chincoteague ponies, horseshoe crabs, red knot, piping plover — the septic pathway is real in principle but direct evidence is absent or very weak, and they are included for completeness and honest scoping rather than because they are the strongest links.</w:t>
      </w:r>
    </w:p>
    <w:p>
      <w:pPr>
        <w:pStyle w:val="BodyText"/>
      </w:pPr>
      <w:r>
        <w:t xml:space="preserve">The most tightly coupled faunal link is the bay scallop. The restored seaside population depends on the eelgrass meadow (Orth, Lefcheck, McGlathery et al. 2020).</w:t>
      </w:r>
      <w:r>
        <w:t xml:space="preserve"> </w:t>
      </w:r>
      <w:r>
        <w:rPr>
          <w:b/>
          <w:bCs/>
        </w:rPr>
        <w:t xml:space="preserve">[Oct 2026]</w:t>
      </w:r>
      <w:r>
        <w:t xml:space="preserve"> </w:t>
      </w:r>
      <w:r>
        <w:t xml:space="preserve">Earlier versions called it</w:t>
      </w:r>
      <w:r>
        <w:t xml:space="preserve"> </w:t>
      </w:r>
      <w:r>
        <w:t xml:space="preserve">“the only successful reintroduction of its kind globally”</w:t>
      </w:r>
      <w:r>
        <w:t xml:space="preserve"> </w:t>
      </w:r>
      <w:r>
        <w:t xml:space="preserve">and cited Peterson and Heck (2001), which is about mussels. The superlative is unsourced and has been removed. Cite the VIMS bay scallop survey directly for current status. Any septic link to scallop habitat is SPECULATIVE, because no seaside nutrient threshold has been estimated.</w:t>
      </w:r>
    </w:p>
    <w:p>
      <w:pPr>
        <w:pStyle w:val="BodyText"/>
      </w:pPr>
      <w:r>
        <w:rPr>
          <w:b/>
          <w:bCs/>
        </w:rPr>
        <w:t xml:space="preserve">[Oct 2026, withdrawn]</w:t>
      </w:r>
      <w:r>
        <w:t xml:space="preserve"> </w:t>
      </w:r>
      <w:r>
        <w:t xml:space="preserve">Earlier versions called Chincoteague</w:t>
      </w:r>
      <w:r>
        <w:t xml:space="preserve"> </w:t>
      </w:r>
      <w:r>
        <w:t xml:space="preserve">“the weakest but most publicly resonant example.”</w:t>
      </w:r>
      <w:r>
        <w:t xml:space="preserve"> </w:t>
      </w:r>
      <w:r>
        <w:t xml:space="preserve">The claim was that since the 1970s the town has imported drinking water from Wallops because septic systems contaminated its own groundwater.</w:t>
      </w:r>
      <w:r>
        <w:t xml:space="preserve"> </w:t>
      </w:r>
      <w:r>
        <w:rPr>
          <w:b/>
          <w:bCs/>
        </w:rPr>
        <w:t xml:space="preserve">No source supports a septic cause.</w:t>
      </w:r>
      <w:r>
        <w:t xml:space="preserve"> </w:t>
      </w:r>
      <w:r>
        <w:t xml:space="preserve">The island’s early shallow wells were brackish, and the town’s supply wells are on the mainland at Wallops Flight Facility. The contamination actually documented in that supply is PFAS from firefighting foam used at Wallops, detected in 2017. The 1997 sole-source designation excludes Chincoteague island. This example must not be used. The biggest data gap is the absence of any quantitative partitioning of faunal population change on ESVA between septic-specific contributions and the larger portfolio of drivers; this is intrinsically hard but tractable at least for the most tightly coupled species.</w:t>
      </w:r>
    </w:p>
    <w:bookmarkEnd w:id="17"/>
    <w:bookmarkStart w:id="18" w:name="X6228f5b0d0dd2e59c1fb270ffe6ce24ba4dcd65"/>
    <w:p>
      <w:pPr>
        <w:pStyle w:val="Heading3"/>
      </w:pPr>
      <w:r>
        <w:t xml:space="preserve">2.7 Pathway 6 — Terrestrial drainfield footprint</w:t>
      </w:r>
    </w:p>
    <w:p>
      <w:pPr>
        <w:pStyle w:val="FirstParagraph"/>
      </w:pPr>
      <w:r>
        <w:rPr>
          <w:b/>
          <w:bCs/>
        </w:rPr>
        <w:t xml:space="preserve">See</w:t>
      </w:r>
      <w:r>
        <w:rPr>
          <w:b/>
          <w:bCs/>
        </w:rPr>
        <w:t xml:space="preserve"> </w:t>
      </w:r>
      <w:r>
        <w:rPr>
          <w:rStyle w:val="VerbatimChar"/>
          <w:b/>
          <w:bCs/>
        </w:rPr>
        <w:t xml:space="preserve">research/pathway_6_drainfield_footprint.md</w:t>
      </w:r>
      <w:r>
        <w:rPr>
          <w:b/>
          <w:bCs/>
        </w:rPr>
        <w:t xml:space="preserve"> </w:t>
      </w:r>
      <w:r>
        <w:rPr>
          <w:b/>
          <w:bCs/>
        </w:rPr>
        <w:t xml:space="preserve">for the full treatment.</w:t>
      </w:r>
    </w:p>
    <w:p>
      <w:pPr>
        <w:pStyle w:val="BodyText"/>
      </w:pPr>
      <w:r>
        <w:t xml:space="preserve">The drainfield is a small, household-scale ecosystem — a few hundred square meters of engineered soil column that receives a continuous flux of nutrient- and carbon-rich effluent and functions as a biological filter when unsaturated and aerobic. When the treatment zone saturates from above (hydraulic overload) or from below (rising water table), the drainfield transitions from a treatment asset into a distinctive and persistent habitat patch. Under ESVA conditions, saturation from below is expected to become an increasingly important failure mode as water tables rise (Pathway 1).</w:t>
      </w:r>
      <w:r>
        <w:t xml:space="preserve"> </w:t>
      </w:r>
      <w:r>
        <w:rPr>
          <w:b/>
          <w:bCs/>
        </w:rPr>
        <w:t xml:space="preserve">[Oct 2026]</w:t>
      </w:r>
      <w:r>
        <w:t xml:space="preserve"> </w:t>
      </w:r>
      <w:r>
        <w:t xml:space="preserve">Earlier versions called it</w:t>
      </w:r>
      <w:r>
        <w:t xml:space="preserve"> </w:t>
      </w:r>
      <w:r>
        <w:t xml:space="preserve">“the dominant failure mode.”</w:t>
      </w:r>
      <w:r>
        <w:t xml:space="preserve"> </w:t>
      </w:r>
      <w:r>
        <w:t xml:space="preserve">Local installers and the Eastern Shore Health District report that failures today are driven mainly by</w:t>
      </w:r>
      <w:r>
        <w:t xml:space="preserve"> </w:t>
      </w:r>
      <w:r>
        <w:rPr>
          <w:b/>
          <w:bCs/>
        </w:rPr>
        <w:t xml:space="preserve">age and what is put into the system</w:t>
      </w:r>
      <w:r>
        <w:t xml:space="preserve"> </w:t>
      </w:r>
      <w:r>
        <w:t xml:space="preserve">(VDH–project meeting, February 2026). The vegetation response at the footprint scale is predictable: oxygen-sensitive species are killed or suppressed, and a small set of opportunistic, hypoxia-tolerant species — bamboo, English ivy, periwinkle, mint, and in the coastal-plain context most consequentially</w:t>
      </w:r>
      <w:r>
        <w:t xml:space="preserve"> </w:t>
      </w:r>
      <w:r>
        <w:rPr>
          <w:i/>
          <w:iCs/>
        </w:rPr>
        <w:t xml:space="preserve">Phragmites australis</w:t>
      </w:r>
      <w:r>
        <w:t xml:space="preserve"> </w:t>
      </w:r>
      <w:r>
        <w:t xml:space="preserve">— establish and then spread outward from the drainfield margin (Clemson HGIC 2021; UF/IFAS EDIS SS687; Chambers, Meyerson, and Saltonstall 1999; Mozdzer and Zieman 2010).</w:t>
      </w:r>
    </w:p>
    <w:p>
      <w:pPr>
        <w:pStyle w:val="BodyText"/>
      </w:pPr>
      <w:r>
        <w:t xml:space="preserve">The pathway’s most distinctive ecological finding is that failing drainfields are a plausible but under-studied facilitator of</w:t>
      </w:r>
      <w:r>
        <w:t xml:space="preserve"> </w:t>
      </w:r>
      <w:r>
        <w:rPr>
          <w:i/>
          <w:iCs/>
        </w:rPr>
        <w:t xml:space="preserve">Phragmites</w:t>
      </w:r>
      <w:r>
        <w:t xml:space="preserve"> </w:t>
      </w:r>
      <w:r>
        <w:t xml:space="preserve">expansion in ESVA upland-to-marsh ecotones, adding a household-scale mechanism to the regional drivers (sea-level rise, disturbance, atmospheric deposition) that are already known. Surface ponding over failed drainfields also creates chronically wet, nutrient-rich habitat that is high-quality mosquito breeding substrate; this is under-studied but mechanistically sound. A legacy-loading tail — drainfields continuing to leach nitrogen for a decade or more after the septic system is taken out of service — has been documented at single-site studies (Robertson, Cherry, and Sudicky 1991) and means that remediation benefits (including sewer connection via the HRSD expansion) are delayed rather than immediate.</w:t>
      </w:r>
    </w:p>
    <w:p>
      <w:pPr>
        <w:pStyle w:val="BodyText"/>
      </w:pPr>
      <w:r>
        <w:t xml:space="preserve">At ESVA scale, ~18,000 septic systems represent perhaps a few square kilometers of drainfield soil, much of it in hydrologically sensitive positions.</w:t>
      </w:r>
      <w:r>
        <w:t xml:space="preserve"> </w:t>
      </w:r>
      <w:r>
        <w:rPr>
          <w:b/>
          <w:bCs/>
        </w:rPr>
        <w:t xml:space="preserve">[Oct 2026]</w:t>
      </w:r>
      <w:r>
        <w:t xml:space="preserve"> </w:t>
      </w:r>
      <w:r>
        <w:t xml:space="preserve">The earlier</w:t>
      </w:r>
      <w:r>
        <w:t xml:space="preserve"> </w:t>
      </w:r>
      <w:r>
        <w:t xml:space="preserve">“5–11 km²”</w:t>
      </w:r>
      <w:r>
        <w:t xml:space="preserve"> </w:t>
      </w:r>
      <w:r>
        <w:t xml:space="preserve">was this document’s own arithmetic from an assumed 300–600 m² per drainfield, which looks high for residential systems. Treat any area figure as an order-of-magnitude guess. This cumulative footprint has not been systematically estimated for its ecological consequences. The biggest data gap is the complete absence of published field ecology for actual ESVA drainfield footprints: no vegetation surveys, no soil microbial community characterization, no adjacent-habitat impact assessments. This is also the pathway where an ESCC capstone project could most easily produce novel data at low cost.</w:t>
      </w:r>
    </w:p>
    <w:bookmarkEnd w:id="18"/>
    <w:bookmarkEnd w:id="19"/>
    <w:bookmarkStart w:id="20" w:name="cross-cutting-themes"/>
    <w:p>
      <w:pPr>
        <w:pStyle w:val="Heading2"/>
      </w:pPr>
      <w:r>
        <w:t xml:space="preserve">3. Cross-cutting themes</w:t>
      </w:r>
    </w:p>
    <w:p>
      <w:pPr>
        <w:pStyle w:val="FirstParagraph"/>
      </w:pPr>
      <w:r>
        <w:t xml:space="preserve">Several findings emerged independently in more than one pathway and are therefore more robust than any single line of evidence.</w:t>
      </w:r>
    </w:p>
    <w:p>
      <w:pPr>
        <w:pStyle w:val="BodyText"/>
      </w:pPr>
      <w:r>
        <w:rPr>
          <w:b/>
          <w:bCs/>
        </w:rPr>
        <w:t xml:space="preserve">3.1 Sea-level rise is projected to</w:t>
      </w:r>
      <w:r>
        <w:rPr>
          <w:b/>
          <w:bCs/>
        </w:rPr>
        <w:t xml:space="preserve"> </w:t>
      </w:r>
      <w:r>
        <w:rPr>
          <w:b/>
          <w:bCs/>
        </w:rPr>
        <w:t xml:space="preserve">“de-rate”</w:t>
      </w:r>
      <w:r>
        <w:rPr>
          <w:b/>
          <w:bCs/>
        </w:rPr>
        <w:t xml:space="preserve"> </w:t>
      </w:r>
      <w:r>
        <w:rPr>
          <w:b/>
          <w:bCs/>
        </w:rPr>
        <w:t xml:space="preserve">ESVA drainfields without any physical change.</w:t>
      </w:r>
      <w:r>
        <w:t xml:space="preserve"> </w:t>
      </w:r>
      <w:r>
        <w:rPr>
          <w:b/>
          <w:bCs/>
        </w:rPr>
        <w:t xml:space="preserve">[Oct 2026]</w:t>
      </w:r>
      <w:r>
        <w:t xml:space="preserve"> </w:t>
      </w:r>
      <w:r>
        <w:t xml:space="preserve">On ESVA this is supported by modeling, not observation. The mechanism has been measured in Rhode Island and coastal North Carolina, and the local tide gauge at Wachapreague records relative sea-level rise of ≈5.5 mm/yr. Read the rest of this theme as a projection. It remains the single most important cross-cutting point in the synthesis, and it is the one most directly relevant to homeowners and planners. It appears in Pathway 1 (groundwater) as the compression of the unsaturated zone beneath drainfields, in Pathway 2 (tidal creeks) as shortening groundwater travel paths, in Pathway 3a (Bay) as the mechanism by which Mitchell et al. 2021 project future Bay-side failures, in Pathway 4 (shellfish) as the explanation for the spatial co-location of vulnerable septics and closure zones, and in Pathway 6 (drainfield footprint) as the failure mode that drives footprint-scale vegetation and microbial changes. ESVA septic systems installed under drier historical conditions are becoming functionally failing without any infrastructure-level intervention — the system is being re-rated by climate change. The practical implication is that ESVA’s septic problem is not a one-time retrofit question; it is a moving target that worsens under all plausible sea-level trajectories.</w:t>
      </w:r>
    </w:p>
    <w:p>
      <w:pPr>
        <w:pStyle w:val="BodyText"/>
      </w:pPr>
      <w:r>
        <w:rPr>
          <w:b/>
          <w:bCs/>
        </w:rPr>
        <w:t xml:space="preserve">3.2 Mechanism is well understood; ESVA-specific attribution is not.</w:t>
      </w:r>
      <w:r>
        <w:t xml:space="preserve"> </w:t>
      </w:r>
      <w:r>
        <w:t xml:space="preserve">Every pathway repeats the same evidence pattern: the biogeochemical and ecological mechanisms linking septic effluent to receiving-ecosystem change are well established in the general literature and usually demonstrated rigorously in one or more analogue systems (Cape Cod, Rhode Island, Plum Island, Waquoit Bay, Dare County, Indian River Lagoon, Peconic Estuary, Great South Bay, coastal Georgia). What is missing in nearly every pathway is a quantitative ESVA-specific attribution study that closes the loop from</w:t>
      </w:r>
      <w:r>
        <w:t xml:space="preserve"> </w:t>
      </w:r>
      <w:r>
        <w:t xml:space="preserve">“septic density here”</w:t>
      </w:r>
      <w:r>
        <w:t xml:space="preserve"> </w:t>
      </w:r>
      <w:r>
        <w:t xml:space="preserve">to</w:t>
      </w:r>
      <w:r>
        <w:t xml:space="preserve"> </w:t>
      </w:r>
      <w:r>
        <w:t xml:space="preserve">“ecological state there.”</w:t>
      </w:r>
      <w:r>
        <w:t xml:space="preserve"> </w:t>
      </w:r>
      <w:r>
        <w:t xml:space="preserve">This is not because such studies are impossible — the methods exist and have been applied elsewhere — but because no one has done them on ESVA. The mechanism–to–attribution gap is the single biggest structural feature of the ESVA ecological evidence base.</w:t>
      </w:r>
    </w:p>
    <w:p>
      <w:pPr>
        <w:pStyle w:val="BodyText"/>
      </w:pPr>
      <w:r>
        <w:rPr>
          <w:b/>
          <w:bCs/>
        </w:rPr>
        <w:t xml:space="preserve">3.3 Bay-wide averages are not local numbers.</w:t>
      </w:r>
      <w:r>
        <w:t xml:space="preserve"> </w:t>
      </w:r>
      <w:r>
        <w:t xml:space="preserve">The Pathway 3a discussion of the 6% vs. 3.3% figure shows that Bay-wide septic shares cannot be transferred to ESVA sub-basins.</w:t>
      </w:r>
      <w:r>
        <w:t xml:space="preserve"> </w:t>
      </w:r>
      <w:r>
        <w:rPr>
          <w:b/>
          <w:bCs/>
        </w:rPr>
        <w:t xml:space="preserve">[Oct 2026, corrected]</w:t>
      </w:r>
      <w:r>
        <w:t xml:space="preserve"> </w:t>
      </w:r>
      <w:r>
        <w:t xml:space="preserve">Earlier versions went further and asserted that ESVA sub-basins</w:t>
      </w:r>
      <w:r>
        <w:t xml:space="preserve"> </w:t>
      </w:r>
      <w:r>
        <w:t xml:space="preserve">“routinely experience local contributions that are far higher”</w:t>
      </w:r>
      <w:r>
        <w:t xml:space="preserve"> </w:t>
      </w:r>
      <w:r>
        <w:t xml:space="preserve">and that regional averages</w:t>
      </w:r>
      <w:r>
        <w:t xml:space="preserve"> </w:t>
      </w:r>
      <w:r>
        <w:t xml:space="preserve">“systematically understate ESVA exposure.”</w:t>
      </w:r>
      <w:r>
        <w:t xml:space="preserve"> </w:t>
      </w:r>
      <w:r>
        <w:t xml:space="preserve">That is not established. The local share is</w:t>
      </w:r>
      <w:r>
        <w:t xml:space="preserve"> </w:t>
      </w:r>
      <w:r>
        <w:rPr>
          <w:b/>
          <w:bCs/>
        </w:rPr>
        <w:t xml:space="preserve">unknown</w:t>
      </w:r>
      <w:r>
        <w:t xml:space="preserve">, and on the Shore it competes with agricultural loading that may dominate many catchments. Any decision-support tool the project builds should work at sub-basin resolution.</w:t>
      </w:r>
    </w:p>
    <w:p>
      <w:pPr>
        <w:pStyle w:val="BodyText"/>
      </w:pPr>
      <w:r>
        <w:rPr>
          <w:b/>
          <w:bCs/>
        </w:rPr>
        <w:t xml:space="preserve">3.4 The Bayside and Seaside are not the same system.</w:t>
      </w:r>
      <w:r>
        <w:t xml:space="preserve"> </w:t>
      </w:r>
      <w:r>
        <w:t xml:space="preserve">The Pathway 3 split into 3a and 3b is not cosmetic. The Chesapeake Bay mainstem (3a) is a large, deep, well-flushed, partially protected estuary where septic-derived N is one contributor among many to a Bay-wide problem with established management infrastructure. The seaside barrier-island lagoons (3b) are shallow, biologically exceptional, exchange water through inlets on timescales of days to weeks, and support the world’s largest successful seagrass restoration and a reintroduced bay scallop population. Identical N loadings produce very different ecological consequences in the two systems, and management frames appropriate for one are not necessarily appropriate for the other.</w:t>
      </w:r>
    </w:p>
    <w:p>
      <w:pPr>
        <w:pStyle w:val="BodyText"/>
      </w:pPr>
      <w:r>
        <w:rPr>
          <w:b/>
          <w:bCs/>
        </w:rPr>
        <w:t xml:space="preserve">3.5 The faunal cascade rests on SAV.</w:t>
      </w:r>
      <w:r>
        <w:t xml:space="preserve"> </w:t>
      </w:r>
      <w:r>
        <w:t xml:space="preserve">Pathway 3a, 3b, 4, and 5 all converge on submerged aquatic vegetation — eelgrass and widgeon grass — as the foundation habitat whose condition mediates ecological outcomes for most of the species the public cares about. Bay scallops are obligate, blue crab nurseries are SAV-dependent, brant and other waterfowl depend on SAV forage, faunal density is quantitatively tied to SAV area (Lefcheck et al. 2018, 2019; Orth et al. 2020). This means that the ecological stakes of even modest N loading changes on ESVA run through the SAV meadow, and that protecting SAV is effectively protecting the faunal cascade above it.</w:t>
      </w:r>
    </w:p>
    <w:p>
      <w:pPr>
        <w:pStyle w:val="BodyText"/>
      </w:pPr>
      <w:r>
        <w:rPr>
          <w:b/>
          <w:bCs/>
        </w:rPr>
        <w:t xml:space="preserve">3.6 The mosaic of evidence strengths is itself the finding.</w:t>
      </w:r>
      <w:r>
        <w:t xml:space="preserve"> </w:t>
      </w:r>
      <w:r>
        <w:t xml:space="preserve">Pathway 5’s strength-of-evidence table, Pathway 1’s disciplined labeling, and the analogous summaries in every other pathway together demonstrate that the ecological evidence base for septic effects on ESVA is a mosaic.</w:t>
      </w:r>
      <w:r>
        <w:t xml:space="preserve"> </w:t>
      </w:r>
      <w:r>
        <w:rPr>
          <w:b/>
          <w:bCs/>
        </w:rPr>
        <w:t xml:space="preserve">[Oct 2026, relabeled]</w:t>
      </w:r>
      <w:r>
        <w:t xml:space="preserve"> </w:t>
      </w:r>
      <w:r>
        <w:t xml:space="preserve">Some links are ESTABLISHED in the general literature: SAV–faunal coupling, the mechanism of nitrate transport in sandy aquifers, and soil saturation causing treatment failure. On ESVA, rising water tables compromising drainfields is PLAUSIBLE (projected by modeling). Septic contributions to ESVA creek nitrogen are PLAUSIBLE but unmeasured. Specific attribution of any ESVA ecological change to septic sources is SPECULATIVE. Earlier versions listed</w:t>
      </w:r>
      <w:r>
        <w:t xml:space="preserve"> </w:t>
      </w:r>
      <w:r>
        <w:t xml:space="preserve">“shellfish closure spatial overlap”</w:t>
      </w:r>
      <w:r>
        <w:t xml:space="preserve"> </w:t>
      </w:r>
      <w:r>
        <w:t xml:space="preserve">and</w:t>
      </w:r>
      <w:r>
        <w:t xml:space="preserve"> </w:t>
      </w:r>
      <w:r>
        <w:t xml:space="preserve">“ESVA sub-basin sensitivity”</w:t>
      </w:r>
      <w:r>
        <w:t xml:space="preserve"> </w:t>
      </w:r>
      <w:r>
        <w:t xml:space="preserve">as STRONGLY SUPPORTED. Both are withdrawn (see Section 4). Recognizing the mosaic — rather than either overclaiming or ignoring it — is a prerequisite for both defensible science and credible outreach.</w:t>
      </w:r>
    </w:p>
    <w:bookmarkEnd w:id="20"/>
    <w:bookmarkStart w:id="21" w:name="integrated-strength-of-evidence-summary"/>
    <w:p>
      <w:pPr>
        <w:pStyle w:val="Heading2"/>
      </w:pPr>
      <w:r>
        <w:t xml:space="preserve">4. Integrated strength-of-evidence summary</w:t>
      </w:r>
    </w:p>
    <w:p>
      <w:pPr>
        <w:pStyle w:val="FirstParagraph"/>
      </w:pPr>
      <w:r>
        <w:rPr>
          <w:b/>
          <w:bCs/>
        </w:rPr>
        <w:t xml:space="preserve">[Oct 2026, rewritten.]</w:t>
      </w:r>
      <w:r>
        <w:t xml:space="preserve"> </w:t>
      </w:r>
      <w:r>
        <w:t xml:space="preserve">Labels now separate two questions:</w:t>
      </w:r>
    </w:p>
    <w:p>
      <w:pPr>
        <w:pStyle w:val="Compact"/>
        <w:numPr>
          <w:ilvl w:val="0"/>
          <w:numId w:val="1006"/>
        </w:numPr>
      </w:pPr>
      <w:r>
        <w:t xml:space="preserve">Is the</w:t>
      </w:r>
      <w:r>
        <w:t xml:space="preserve"> </w:t>
      </w:r>
      <w:r>
        <w:rPr>
          <w:b/>
          <w:bCs/>
        </w:rPr>
        <w:t xml:space="preserve">mechanism</w:t>
      </w:r>
      <w:r>
        <w:t xml:space="preserve"> </w:t>
      </w:r>
      <w:r>
        <w:t xml:space="preserve">established in the general literature?</w:t>
      </w:r>
    </w:p>
    <w:p>
      <w:pPr>
        <w:pStyle w:val="Compact"/>
        <w:numPr>
          <w:ilvl w:val="0"/>
          <w:numId w:val="1006"/>
        </w:numPr>
      </w:pPr>
      <w:r>
        <w:t xml:space="preserve">Is there</w:t>
      </w:r>
      <w:r>
        <w:t xml:space="preserve"> </w:t>
      </w:r>
      <w:r>
        <w:rPr>
          <w:b/>
          <w:bCs/>
        </w:rPr>
        <w:t xml:space="preserve">ESVA-specific evidence</w:t>
      </w:r>
      <w:r>
        <w:t xml:space="preserve"> </w:t>
      </w:r>
      <w:r>
        <w:t xml:space="preserve">that septic systems are producing the effect</w:t>
      </w:r>
      <w:r>
        <w:t xml:space="preserve"> </w:t>
      </w:r>
      <w:r>
        <w:rPr>
          <w:i/>
          <w:iCs/>
        </w:rPr>
        <w:t xml:space="preserve">here</w:t>
      </w:r>
      <w:r>
        <w:t xml:space="preserve">?</w:t>
      </w:r>
    </w:p>
    <w:p>
      <w:pPr>
        <w:pStyle w:val="FirstParagraph"/>
      </w:pPr>
      <w:r>
        <w:t xml:space="preserve">The earlier version merged these two questions and over-rated several ESVA claims. The superseded labels are recorded in the right-hand column.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Claim</w:t>
            </w:r>
          </w:p>
        </w:tc>
        <w:tc>
          <w:tcPr/>
          <w:p>
            <w:pPr>
              <w:pStyle w:val="Compact"/>
            </w:pPr>
            <w:r>
              <w:t xml:space="preserve">Mechanism (general literature)</w:t>
            </w:r>
          </w:p>
        </w:tc>
        <w:tc>
          <w:tcPr/>
          <w:p>
            <w:pPr>
              <w:pStyle w:val="Compact"/>
            </w:pPr>
            <w:r>
              <w:t xml:space="preserve">ESVA septic-specific evidence</w:t>
            </w:r>
          </w:p>
        </w:tc>
        <w:tc>
          <w:tcPr/>
          <w:p>
            <w:pPr>
              <w:pStyle w:val="Compact"/>
            </w:pPr>
            <w:r>
              <w:t xml:space="preserve">Earlier label</w:t>
            </w:r>
          </w:p>
        </w:tc>
      </w:tr>
      <w:tr>
        <w:tc>
          <w:tcPr/>
          <w:p>
            <w:pPr>
              <w:pStyle w:val="Compact"/>
            </w:pPr>
            <w:r>
              <w:t xml:space="preserve">Effluent nitrate moves through sandy, oxic aquifers to tidal shorelines with limited attenuation outside near-shore organic sediments</w:t>
            </w:r>
          </w:p>
        </w:tc>
        <w:tc>
          <w:tcPr/>
          <w:p>
            <w:pPr>
              <w:pStyle w:val="Compact"/>
            </w:pPr>
            <w:r>
              <w:t xml:space="preserve">ESTABLISHED</w:t>
            </w:r>
          </w:p>
        </w:tc>
        <w:tc>
          <w:tcPr/>
          <w:p>
            <w:pPr>
              <w:pStyle w:val="Compact"/>
            </w:pPr>
            <w:r>
              <w:t xml:space="preserve">PLAUSIBLE. The ESVA studies (Speiran 1996, 2010) traced</w:t>
            </w:r>
            <w:r>
              <w:t xml:space="preserve"> </w:t>
            </w:r>
            <w:r>
              <w:rPr>
                <w:b/>
                <w:bCs/>
              </w:rPr>
              <w:t xml:space="preserve">agricultural</w:t>
            </w:r>
            <w:r>
              <w:t xml:space="preserve"> </w:t>
            </w:r>
            <w:r>
              <w:t xml:space="preserve">nitrate.</w:t>
            </w:r>
          </w:p>
        </w:tc>
        <w:tc>
          <w:tcPr/>
          <w:p>
            <w:pPr>
              <w:pStyle w:val="Compact"/>
            </w:pPr>
            <w:r>
              <w:t xml:space="preserve">Established</w:t>
            </w:r>
          </w:p>
        </w:tc>
      </w:tr>
      <w:tr>
        <w:tc>
          <w:tcPr/>
          <w:p>
            <w:pPr>
              <w:pStyle w:val="Compact"/>
            </w:pPr>
            <w:r>
              <w:t xml:space="preserve">Accomack tidal creeks get most (~80%) of their freshwater inflow from groundwater</w:t>
            </w:r>
          </w:p>
        </w:tc>
        <w:tc>
          <w:tcPr/>
          <w:p>
            <w:pPr>
              <w:pStyle w:val="Compact"/>
            </w:pPr>
            <w:r>
              <w:t xml:space="preserve">—</w:t>
            </w:r>
          </w:p>
        </w:tc>
        <w:tc>
          <w:tcPr/>
          <w:p>
            <w:pPr>
              <w:pStyle w:val="Compact"/>
            </w:pPr>
            <w:r>
              <w:t xml:space="preserve">ESTABLISHED for Accomack (</w:t>
            </w:r>
            <w:r>
              <w:rPr>
                <w:i/>
                <w:iCs/>
              </w:rPr>
              <w:t xml:space="preserve">Accomack County Regional Water Supply Plan</w:t>
            </w:r>
            <w:r>
              <w:t xml:space="preserve"> </w:t>
            </w:r>
            <w:r>
              <w:t xml:space="preserve">2010). This is about groundwater generally, not septic.</w:t>
            </w:r>
          </w:p>
        </w:tc>
        <w:tc>
          <w:tcPr/>
          <w:p>
            <w:pPr>
              <w:pStyle w:val="Compact"/>
            </w:pPr>
            <w:r>
              <w:t xml:space="preserve">Established (mis-cited)</w:t>
            </w:r>
          </w:p>
        </w:tc>
      </w:tr>
      <w:tr>
        <w:tc>
          <w:tcPr/>
          <w:p>
            <w:pPr>
              <w:pStyle w:val="Compact"/>
            </w:pPr>
            <w:r>
              <w:t xml:space="preserve">Conventional systems retain only ~10–30% of nitrogen, and do not remove PFAS or pharmaceuticals</w:t>
            </w:r>
          </w:p>
        </w:tc>
        <w:tc>
          <w:tcPr/>
          <w:p>
            <w:pPr>
              <w:pStyle w:val="Compact"/>
            </w:pPr>
            <w:r>
              <w:t xml:space="preserve">ESTABLISHED</w:t>
            </w:r>
          </w:p>
        </w:tc>
        <w:tc>
          <w:tcPr/>
          <w:p>
            <w:pPr>
              <w:pStyle w:val="Compact"/>
            </w:pPr>
            <w:r>
              <w:t xml:space="preserve">Applies to ESVA systems by design. Not measured locally.</w:t>
            </w:r>
          </w:p>
        </w:tc>
        <w:tc>
          <w:tcPr/>
          <w:p>
            <w:pPr>
              <w:pStyle w:val="Compact"/>
            </w:pPr>
            <w:r>
              <w:t xml:space="preserve">—</w:t>
            </w:r>
          </w:p>
        </w:tc>
      </w:tr>
      <w:tr>
        <w:tc>
          <w:tcPr/>
          <w:p>
            <w:pPr>
              <w:pStyle w:val="Compact"/>
            </w:pPr>
            <w:r>
              <w:t xml:space="preserve">Nitrogen loading is a primary driver of SAV condition in the Chesapeake Bay</w:t>
            </w:r>
          </w:p>
        </w:tc>
        <w:tc>
          <w:tcPr/>
          <w:p>
            <w:pPr>
              <w:pStyle w:val="Compact"/>
            </w:pPr>
            <w:r>
              <w:t xml:space="preserve">ESTABLISHED (Bay mainstem)</w:t>
            </w:r>
          </w:p>
        </w:tc>
        <w:tc>
          <w:tcPr/>
          <w:p>
            <w:pPr>
              <w:pStyle w:val="Compact"/>
            </w:pPr>
            <w:r>
              <w:t xml:space="preserve">Not established for the seaside lagoons, where documented losses have been thermal.</w:t>
            </w:r>
          </w:p>
        </w:tc>
        <w:tc>
          <w:tcPr/>
          <w:p>
            <w:pPr>
              <w:pStyle w:val="Compact"/>
            </w:pPr>
            <w:r>
              <w:t xml:space="preserve">Established</w:t>
            </w:r>
          </w:p>
        </w:tc>
      </w:tr>
      <w:tr>
        <w:tc>
          <w:tcPr/>
          <w:p>
            <w:pPr>
              <w:pStyle w:val="Compact"/>
            </w:pPr>
            <w:r>
              <w:t xml:space="preserve">Sea-level rise reduces the unsaturated zone beneath drainfields and degrades treatment</w:t>
            </w:r>
          </w:p>
        </w:tc>
        <w:tc>
          <w:tcPr/>
          <w:p>
            <w:pPr>
              <w:pStyle w:val="Compact"/>
            </w:pPr>
            <w:r>
              <w:t xml:space="preserve">ESTABLISHED (measured in RI and NC)</w:t>
            </w:r>
          </w:p>
        </w:tc>
        <w:tc>
          <w:tcPr/>
          <w:p>
            <w:pPr>
              <w:pStyle w:val="Compact"/>
            </w:pPr>
            <w:r>
              <w:t xml:space="preserve">PLAUSIBLE, projected by ESVA modeling. Not yet observed in ESVA field data. VDH sees ~90 repairs/yr.</w:t>
            </w:r>
          </w:p>
        </w:tc>
        <w:tc>
          <w:tcPr/>
          <w:p>
            <w:pPr>
              <w:pStyle w:val="Compact"/>
            </w:pPr>
            <w:r>
              <w:t xml:space="preserve">Strongly supported</w:t>
            </w:r>
          </w:p>
        </w:tc>
      </w:tr>
      <w:tr>
        <w:tc>
          <w:tcPr/>
          <w:p>
            <w:pPr>
              <w:pStyle w:val="Compact"/>
            </w:pPr>
            <w:r>
              <w:t xml:space="preserve">Local septic share of ESVA creek nitrogen exceeds the Bay-wide share</w:t>
            </w:r>
            <w:r>
              <w:t xml:space="preserve"> </w:t>
            </w:r>
            <w:r>
              <w:t xml:space="preserve">“by an order of magnitude”</w:t>
            </w:r>
          </w:p>
        </w:tc>
        <w:tc>
          <w:tcPr/>
          <w:p>
            <w:pPr>
              <w:pStyle w:val="Compact"/>
            </w:pPr>
            <w:r>
              <w:t xml:space="preserve">—</w:t>
            </w:r>
          </w:p>
        </w:tc>
        <w:tc>
          <w:tcPr/>
          <w:p>
            <w:pPr>
              <w:pStyle w:val="Compact"/>
            </w:pPr>
            <w:r>
              <w:rPr>
                <w:b/>
                <w:bCs/>
              </w:rPr>
              <w:t xml:space="preserve">WITHDRAWN.</w:t>
            </w:r>
            <w:r>
              <w:t xml:space="preserve"> </w:t>
            </w:r>
            <w:r>
              <w:t xml:space="preserve">The number was generated by the synthesis. The local share is unknown.</w:t>
            </w:r>
          </w:p>
        </w:tc>
        <w:tc>
          <w:tcPr/>
          <w:p>
            <w:pPr>
              <w:pStyle w:val="Compact"/>
            </w:pPr>
            <w:r>
              <w:t xml:space="preserve">Strongly supported</w:t>
            </w:r>
          </w:p>
        </w:tc>
      </w:tr>
      <w:tr>
        <w:tc>
          <w:tcPr/>
          <w:p>
            <w:pPr>
              <w:pStyle w:val="Compact"/>
            </w:pPr>
            <w:r>
              <w:t xml:space="preserve">Seaside eelgrass rests on a</w:t>
            </w:r>
            <w:r>
              <w:t xml:space="preserve"> </w:t>
            </w:r>
            <w:r>
              <w:t xml:space="preserve">“narrow”</w:t>
            </w:r>
            <w:r>
              <w:t xml:space="preserve"> </w:t>
            </w:r>
            <w:r>
              <w:t xml:space="preserve">nutrient safety margin</w:t>
            </w:r>
          </w:p>
        </w:tc>
        <w:tc>
          <w:tcPr/>
          <w:p>
            <w:pPr>
              <w:pStyle w:val="Compact"/>
            </w:pPr>
            <w:r>
              <w:t xml:space="preserve">General lagoon theory</w:t>
            </w:r>
          </w:p>
        </w:tc>
        <w:tc>
          <w:tcPr/>
          <w:p>
            <w:pPr>
              <w:pStyle w:val="Compact"/>
            </w:pPr>
            <w:r>
              <w:rPr>
                <w:b/>
                <w:bCs/>
              </w:rPr>
              <w:t xml:space="preserve">SPECULATIVE.</w:t>
            </w:r>
            <w:r>
              <w:t xml:space="preserve"> </w:t>
            </w:r>
            <w:r>
              <w:t xml:space="preserve">No threshold has been estimated, nutrient levels are low, and documented threats have been thermal.</w:t>
            </w:r>
          </w:p>
        </w:tc>
        <w:tc>
          <w:tcPr/>
          <w:p>
            <w:pPr>
              <w:pStyle w:val="Compact"/>
            </w:pPr>
            <w:r>
              <w:t xml:space="preserve">Strongly supported</w:t>
            </w:r>
          </w:p>
        </w:tc>
      </w:tr>
      <w:tr>
        <w:tc>
          <w:tcPr/>
          <w:p>
            <w:pPr>
              <w:pStyle w:val="Compact"/>
            </w:pPr>
            <w:r>
              <w:t xml:space="preserve">ESVA shellfish closures co-locate with septic hot spots</w:t>
            </w:r>
          </w:p>
        </w:tc>
        <w:tc>
          <w:tcPr/>
          <w:p>
            <w:pPr>
              <w:pStyle w:val="Compact"/>
            </w:pPr>
            <w:r>
              <w:t xml:space="preserve">—</w:t>
            </w:r>
          </w:p>
        </w:tc>
        <w:tc>
          <w:tcPr/>
          <w:p>
            <w:pPr>
              <w:pStyle w:val="Compact"/>
            </w:pPr>
            <w:r>
              <w:rPr>
                <w:b/>
                <w:bCs/>
              </w:rPr>
              <w:t xml:space="preserve">WITHDRAWN.</w:t>
            </w:r>
            <w:r>
              <w:t xml:space="preserve"> </w:t>
            </w:r>
            <w:r>
              <w:t xml:space="preserve">No overlay has been published. Mitchell et al. 2021 found only one septic/water-quality overlap Tidewater-wide. NSSP-required closures around marinas and outfalls cluster at harbor towns regardless of septic.</w:t>
            </w:r>
          </w:p>
        </w:tc>
        <w:tc>
          <w:tcPr/>
          <w:p>
            <w:pPr>
              <w:pStyle w:val="Compact"/>
            </w:pPr>
            <w:r>
              <w:t xml:space="preserve">Strongly supported</w:t>
            </w:r>
          </w:p>
        </w:tc>
      </w:tr>
      <w:tr>
        <w:tc>
          <w:tcPr/>
          <w:p>
            <w:pPr>
              <w:pStyle w:val="Compact"/>
            </w:pPr>
            <w:r>
              <w:t xml:space="preserve">Failing drainfields facilitate</w:t>
            </w:r>
            <w:r>
              <w:t xml:space="preserve"> </w:t>
            </w:r>
            <w:r>
              <w:rPr>
                <w:i/>
                <w:iCs/>
              </w:rPr>
              <w:t xml:space="preserve">Phragmites</w:t>
            </w:r>
            <w:r>
              <w:t xml:space="preserve"> </w:t>
            </w:r>
            <w:r>
              <w:t xml:space="preserve">in upland–marsh ecotones</w:t>
            </w:r>
          </w:p>
        </w:tc>
        <w:tc>
          <w:tcPr/>
          <w:p>
            <w:pPr>
              <w:pStyle w:val="Compact"/>
            </w:pPr>
            <w:r>
              <w:t xml:space="preserve">PLAUSIBLE</w:t>
            </w:r>
          </w:p>
        </w:tc>
        <w:tc>
          <w:tcPr/>
          <w:p>
            <w:pPr>
              <w:pStyle w:val="Compact"/>
            </w:pPr>
            <w:r>
              <w:t xml:space="preserve">SPECULATIVE (no ESVA data)</w:t>
            </w:r>
          </w:p>
        </w:tc>
        <w:tc>
          <w:tcPr/>
          <w:p>
            <w:pPr>
              <w:pStyle w:val="Compact"/>
            </w:pPr>
            <w:r>
              <w:t xml:space="preserve">Plausible</w:t>
            </w:r>
          </w:p>
        </w:tc>
      </w:tr>
      <w:tr>
        <w:tc>
          <w:tcPr/>
          <w:p>
            <w:pPr>
              <w:pStyle w:val="Compact"/>
            </w:pPr>
            <w:r>
              <w:t xml:space="preserve">Chronic N loading contributes to marsh bank collapse (Deegan mechanism)</w:t>
            </w:r>
          </w:p>
        </w:tc>
        <w:tc>
          <w:tcPr/>
          <w:p>
            <w:pPr>
              <w:pStyle w:val="Compact"/>
            </w:pPr>
            <w:r>
              <w:t xml:space="preserve">ESTABLISHED at ~10× ambient loading</w:t>
            </w:r>
          </w:p>
        </w:tc>
        <w:tc>
          <w:tcPr/>
          <w:p>
            <w:pPr>
              <w:pStyle w:val="Compact"/>
            </w:pPr>
            <w:r>
              <w:t xml:space="preserve">SPECULATIVE at current ESVA loading</w:t>
            </w:r>
          </w:p>
        </w:tc>
        <w:tc>
          <w:tcPr/>
          <w:p>
            <w:pPr>
              <w:pStyle w:val="Compact"/>
            </w:pPr>
            <w:r>
              <w:t xml:space="preserve">Plausible</w:t>
            </w:r>
          </w:p>
        </w:tc>
      </w:tr>
      <w:tr>
        <w:tc>
          <w:tcPr/>
          <w:p>
            <w:pPr>
              <w:pStyle w:val="Compact"/>
            </w:pPr>
            <w:r>
              <w:t xml:space="preserve">ESVA septic N materially affects SAV, blue crab nursery habitat or bay scallop habitat</w:t>
            </w:r>
          </w:p>
        </w:tc>
        <w:tc>
          <w:tcPr/>
          <w:p>
            <w:pPr>
              <w:pStyle w:val="Compact"/>
            </w:pPr>
            <w:r>
              <w:t xml:space="preserve">PLAUSIBLE</w:t>
            </w:r>
          </w:p>
        </w:tc>
        <w:tc>
          <w:tcPr/>
          <w:p>
            <w:pPr>
              <w:pStyle w:val="Compact"/>
            </w:pPr>
            <w:r>
              <w:t xml:space="preserve">SPECULATIVE</w:t>
            </w:r>
          </w:p>
        </w:tc>
        <w:tc>
          <w:tcPr/>
          <w:p>
            <w:pPr>
              <w:pStyle w:val="Compact"/>
            </w:pPr>
            <w:r>
              <w:t xml:space="preserve">Plausible</w:t>
            </w:r>
          </w:p>
        </w:tc>
      </w:tr>
      <w:tr>
        <w:tc>
          <w:tcPr/>
          <w:p>
            <w:pPr>
              <w:pStyle w:val="Compact"/>
            </w:pPr>
            <w:r>
              <w:t xml:space="preserve">Septic effects on horseshoe crab embryos, red knots, or Chincoteague ponies</w:t>
            </w:r>
          </w:p>
        </w:tc>
        <w:tc>
          <w:tcPr/>
          <w:p>
            <w:pPr>
              <w:pStyle w:val="Compact"/>
            </w:pPr>
            <w:r>
              <w:t xml:space="preserve">—</w:t>
            </w:r>
          </w:p>
        </w:tc>
        <w:tc>
          <w:tcPr/>
          <w:p>
            <w:pPr>
              <w:pStyle w:val="Compact"/>
            </w:pPr>
            <w:r>
              <w:t xml:space="preserve">SPECULATIVE. Do not use in outreach.</w:t>
            </w:r>
          </w:p>
        </w:tc>
        <w:tc>
          <w:tcPr/>
          <w:p>
            <w:pPr>
              <w:pStyle w:val="Compact"/>
            </w:pPr>
            <w:r>
              <w:t xml:space="preserve">Speculative</w:t>
            </w:r>
          </w:p>
        </w:tc>
      </w:tr>
    </w:tbl>
    <w:bookmarkEnd w:id="21"/>
    <w:bookmarkStart w:id="22" w:name="cross-pathway-data-gaps"/>
    <w:p>
      <w:pPr>
        <w:pStyle w:val="Heading2"/>
      </w:pPr>
      <w:r>
        <w:t xml:space="preserve">5. Cross-pathway data gaps</w:t>
      </w:r>
    </w:p>
    <w:p>
      <w:pPr>
        <w:pStyle w:val="FirstParagraph"/>
      </w:pPr>
      <w:r>
        <w:t xml:space="preserve">Consolidating the data gaps across all six pathway files produces a small number of structural gaps that are worth attacking first because addressing them would materially improve confidence across multiple pathways simultaneously. Full pathway-specific gap lists remain in the individual files.</w:t>
      </w:r>
    </w:p>
    <w:p>
      <w:pPr>
        <w:numPr>
          <w:ilvl w:val="0"/>
          <w:numId w:val="1007"/>
        </w:numPr>
      </w:pPr>
      <w:r>
        <w:rPr>
          <w:b/>
          <w:bCs/>
        </w:rPr>
        <w:t xml:space="preserve">Source attribution for nitrogen loading in ESVA tidal creeks and lagoons.</w:t>
      </w:r>
      <w:r>
        <w:t xml:space="preserve"> </w:t>
      </w:r>
      <w:r>
        <w:t xml:space="preserve">Partitioning dissolved inorganic and organic N between septic, agricultural, atmospheric, and benthic-recycling sources using stable isotopes (δ¹⁵N–δ¹⁸O of NO₃⁻, δ¹⁵N in SAV and macroalgal tissue) and co-tracers (sucralose, acesulfame, caffeine) across a gradient of septic density and distance from urban centers. This single study design would inform Pathways 1, 2, 3a, 3b, and 5 simultaneously. Cost is tractable at the ESCC capstone scale for a subset of creeks; full coverage would be a larger federal or state proposal.</w:t>
      </w:r>
    </w:p>
    <w:p>
      <w:pPr>
        <w:numPr>
          <w:ilvl w:val="0"/>
          <w:numId w:val="1007"/>
        </w:numPr>
      </w:pPr>
      <w:r>
        <w:rPr>
          <w:b/>
          <w:bCs/>
        </w:rPr>
        <w:t xml:space="preserve">Microbial source tracking for ESVA shellfish closure zones.</w:t>
      </w:r>
      <w:r>
        <w:t xml:space="preserve"> </w:t>
      </w:r>
      <w:r>
        <w:t xml:space="preserve">HF183, crAssphage, enteric-virus PCR panels applied to closure-prone Bayside and Seaside creek headwaters, co-located with septic density maps. Would close the attribution chain from septic source to closure day for the first time on ESVA and would directly inform Pathway 4 and Pathway 5 (filter-feeding habitat-forming species).</w:t>
      </w:r>
    </w:p>
    <w:p>
      <w:pPr>
        <w:numPr>
          <w:ilvl w:val="0"/>
          <w:numId w:val="1007"/>
        </w:numPr>
      </w:pPr>
      <w:r>
        <w:rPr>
          <w:b/>
          <w:bCs/>
        </w:rPr>
        <w:t xml:space="preserve">Direct groundwater monitoring around ESVA septic clusters.</w:t>
      </w:r>
      <w:r>
        <w:t xml:space="preserve"> </w:t>
      </w:r>
      <w:r>
        <w:t xml:space="preserve">Upgradient and downgradient wells at representative Bayside and Seaside septic clusters, with a full analyte suite (N, P, boron, sucralose, PPCPs, PFAS, 16S microbial community, ARG markers). Would transform Pathway 1 from an exposure-modeling exercise into an effects-monitoring exercise.</w:t>
      </w:r>
    </w:p>
    <w:p>
      <w:pPr>
        <w:numPr>
          <w:ilvl w:val="0"/>
          <w:numId w:val="1007"/>
        </w:numPr>
      </w:pPr>
      <w:r>
        <w:rPr>
          <w:b/>
          <w:bCs/>
        </w:rPr>
        <w:t xml:space="preserve">Sub-basin septic-N mass balance calibrated to Columbia-aquifer conditions.</w:t>
      </w:r>
      <w:r>
        <w:t xml:space="preserve"> </w:t>
      </w:r>
      <w:r>
        <w:t xml:space="preserve">Downscale the CBP Phase 6 / CAST framework to ESVA sub-basin resolution with locally calibrated per-capita loading, attenuation, and denitrification coefficients. Would resolve the sub-basin realities problem flagged in cross-cutting theme 3.3 and give planners a defensible local number rather than a Bay-wide average.</w:t>
      </w:r>
    </w:p>
    <w:p>
      <w:pPr>
        <w:numPr>
          <w:ilvl w:val="0"/>
          <w:numId w:val="1007"/>
        </w:numPr>
      </w:pPr>
      <w:r>
        <w:rPr>
          <w:b/>
          <w:bCs/>
        </w:rPr>
        <w:t xml:space="preserve">Field ecology of actual ESVA drainfield footprints.</w:t>
      </w:r>
      <w:r>
        <w:t xml:space="preserve"> </w:t>
      </w:r>
      <w:r>
        <w:t xml:space="preserve">Paired vegetation, soil microbial, and adjacent-habitat surveys at a stratified sample of drainfields from functioning to severely failing. Would produce the first ESVA-specific ecological documentation of Pathway 6 and is an ideal ESCC capstone.</w:t>
      </w:r>
    </w:p>
    <w:p>
      <w:pPr>
        <w:numPr>
          <w:ilvl w:val="0"/>
          <w:numId w:val="1007"/>
        </w:numPr>
      </w:pPr>
      <w:r>
        <w:rPr>
          <w:b/>
          <w:bCs/>
        </w:rPr>
        <w:t xml:space="preserve">Seagrass meadow safety-margin modeling for the seaside restoration.</w:t>
      </w:r>
      <w:r>
        <w:t xml:space="preserve"> </w:t>
      </w:r>
      <w:r>
        <w:t xml:space="preserve">Couple Hesamfar et al. groundwater N delivery projections with VIMS</w:t>
      </w:r>
      <w:r>
        <w:t xml:space="preserve"> </w:t>
      </w:r>
      <w:r>
        <w:rPr>
          <w:i/>
          <w:iCs/>
        </w:rPr>
        <w:t xml:space="preserve">Zostera</w:t>
      </w:r>
      <w:r>
        <w:t xml:space="preserve"> </w:t>
      </w:r>
      <w:r>
        <w:t xml:space="preserve">meadow condition and bay scallop recruitment dynamics to quantify how close the restoration is to its loading threshold under plausible scenarios. Connects Pathways 1, 3b, and 5 into a single high-stakes modeling question.</w:t>
      </w:r>
    </w:p>
    <w:p>
      <w:pPr>
        <w:numPr>
          <w:ilvl w:val="0"/>
          <w:numId w:val="1007"/>
        </w:numPr>
      </w:pPr>
      <w:r>
        <w:rPr>
          <w:b/>
          <w:bCs/>
        </w:rPr>
        <w:t xml:space="preserve">Legacy-loading tail characterization.</w:t>
      </w:r>
      <w:r>
        <w:t xml:space="preserve"> </w:t>
      </w:r>
      <w:r>
        <w:t xml:space="preserve">How long after a septic system is taken out of service (through sewer connection, for instance) does the decommissioned drainfield soil continue to leach nitrogen to groundwater? This matters for HRSD Route 13 sewer expansion planning and for any retrofit cost-benefit analysis.</w:t>
      </w:r>
    </w:p>
    <w:p>
      <w:pPr>
        <w:numPr>
          <w:ilvl w:val="0"/>
          <w:numId w:val="1007"/>
        </w:numPr>
      </w:pPr>
      <w:r>
        <w:rPr>
          <w:b/>
          <w:bCs/>
        </w:rPr>
        <w:t xml:space="preserve">Partitioned marsh retreat attribution.</w:t>
      </w:r>
      <w:r>
        <w:t xml:space="preserve"> </w:t>
      </w:r>
      <w:r>
        <w:t xml:space="preserve">Distinguish the contribution of chronic N loading (the Deegan mechanism) from sea-level-rise drowning in observed ESVA marsh retreat rates, using either high-resolution aerial change analysis paired with loading estimates or experimental manipulation.</w:t>
      </w:r>
    </w:p>
    <w:p>
      <w:pPr>
        <w:pStyle w:val="FirstParagraph"/>
      </w:pPr>
      <w:r>
        <w:t xml:space="preserve">Together these eight gaps define a coherent research agenda for the Expansion Stage of the project and provide ready-made questions for ESCC capstone framing.</w:t>
      </w:r>
    </w:p>
    <w:bookmarkEnd w:id="22"/>
    <w:bookmarkStart w:id="23" w:name="Xeee81206d5d608405890e029cacd496d03cfd28"/>
    <w:p>
      <w:pPr>
        <w:pStyle w:val="Heading2"/>
      </w:pPr>
      <w:r>
        <w:t xml:space="preserve">6. What this synthesis means for the ESVA Septic Project</w:t>
      </w:r>
    </w:p>
    <w:p>
      <w:pPr>
        <w:pStyle w:val="FirstParagraph"/>
      </w:pPr>
      <w:r>
        <w:t xml:space="preserve">The synthesis produces a small number of findings that are directly actionable for the project’s thrusts and deliverables.</w:t>
      </w:r>
    </w:p>
    <w:p>
      <w:pPr>
        <w:pStyle w:val="BodyText"/>
      </w:pPr>
      <w:r>
        <w:rPr>
          <w:b/>
          <w:bCs/>
        </w:rPr>
        <w:t xml:space="preserve">For Thrust 1 (monitoring and early warning).</w:t>
      </w:r>
      <w:r>
        <w:t xml:space="preserve"> </w:t>
      </w:r>
      <w:r>
        <w:t xml:space="preserve">The Pathway 1 finding that sea-level rise is progressively de-rating drainfields provides the central scientific justification for a monitoring approach that measures the unsaturated-zone thickness beneath drainfields rather than failure events themselves. The cross-cutting message is that the project’s monitoring design should focus on precursors of failure (water-table proximity, saturation frequency) rather than outcomes (surfacing effluent), because modeling projects a failure trajectory and the useful signal is whether, and how fast, it is materializing.</w:t>
      </w:r>
    </w:p>
    <w:p>
      <w:pPr>
        <w:pStyle w:val="BodyText"/>
      </w:pPr>
      <w:r>
        <w:rPr>
          <w:b/>
          <w:bCs/>
        </w:rPr>
        <w:t xml:space="preserve">For Thrust 2 (decision-support platform).</w:t>
      </w:r>
      <w:r>
        <w:t xml:space="preserve"> </w:t>
      </w:r>
      <w:r>
        <w:t xml:space="preserve">The sub-basin realities theme (3.3) implies that the decision-support tool must operate at sub-basin resolution and must not rely on Bay-wide averages. The Pathway 3a discussion of the 6% vs. 3.3% figure gives the project defensible language for explaining why a Bay-wide percentage is not a local number.</w:t>
      </w:r>
      <w:r>
        <w:t xml:space="preserve"> </w:t>
      </w:r>
      <w:r>
        <w:rPr>
          <w:b/>
          <w:bCs/>
        </w:rPr>
        <w:t xml:space="preserve">[Oct 2026]</w:t>
      </w:r>
      <w:r>
        <w:t xml:space="preserve"> </w:t>
      </w:r>
      <w:r>
        <w:t xml:space="preserve">It does not show that the local number is higher; that is unknown. The faunal cascade through SAV (theme 3.5) gives the tool a clear way to represent ecological stakes: changes in septic loading map to changes in SAV condition map to changes in everything above SAV in the food web.</w:t>
      </w:r>
    </w:p>
    <w:p>
      <w:pPr>
        <w:pStyle w:val="BodyText"/>
      </w:pPr>
      <w:r>
        <w:rPr>
          <w:b/>
          <w:bCs/>
        </w:rPr>
        <w:t xml:space="preserve">For Thrust 3 (data infrastructure).</w:t>
      </w:r>
      <w:r>
        <w:t xml:space="preserve"> </w:t>
      </w:r>
      <w:r>
        <w:t xml:space="preserve">The consolidated data-gap list in Section 5 is itself the Thrust 3 roadmap. The top three gaps — source attribution, microbial source tracking, and direct groundwater monitoring — are the highest-value investments and should anchor the project’s outreach to agency and academic partners who can carry forward field sampling campaigns.</w:t>
      </w:r>
    </w:p>
    <w:p>
      <w:pPr>
        <w:pStyle w:val="BodyText"/>
      </w:pPr>
      <w:r>
        <w:rPr>
          <w:b/>
          <w:bCs/>
        </w:rPr>
        <w:t xml:space="preserve">For Thrust 4 (financing and regional coordination).</w:t>
      </w:r>
      <w:r>
        <w:t xml:space="preserve"> </w:t>
      </w:r>
      <w:r>
        <w:t xml:space="preserve">The cross-cutting finding that ESVA septic vulnerability is getting worse without any physical infrastructure change (theme 3.1) is the strongest possible argument for the project’s financing pathway work. A system whose functional failure rate is climbing under climate change is not a one-time retrofit question; it is a sustained infrastructure investment that will continue to need funding and governance attention for decades.</w:t>
      </w:r>
    </w:p>
    <w:p>
      <w:pPr>
        <w:pStyle w:val="BodyText"/>
      </w:pPr>
      <w:r>
        <w:rPr>
          <w:b/>
          <w:bCs/>
        </w:rPr>
        <w:t xml:space="preserve">For ESCC capstone projects.</w:t>
      </w:r>
      <w:r>
        <w:t xml:space="preserve"> </w:t>
      </w:r>
      <w:r>
        <w:t xml:space="preserve">The pathway files collectively identify roughly 30 actionable data gaps framed at a capstone-appropriate scale. The file</w:t>
      </w:r>
      <w:r>
        <w:t xml:space="preserve"> </w:t>
      </w:r>
      <w:r>
        <w:rPr>
          <w:rStyle w:val="VerbatimChar"/>
        </w:rPr>
        <w:t xml:space="preserve">ECOLOGICAL_CAPSTONE_IDEAS.md</w:t>
      </w:r>
      <w:r>
        <w:t xml:space="preserve"> </w:t>
      </w:r>
      <w:r>
        <w:t xml:space="preserve">(to be produced in a follow-up phase) will select and flesh out the highest-value subset, with method, data source, and deliverable specified for each.</w:t>
      </w:r>
    </w:p>
    <w:p>
      <w:pPr>
        <w:pStyle w:val="BodyText"/>
      </w:pPr>
      <w:r>
        <w:rPr>
          <w:b/>
          <w:bCs/>
        </w:rPr>
        <w:t xml:space="preserve">For outreach.</w:t>
      </w:r>
      <w:r>
        <w:t xml:space="preserve"> </w:t>
      </w:r>
      <w:r>
        <w:rPr>
          <w:b/>
          <w:bCs/>
        </w:rPr>
        <w:t xml:space="preserve">[Oct 2026, revised]</w:t>
      </w:r>
      <w:r>
        <w:t xml:space="preserve"> </w:t>
      </w:r>
      <w:r>
        <w:t xml:space="preserve">This scholarly synthesis is intentionally not the public-facing version. The October 2026 review concluded that</w:t>
      </w:r>
      <w:r>
        <w:t xml:space="preserve"> </w:t>
      </w:r>
      <w:r>
        <w:rPr>
          <w:b/>
          <w:bCs/>
        </w:rPr>
        <w:t xml:space="preserve">ecological harm should not be a lead message in public outreach.</w:t>
      </w:r>
      <w:r>
        <w:t xml:space="preserve"> </w:t>
      </w:r>
      <w:r>
        <w:t xml:space="preserve">There is no ESVA-specific evidence of current septic-caused ecological harm, and VDH reports no widespread septic-related shellfish contamination. Outreach should lead with what is solid for households: the cost of failure versus the cost of maintenance, household health (especially well testing and infant nitrate), and the legal pump-out requirement. At most, it should say one precautionary sentence about the Bay and creeks. The earlier suggestion that the Chincoteague water history could anchor outreach is withdrawn; that history is not septic-related. See</w:t>
      </w:r>
      <w:r>
        <w:t xml:space="preserve"> </w:t>
      </w:r>
      <w:r>
        <w:rPr>
          <w:rStyle w:val="VerbatimChar"/>
        </w:rPr>
        <w:t xml:space="preserve">OUTREACH_MESSAGING_REVIEW.md</w:t>
      </w:r>
      <w:r>
        <w:t xml:space="preserve">.</w:t>
      </w:r>
    </w:p>
    <w:p>
      <w:pPr>
        <w:pStyle w:val="BodyText"/>
      </w:pPr>
      <w:r>
        <w:rPr>
          <w:b/>
          <w:bCs/>
        </w:rPr>
        <w:t xml:space="preserve">For the research program.</w:t>
      </w:r>
      <w:r>
        <w:t xml:space="preserve"> </w:t>
      </w:r>
      <w:r>
        <w:t xml:space="preserve">The withdrawn claims are</w:t>
      </w:r>
      <w:r>
        <w:t xml:space="preserve"> </w:t>
      </w:r>
      <w:r>
        <w:rPr>
          <w:i/>
          <w:iCs/>
        </w:rPr>
        <w:t xml:space="preserve">questions</w:t>
      </w:r>
      <w:r>
        <w:t xml:space="preserve">, not dead ends:</w:t>
      </w:r>
      <w:r>
        <w:t xml:space="preserve"> </w:t>
      </w:r>
      <w:r>
        <w:t xml:space="preserve">- How much of the nitrogen and bacteria in Shore creeks comes from septic systems?</w:t>
      </w:r>
      <w:r>
        <w:t xml:space="preserve"> </w:t>
      </w:r>
      <w:r>
        <w:t xml:space="preserve">- Do closure areas track septic density once harbor and marina closures are accounted for?</w:t>
      </w:r>
    </w:p>
    <w:p>
      <w:pPr>
        <w:pStyle w:val="BodyText"/>
      </w:pPr>
      <w:r>
        <w:t xml:space="preserve">These remain answerable, fundable, and well suited to ESCC capstones (Section 5). A careful null result, finding that septic systems are a small contributor on most of the Shore, would itself be useful to VDH and the counties.</w:t>
      </w:r>
    </w:p>
    <w:p>
      <w:r>
        <w:pict>
          <v:rect style="width:0;height:1.5pt" o:hralign="center" o:hrstd="t" o:hr="t"/>
        </w:pict>
      </w:r>
    </w:p>
    <w:p>
      <w:pPr>
        <w:pStyle w:val="FirstParagraph"/>
      </w:pPr>
      <w:r>
        <w:rPr>
          <w:i/>
          <w:iCs/>
        </w:rPr>
        <w:t xml:space="preserve">End of master synthesis. Full pathway treatments in</w:t>
      </w:r>
      <w:r>
        <w:rPr>
          <w:i/>
          <w:iCs/>
        </w:rPr>
        <w:t xml:space="preserve"> </w:t>
      </w:r>
      <w:r>
        <w:rPr>
          <w:rStyle w:val="VerbatimChar"/>
          <w:i/>
          <w:iCs/>
        </w:rPr>
        <w:t xml:space="preserve">research/pathway_1</w:t>
      </w:r>
      <w:r>
        <w:rPr>
          <w:i/>
          <w:iCs/>
        </w:rPr>
        <w:t xml:space="preserve"> </w:t>
      </w:r>
      <w:r>
        <w:rPr>
          <w:i/>
          <w:iCs/>
        </w:rPr>
        <w:t xml:space="preserve">through</w:t>
      </w:r>
      <w:r>
        <w:rPr>
          <w:i/>
          <w:iCs/>
        </w:rPr>
        <w:t xml:space="preserve"> </w:t>
      </w:r>
      <w:r>
        <w:rPr>
          <w:rStyle w:val="VerbatimChar"/>
          <w:i/>
          <w:iCs/>
        </w:rPr>
        <w:t xml:space="preserve">research/pathway_6</w:t>
      </w:r>
      <w:r>
        <w:rPr>
          <w:i/>
          <w:iCs/>
        </w:rPr>
        <w:t xml:space="preserve">; deduplicated bibliography in</w:t>
      </w:r>
      <w:r>
        <w:rPr>
          <w:i/>
          <w:iCs/>
        </w:rPr>
        <w:t xml:space="preserve"> </w:t>
      </w:r>
      <w:r>
        <w:rPr>
          <w:rStyle w:val="VerbatimChar"/>
          <w:i/>
          <w:iCs/>
        </w:rPr>
        <w:t xml:space="preserve">ECOLOGICAL_BIBLIOGRAPHY.md</w:t>
      </w:r>
      <w:r>
        <w:rPr>
          <w:i/>
          <w:iCs/>
        </w:rPr>
        <w:t xml:space="preserve">; project scoping in</w:t>
      </w:r>
      <w:r>
        <w:rPr>
          <w:i/>
          <w:iCs/>
        </w:rPr>
        <w:t xml:space="preserve"> </w:t>
      </w:r>
      <w:r>
        <w:rPr>
          <w:rStyle w:val="VerbatimChar"/>
          <w:i/>
          <w:iCs/>
        </w:rPr>
        <w:t xml:space="preserve">ECOLOGICAL_RESEARCH_STRATEGY.md</w:t>
      </w:r>
      <w:r>
        <w:rPr>
          <w:i/>
          <w:iCs/>
        </w:rPr>
        <w:t xml:space="preserv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2026-10-02T14:00:46Z</dcterms:created>
  <dcterms:modified xsi:type="dcterms:W3CDTF">2026-10-02T14:00:46Z</dcterms:modified>
</cp:coreProperties>
</file>

<file path=docProps/custom.xml><?xml version="1.0" encoding="utf-8"?>
<Properties xmlns="http://schemas.openxmlformats.org/officeDocument/2006/custom-properties" xmlns:vt="http://schemas.openxmlformats.org/officeDocument/2006/docPropsVTypes"/>
</file>