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04732f0b952e9e7385d685a53aeffd21d88a38b"/>
    <w:p>
      <w:pPr>
        <w:pStyle w:val="Heading1"/>
      </w:pPr>
      <w:r>
        <w:t xml:space="preserve">Ecological Research Strategy: Environmental Effects of Failing Septic Systems on Virginia’s Eastern Shore</w:t>
      </w:r>
    </w:p>
    <w:p>
      <w:pPr>
        <w:pStyle w:val="FirstParagraph"/>
      </w:pPr>
      <w:r>
        <w:rPr>
          <w:b/>
          <w:bCs/>
        </w:rPr>
        <w:t xml:space="preserve">Project:</w:t>
      </w:r>
      <w:r>
        <w:t xml:space="preserve"> </w:t>
      </w:r>
      <w:r>
        <w:t xml:space="preserve">EI Climate Collaborative —</w:t>
      </w:r>
      <w:r>
        <w:t xml:space="preserve"> </w:t>
      </w:r>
      <w:r>
        <w:t xml:space="preserve">“Co-Producing Equitable Solutions to Septic System Failures: Towards a Regional Resilience Hub”</w:t>
      </w:r>
      <w:r>
        <w:t xml:space="preserve"> </w:t>
      </w:r>
      <w:r>
        <w:t xml:space="preserve">(2026–2028, PI Shafiee-Jood, UVA).</w:t>
      </w:r>
      <w:r>
        <w:t xml:space="preserve"> </w:t>
      </w:r>
      <w:r>
        <w:rPr>
          <w:b/>
          <w:bCs/>
        </w:rPr>
        <w:t xml:space="preserve">Author of this strategy:</w:t>
      </w:r>
      <w:r>
        <w:t xml:space="preserve"> </w:t>
      </w:r>
      <w:r>
        <w:t xml:space="preserve">Alex Foxworthy (ESCC) with Claude.</w:t>
      </w:r>
      <w:r>
        <w:t xml:space="preserve"> </w:t>
      </w:r>
      <w:r>
        <w:rPr>
          <w:b/>
          <w:bCs/>
        </w:rPr>
        <w:t xml:space="preserve">Status:</w:t>
      </w:r>
      <w:r>
        <w:t xml:space="preserve"> </w:t>
      </w:r>
      <w:r>
        <w:t xml:space="preserve">Scoping document. Approved by Alex 2026-04-14.</w:t>
      </w:r>
    </w:p>
    <w:p>
      <w:pPr>
        <w:pStyle w:val="BlockText"/>
      </w:pPr>
      <w:r>
        <w:rPr>
          <w:b/>
          <w:bCs/>
        </w:rPr>
        <w:t xml:space="preserve">October 2026 update.</w:t>
      </w:r>
      <w:r>
        <w:t xml:space="preserve"> </w:t>
      </w:r>
      <w:r>
        <w:t xml:space="preserve">The synthesis this strategy produced has been audited and corrected; see the evidence-review box at the top of</w:t>
      </w:r>
      <w:r>
        <w:t xml:space="preserve"> </w:t>
      </w:r>
      <w:r>
        <w:rPr>
          <w:rStyle w:val="VerbatimChar"/>
        </w:rPr>
        <w:t xml:space="preserve">ECOLOGICAL_EFFECTS_SYNTHESIS.md</w:t>
      </w:r>
      <w:r>
        <w:t xml:space="preserve">. The audit found no published Eastern Shore–specific evidence of current septic-caused ecological harm. The Phase 4</w:t>
      </w:r>
      <w:r>
        <w:t xml:space="preserve"> </w:t>
      </w:r>
      <w:r>
        <w:t xml:space="preserve">“6% vs. 3.3%”</w:t>
      </w:r>
      <w:r>
        <w:t xml:space="preserve"> </w:t>
      </w:r>
      <w:r>
        <w:t xml:space="preserve">resolution is retained, but the synthesis’s additional claim that the local ESVA share is 20–40% has been withdrawn as unsourced. Public outreach now leads with household finances, health (well testing) and legal compliance rather than ecology (</w:t>
      </w:r>
      <w:r>
        <w:rPr>
          <w:rStyle w:val="VerbatimChar"/>
        </w:rPr>
        <w:t xml:space="preserve">OUTREACH_MESSAGING_REVIEW.md</w:t>
      </w:r>
      <w:r>
        <w:t xml:space="preserve">). The ecological questions remain open, answerable research questions, and are the natural core of the Phase 5 data-gap and capstone work: source attribution, an overlay of closure areas against septic density, and groundwater monitoring around septic clusters.</w:t>
      </w:r>
      <w:r>
        <w:t xml:space="preserve"> </w:t>
      </w:r>
      <w:r>
        <w:rPr>
          <w:b/>
          <w:bCs/>
        </w:rPr>
        <w:t xml:space="preserve">Purpose:</w:t>
      </w:r>
      <w:r>
        <w:t xml:space="preserve"> </w:t>
      </w:r>
      <w:r>
        <w:t xml:space="preserve">Define a scholarly research synthesis on the</w:t>
      </w:r>
      <w:r>
        <w:t xml:space="preserve"> </w:t>
      </w:r>
      <w:r>
        <w:rPr>
          <w:b/>
          <w:bCs/>
        </w:rPr>
        <w:t xml:space="preserve">ecological</w:t>
      </w:r>
      <w:r>
        <w:t xml:space="preserve"> </w:t>
      </w:r>
      <w:r>
        <w:t xml:space="preserve">consequences of failing septic systems on the Eastern Shore of Virginia (ESVA), to feed the broader project’s evidence base, ESCC capstone projects, and (later) public outreach adaptations.</w:t>
      </w:r>
    </w:p>
    <w:p>
      <w:r>
        <w:pict>
          <v:rect style="width:0;height:1.5pt" o:hralign="center" o:hrstd="t" o:hr="t"/>
        </w:pict>
      </w:r>
    </w:p>
    <w:bookmarkStart w:id="12" w:name="scope-and-boundaries"/>
    <w:p>
      <w:pPr>
        <w:pStyle w:val="Heading2"/>
      </w:pPr>
      <w:r>
        <w:t xml:space="preserve">1. Scope and boundaries</w:t>
      </w:r>
    </w:p>
    <w:bookmarkStart w:id="9" w:name="what-this-research-covers"/>
    <w:p>
      <w:pPr>
        <w:pStyle w:val="Heading3"/>
      </w:pPr>
      <w:r>
        <w:t xml:space="preserve">1.1 What this research covers</w:t>
      </w:r>
    </w:p>
    <w:p>
      <w:pPr>
        <w:pStyle w:val="FirstParagraph"/>
      </w:pPr>
      <w:r>
        <w:t xml:space="preserve">A scholarly evidence synthesis of the ecological (non-human-health) effects of failing decentralized septic systems, anchored to ESVA conditions, with analogue-region evidence pulled in where ESVA-specific data is thin. The goal is to uncover the most likely and best-supported ecological effects of septic dysfunction on ESVA, and to make the evidence base explicit, cited, and updatable.</w:t>
      </w:r>
    </w:p>
    <w:bookmarkEnd w:id="9"/>
    <w:bookmarkStart w:id="10" w:name="what-this-research-does-not-cover"/>
    <w:p>
      <w:pPr>
        <w:pStyle w:val="Heading3"/>
      </w:pPr>
      <w:r>
        <w:t xml:space="preserve">1.2 What this research does NOT cover</w:t>
      </w:r>
    </w:p>
    <w:p>
      <w:pPr>
        <w:pStyle w:val="FirstParagraph"/>
      </w:pPr>
      <w:r>
        <w:t xml:space="preserve">Human health effects — pathogens, nitrate and cancer, thyroid disruption, PFAS, chronic disease, waterborne outbreak epidemiology — are already covered in depth on the</w:t>
      </w:r>
      <w:r>
        <w:t xml:space="preserve"> </w:t>
      </w:r>
      <w:r>
        <w:rPr>
          <w:rStyle w:val="VerbatimChar"/>
        </w:rPr>
        <w:t xml:space="preserve">claude/summarize-project-files-9UwoB</w:t>
      </w:r>
      <w:r>
        <w:t xml:space="preserve"> </w:t>
      </w:r>
      <w:r>
        <w:t xml:space="preserve">branch (</w:t>
      </w:r>
      <w:r>
        <w:rPr>
          <w:rStyle w:val="VerbatimChar"/>
        </w:rPr>
        <w:t xml:space="preserve">WHY_THIS_MATTERS.md</w:t>
      </w:r>
      <w:r>
        <w:t xml:space="preserve">,</w:t>
      </w:r>
      <w:r>
        <w:t xml:space="preserve"> </w:t>
      </w:r>
      <w:r>
        <w:rPr>
          <w:rStyle w:val="VerbatimChar"/>
        </w:rPr>
        <w:t xml:space="preserve">CHRONIC_DISEASE_CONTAMINANT_RESEARCH.md</w:t>
      </w:r>
      <w:r>
        <w:t xml:space="preserve">,</w:t>
      </w:r>
      <w:r>
        <w:t xml:space="preserve"> </w:t>
      </w:r>
      <w:r>
        <w:rPr>
          <w:rStyle w:val="VerbatimChar"/>
        </w:rPr>
        <w:t xml:space="preserve">EASTERN_SHORE_HEALTH_DISPARITIES_RESEARCH.md</w:t>
      </w:r>
      <w:r>
        <w:t xml:space="preserve">). This synthesis will cross-reference those documents but will not re-litigate them.</w:t>
      </w:r>
    </w:p>
    <w:bookmarkEnd w:id="10"/>
    <w:bookmarkStart w:id="11" w:name="output-tone"/>
    <w:p>
      <w:pPr>
        <w:pStyle w:val="Heading3"/>
      </w:pPr>
      <w:r>
        <w:t xml:space="preserve">1.3 Output tone</w:t>
      </w:r>
    </w:p>
    <w:p>
      <w:pPr>
        <w:pStyle w:val="FirstParagraph"/>
      </w:pPr>
      <w:r>
        <w:rPr>
          <w:b/>
          <w:bCs/>
        </w:rPr>
        <w:t xml:space="preserve">Scholarly.</w:t>
      </w:r>
      <w:r>
        <w:t xml:space="preserve"> </w:t>
      </w:r>
      <w:r>
        <w:t xml:space="preserve">Author-year inline citations, full reference list at the end, transparent about evidence strength, explicit about what is established vs. inferred vs. extrapolated from analogue systems. Outreach adaptation (newspaper articles, fact sheets, radio spots) is explicitly deferred.</w:t>
      </w:r>
    </w:p>
    <w:p>
      <w:r>
        <w:pict>
          <v:rect style="width:0;height:1.5pt" o:hralign="center" o:hrstd="t" o:hr="t"/>
        </w:pict>
      </w:r>
    </w:p>
    <w:bookmarkEnd w:id="11"/>
    <w:bookmarkEnd w:id="12"/>
    <w:bookmarkStart w:id="20" w:name="framework-six-ecological-pathways"/>
    <w:p>
      <w:pPr>
        <w:pStyle w:val="Heading2"/>
      </w:pPr>
      <w:r>
        <w:t xml:space="preserve">2. Framework: six ecological pathways</w:t>
      </w:r>
    </w:p>
    <w:p>
      <w:pPr>
        <w:pStyle w:val="FirstParagraph"/>
      </w:pPr>
      <w:r>
        <w:t xml:space="preserve">The synthesis is organized around six distinct ecological endpoints. Each pathway is treated independently but cross-linked where mechanisms overlap. The six were chosen to cover (a) the proximate subsurface pathway, (b) the tidal creek pathway that dominates ESVA hydrography, (c) the two hydrologically distinct receiving-water systems (Chesapeake Bay vs. Seaside lagoons), (d) the shellfish grounds that tie ecology to economy, (e) iconic/sensitive species for later outreach leverage, and (f) the terrestrial drainfield footprint that is often overlooked.</w:t>
      </w:r>
    </w:p>
    <w:bookmarkStart w:id="13" w:name="Xb644b2723dded56267f5bd6b96f6b1cfac08c1a"/>
    <w:p>
      <w:pPr>
        <w:pStyle w:val="Heading3"/>
      </w:pPr>
      <w:r>
        <w:t xml:space="preserve">Pathway 1 — Groundwater and the sole-source Columbia aquifer</w:t>
      </w:r>
    </w:p>
    <w:p>
      <w:pPr>
        <w:pStyle w:val="FirstParagraph"/>
      </w:pPr>
      <w:r>
        <w:t xml:space="preserve">Subsurface nitrate and phosphorus plumes; pharmaceutical/personal-care-product persistence; shifts in subsurface microbial communities; coupled effects with saltwater intrusion and sea-level rise. The aquifer is both a habitat and the proximate receiving environment for every septic drainfield on ESVA, and it feeds most of the surface-water pathways downstream.</w:t>
      </w:r>
    </w:p>
    <w:bookmarkEnd w:id="13"/>
    <w:bookmarkStart w:id="14" w:name="Xd90501ec8871bb6b085b364eb533d797350bd60"/>
    <w:p>
      <w:pPr>
        <w:pStyle w:val="Heading3"/>
      </w:pPr>
      <w:r>
        <w:t xml:space="preserve">Pathway 2 — Tidal creeks and salt marsh nutrient dynamics</w:t>
      </w:r>
    </w:p>
    <w:p>
      <w:pPr>
        <w:pStyle w:val="FirstParagraph"/>
      </w:pPr>
      <w:r>
        <w:t xml:space="preserve">ESVA is bisected and drained by an unusually dense network of short tidal creeks, many of which intersect shallow aquifers and directly receive septic-derived nutrients. Focus: N and P loading, DIN:DIP ratio shifts, marsh vegetation response, denitrification capacity limits, macrofauna effects.</w:t>
      </w:r>
    </w:p>
    <w:bookmarkEnd w:id="14"/>
    <w:bookmarkStart w:id="15" w:name="pathway-3-receiving-waters"/>
    <w:p>
      <w:pPr>
        <w:pStyle w:val="Heading3"/>
      </w:pPr>
      <w:r>
        <w:t xml:space="preserve">Pathway 3 — Receiving waters</w:t>
      </w:r>
    </w:p>
    <w:p>
      <w:pPr>
        <w:pStyle w:val="FirstParagraph"/>
      </w:pPr>
      <w:r>
        <w:t xml:space="preserve">Treated as</w:t>
      </w:r>
      <w:r>
        <w:t xml:space="preserve"> </w:t>
      </w:r>
      <w:r>
        <w:rPr>
          <w:b/>
          <w:bCs/>
        </w:rPr>
        <w:t xml:space="preserve">two linked but distinct systems</w:t>
      </w:r>
      <w:r>
        <w:t xml:space="preserve">, per strategy item 2.3:</w:t>
      </w:r>
      <w:r>
        <w:t xml:space="preserve"> </w:t>
      </w:r>
      <w:r>
        <w:t xml:space="preserve">-</w:t>
      </w:r>
      <w:r>
        <w:t xml:space="preserve"> </w:t>
      </w:r>
      <w:r>
        <w:rPr>
          <w:b/>
          <w:bCs/>
        </w:rPr>
        <w:t xml:space="preserve">Pathway 3a — Chesapeake Bay mainstem and western Shore tributaries</w:t>
      </w:r>
      <w:r>
        <w:t xml:space="preserve"> </w:t>
      </w:r>
      <w:r>
        <w:t xml:space="preserve">(Pocomoke Sound, Onancock Creek, Cherrystone, Old Plantation Creek). Chronic nutrient-driven eutrophication, hypoxia, SAV decline and recovery trajectories, HAB dynamics.</w:t>
      </w:r>
      <w:r>
        <w:t xml:space="preserve"> </w:t>
      </w:r>
      <w:r>
        <w:t xml:space="preserve">-</w:t>
      </w:r>
      <w:r>
        <w:t xml:space="preserve"> </w:t>
      </w:r>
      <w:r>
        <w:rPr>
          <w:b/>
          <w:bCs/>
        </w:rPr>
        <w:t xml:space="preserve">Pathway 3b — Seaside coastal lagoons</w:t>
      </w:r>
      <w:r>
        <w:t xml:space="preserve"> </w:t>
      </w:r>
      <w:r>
        <w:t xml:space="preserve">(South Bay, Hog Island Bay, Cobb Bay, Spider Crab Bay, Magothy Bay). Shallow, flushing-limited lagoon system famous for the largest successful seagrass (</w:t>
      </w:r>
      <w:r>
        <w:rPr>
          <w:i/>
          <w:iCs/>
        </w:rPr>
        <w:t xml:space="preserve">Zostera marina</w:t>
      </w:r>
      <w:r>
        <w:t xml:space="preserve">) restoration in the world. High ecological stakes, unusually high sensitivity to nutrient loading, and a compelling narrative thread for later outreach.</w:t>
      </w:r>
    </w:p>
    <w:p>
      <w:pPr>
        <w:pStyle w:val="BodyText"/>
      </w:pPr>
      <w:r>
        <w:t xml:space="preserve">Synthesized where the mechanism is identical (e.g., nitrate → chlorophyll-a response); separated where the hydrology, biota, or management context diverges materially.</w:t>
      </w:r>
    </w:p>
    <w:bookmarkEnd w:id="15"/>
    <w:bookmarkStart w:id="16" w:name="Xf89589fc54c3b7192a2bbdfde211729ab22e1e0"/>
    <w:p>
      <w:pPr>
        <w:pStyle w:val="Heading3"/>
      </w:pPr>
      <w:r>
        <w:t xml:space="preserve">Pathway 4 — Shellfish grounds, aquaculture, and commercial fisheries</w:t>
      </w:r>
    </w:p>
    <w:p>
      <w:pPr>
        <w:pStyle w:val="FirstParagraph"/>
      </w:pPr>
      <w:r>
        <w:t xml:space="preserve">Fecal coliform and norovirus closures, nitrogen effects on SAV-dependent bay scallop and blue crab nursery habitat, hard clam and oyster aquaculture exposure, economic-ecological coupling. This pathway is where ecological damage has the most direct documented dollar value, which makes it useful for both scientific and eventual policy framings.</w:t>
      </w:r>
    </w:p>
    <w:bookmarkEnd w:id="16"/>
    <w:bookmarkStart w:id="17" w:name="Xf31b252508fbfae65fc2863eedac4e4a1cf2ac0"/>
    <w:p>
      <w:pPr>
        <w:pStyle w:val="Heading3"/>
      </w:pPr>
      <w:r>
        <w:t xml:space="preserve">Pathway 5 — Iconic and sensitive species and habitats</w:t>
      </w:r>
    </w:p>
    <w:p>
      <w:pPr>
        <w:pStyle w:val="FirstParagraph"/>
      </w:pPr>
      <w:r>
        <w:t xml:space="preserve">Species where failing septics plausibly contribute to habitat degradation, organized as evidence chains from nutrient/pathogen input → habitat mechanism → population effect:</w:t>
      </w:r>
      <w:r>
        <w:t xml:space="preserve"> </w:t>
      </w:r>
      <w:r>
        <w:t xml:space="preserve">- Diamondback terrapin (tidal creek dependency, nest-site flooding interaction)</w:t>
      </w:r>
      <w:r>
        <w:t xml:space="preserve"> </w:t>
      </w:r>
      <w:r>
        <w:t xml:space="preserve">- Horseshoe crab spawning beaches and the red knot migration chain</w:t>
      </w:r>
      <w:r>
        <w:t xml:space="preserve"> </w:t>
      </w:r>
      <w:r>
        <w:t xml:space="preserve">- Piping plover and other shorebirds on the barrier island system (Cape Charles NWR, Fisherman Island NWR)</w:t>
      </w:r>
      <w:r>
        <w:t xml:space="preserve"> </w:t>
      </w:r>
      <w:r>
        <w:t xml:space="preserve">- Bay scallop, oyster reef, and blue crab nursery function</w:t>
      </w:r>
      <w:r>
        <w:t xml:space="preserve"> </w:t>
      </w:r>
      <w:r>
        <w:t xml:space="preserve">- Chincoteague ponies (vegetation and water-quality cascade)</w:t>
      </w:r>
      <w:r>
        <w:t xml:space="preserve"> </w:t>
      </w:r>
      <w:r>
        <w:t xml:space="preserve">- SAV as habitat-forming species in its own right (cross-referenced to Pathway 3)</w:t>
      </w:r>
    </w:p>
    <w:bookmarkEnd w:id="17"/>
    <w:bookmarkStart w:id="18" w:name="X6228f5b0d0dd2e59c1fb270ffe6ce24ba4dcd65"/>
    <w:p>
      <w:pPr>
        <w:pStyle w:val="Heading3"/>
      </w:pPr>
      <w:r>
        <w:t xml:space="preserve">Pathway 6 — Terrestrial drainfield footprint</w:t>
      </w:r>
    </w:p>
    <w:p>
      <w:pPr>
        <w:pStyle w:val="FirstParagraph"/>
      </w:pPr>
      <w:r>
        <w:t xml:space="preserve">The drainfield itself is a localized ecosystem. Soil saturation effects on nearby trees and vegetation, facilitation of invasive plants, shifts in soil denitrification capacity when the water table rises, mosquito habitat creation, and surface ponding effects on adjacent wetlands. A small section relative to the others but important because it is frequently elided in septic-failure literature.</w:t>
      </w:r>
    </w:p>
    <w:bookmarkEnd w:id="18"/>
    <w:bookmarkStart w:id="19" w:name="pathway-structure-within-each-section"/>
    <w:p>
      <w:pPr>
        <w:pStyle w:val="Heading3"/>
      </w:pPr>
      <w:r>
        <w:t xml:space="preserve">Pathway structure within each section</w:t>
      </w:r>
    </w:p>
    <w:p>
      <w:pPr>
        <w:pStyle w:val="FirstParagraph"/>
      </w:pPr>
      <w:r>
        <w:t xml:space="preserve">Each pathway is written to the same template:</w:t>
      </w:r>
      <w:r>
        <w:t xml:space="preserve"> </w:t>
      </w:r>
      <w:r>
        <w:t xml:space="preserve">1. Mechanism of harm (what septic effluent does, chemically and biologically)</w:t>
      </w:r>
      <w:r>
        <w:t xml:space="preserve"> </w:t>
      </w:r>
      <w:r>
        <w:t xml:space="preserve">2. ESVA-specific evidence</w:t>
      </w:r>
      <w:r>
        <w:t xml:space="preserve"> </w:t>
      </w:r>
      <w:r>
        <w:t xml:space="preserve">3. Analogue-region evidence (called out explicitly where ESVA data is thin)</w:t>
      </w:r>
      <w:r>
        <w:t xml:space="preserve"> </w:t>
      </w:r>
      <w:r>
        <w:t xml:space="preserve">4. Strength-of-evidence assessment (established / strongly supported / plausible / speculative)</w:t>
      </w:r>
      <w:r>
        <w:t xml:space="preserve"> </w:t>
      </w:r>
      <w:r>
        <w:t xml:space="preserve">5. Data gaps</w:t>
      </w:r>
      <w:r>
        <w:t xml:space="preserve"> </w:t>
      </w:r>
      <w:r>
        <w:t xml:space="preserve">6. Cross-references to other pathways</w:t>
      </w:r>
      <w:r>
        <w:t xml:space="preserve"> </w:t>
      </w:r>
      <w:r>
        <w:t xml:space="preserve">7. Key citations (author-year)</w:t>
      </w:r>
    </w:p>
    <w:p>
      <w:r>
        <w:pict>
          <v:rect style="width:0;height:1.5pt" o:hralign="center" o:hrstd="t" o:hr="t"/>
        </w:pict>
      </w:r>
    </w:p>
    <w:bookmarkEnd w:id="19"/>
    <w:bookmarkEnd w:id="20"/>
    <w:bookmarkStart w:id="24" w:name="data-sources"/>
    <w:p>
      <w:pPr>
        <w:pStyle w:val="Heading2"/>
      </w:pPr>
      <w:r>
        <w:t xml:space="preserve">3. Data sources</w:t>
      </w:r>
    </w:p>
    <w:bookmarkStart w:id="22" w:name="X0626dedb2712b149ca5e7c803c2cede5fd7e220"/>
    <w:p>
      <w:pPr>
        <w:pStyle w:val="Heading3"/>
      </w:pPr>
      <w:r>
        <w:t xml:space="preserve">3.1 Publicly accessible online — to be used directly</w:t>
      </w:r>
    </w:p>
    <w:p>
      <w:pPr>
        <w:pStyle w:val="Compact"/>
        <w:numPr>
          <w:ilvl w:val="0"/>
          <w:numId w:val="1001"/>
        </w:numPr>
      </w:pPr>
      <w:r>
        <w:rPr>
          <w:b/>
          <w:bCs/>
        </w:rPr>
        <w:t xml:space="preserve">AdaptVA Wastewater Data Viewer</w:t>
      </w:r>
      <w:r>
        <w:t xml:space="preserve"> </w:t>
      </w:r>
      <w:r>
        <w:t xml:space="preserve">(VIMS / Mitchell) — septic repair permits 2009–2024 with hotspot analysis.</w:t>
      </w:r>
      <w:r>
        <w:t xml:space="preserve"> </w:t>
      </w:r>
      <w:hyperlink r:id="rId21">
        <w:r>
          <w:rPr>
            <w:rStyle w:val="Hyperlink"/>
          </w:rPr>
          <w:t xml:space="preserve">https://www.adaptva.org/info/tools.html</w:t>
        </w:r>
      </w:hyperlink>
    </w:p>
    <w:p>
      <w:pPr>
        <w:pStyle w:val="Compact"/>
        <w:numPr>
          <w:ilvl w:val="0"/>
          <w:numId w:val="1001"/>
        </w:numPr>
      </w:pPr>
      <w:r>
        <w:rPr>
          <w:b/>
          <w:bCs/>
        </w:rPr>
        <w:t xml:space="preserve">AdaptVA Rural Septic Assessment</w:t>
      </w:r>
      <w:r>
        <w:t xml:space="preserve"> </w:t>
      </w:r>
      <w:r>
        <w:t xml:space="preserve">— community septic suitability analysis.</w:t>
      </w:r>
    </w:p>
    <w:p>
      <w:pPr>
        <w:pStyle w:val="Compact"/>
        <w:numPr>
          <w:ilvl w:val="0"/>
          <w:numId w:val="1001"/>
        </w:numPr>
      </w:pPr>
      <w:r>
        <w:rPr>
          <w:b/>
          <w:bCs/>
        </w:rPr>
        <w:t xml:space="preserve">VDH Division of Shellfish Safety</w:t>
      </w:r>
      <w:r>
        <w:t xml:space="preserve"> </w:t>
      </w:r>
      <w:r>
        <w:t xml:space="preserve">— per-county condemnation documents, shoreline survey reports, and the Shellfish Harvesting Area Map. Accomack and Northampton have dedicated pages.</w:t>
      </w:r>
    </w:p>
    <w:p>
      <w:pPr>
        <w:pStyle w:val="Compact"/>
        <w:numPr>
          <w:ilvl w:val="0"/>
          <w:numId w:val="1001"/>
        </w:numPr>
      </w:pPr>
      <w:r>
        <w:rPr>
          <w:b/>
          <w:bCs/>
        </w:rPr>
        <w:t xml:space="preserve">Virginia DEQ Chesapeake Bay Monitoring Program</w:t>
      </w:r>
      <w:r>
        <w:t xml:space="preserve"> </w:t>
      </w:r>
      <w:r>
        <w:t xml:space="preserve">— 27 mainstem stations including Pocomoke Sound; monthly (bi-monthly in summer) nutrient and DO data back decades.</w:t>
      </w:r>
    </w:p>
    <w:p>
      <w:pPr>
        <w:pStyle w:val="Compact"/>
        <w:numPr>
          <w:ilvl w:val="0"/>
          <w:numId w:val="1001"/>
        </w:numPr>
      </w:pPr>
      <w:r>
        <w:rPr>
          <w:b/>
          <w:bCs/>
        </w:rPr>
        <w:t xml:space="preserve">Virginia Environmental Data Hub</w:t>
      </w:r>
      <w:r>
        <w:t xml:space="preserve"> </w:t>
      </w:r>
      <w:r>
        <w:t xml:space="preserve">(DEQ ArcGIS) — 303(d) impaired waters, TMDLs, spatial water quality.</w:t>
      </w:r>
    </w:p>
    <w:p>
      <w:pPr>
        <w:pStyle w:val="Compact"/>
        <w:numPr>
          <w:ilvl w:val="0"/>
          <w:numId w:val="1001"/>
        </w:numPr>
      </w:pPr>
      <w:r>
        <w:rPr>
          <w:b/>
          <w:bCs/>
        </w:rPr>
        <w:t xml:space="preserve">Chesapeake Bay Program CAST model</w:t>
      </w:r>
      <w:r>
        <w:t xml:space="preserve"> </w:t>
      </w:r>
      <w:r>
        <w:t xml:space="preserve">— sector-level nutrient load attribution by sub-basin. Used to resolve the 6% vs. 3.3% septic-nitrogen figure (see §5).</w:t>
      </w:r>
    </w:p>
    <w:p>
      <w:pPr>
        <w:pStyle w:val="Compact"/>
        <w:numPr>
          <w:ilvl w:val="0"/>
          <w:numId w:val="1001"/>
        </w:numPr>
      </w:pPr>
      <w:r>
        <w:rPr>
          <w:b/>
          <w:bCs/>
        </w:rPr>
        <w:t xml:space="preserve">VIMS SAV Monitoring Program</w:t>
      </w:r>
      <w:r>
        <w:t xml:space="preserve"> </w:t>
      </w:r>
      <w:r>
        <w:t xml:space="preserve">— annual aerial SAV surveys for the Chesapeake Bay and seaside lagoons.</w:t>
      </w:r>
    </w:p>
    <w:p>
      <w:pPr>
        <w:pStyle w:val="Compact"/>
        <w:numPr>
          <w:ilvl w:val="0"/>
          <w:numId w:val="1001"/>
        </w:numPr>
      </w:pPr>
      <w:r>
        <w:rPr>
          <w:b/>
          <w:bCs/>
        </w:rPr>
        <w:t xml:space="preserve">USGS National Water Information System</w:t>
      </w:r>
      <w:r>
        <w:t xml:space="preserve"> </w:t>
      </w:r>
      <w:r>
        <w:t xml:space="preserve">— well and surface-water nutrient data for the Columbia aquifer.</w:t>
      </w:r>
    </w:p>
    <w:p>
      <w:pPr>
        <w:pStyle w:val="Compact"/>
        <w:numPr>
          <w:ilvl w:val="0"/>
          <w:numId w:val="1001"/>
        </w:numPr>
      </w:pPr>
      <w:r>
        <w:rPr>
          <w:b/>
          <w:bCs/>
        </w:rPr>
        <w:t xml:space="preserve">EPA ECHO</w:t>
      </w:r>
      <w:r>
        <w:t xml:space="preserve"> </w:t>
      </w:r>
      <w:r>
        <w:t xml:space="preserve">— NPDES permit violations for municipal wastewater plants on the Shore (for comparative baseline).</w:t>
      </w:r>
    </w:p>
    <w:p>
      <w:pPr>
        <w:pStyle w:val="Compact"/>
        <w:numPr>
          <w:ilvl w:val="0"/>
          <w:numId w:val="1001"/>
        </w:numPr>
      </w:pPr>
      <w:r>
        <w:rPr>
          <w:b/>
          <w:bCs/>
        </w:rPr>
        <w:t xml:space="preserve">NOAA Chesapeake Bay Office, CBP STAC reports, EPA Region 3 publications</w:t>
      </w:r>
      <w:r>
        <w:t xml:space="preserve"> </w:t>
      </w:r>
      <w:r>
        <w:t xml:space="preserve">— gray literature on ecological status and trends.</w:t>
      </w:r>
    </w:p>
    <w:p>
      <w:pPr>
        <w:pStyle w:val="Compact"/>
        <w:numPr>
          <w:ilvl w:val="0"/>
          <w:numId w:val="1001"/>
        </w:numPr>
      </w:pPr>
      <w:r>
        <w:rPr>
          <w:b/>
          <w:bCs/>
        </w:rPr>
        <w:t xml:space="preserve">Peer-reviewed literature</w:t>
      </w:r>
      <w:r>
        <w:t xml:space="preserve"> </w:t>
      </w:r>
      <w:r>
        <w:t xml:space="preserve">via Google Scholar / Web of Science, chased forward from the citation list in the project’s</w:t>
      </w:r>
      <w:r>
        <w:t xml:space="preserve"> </w:t>
      </w:r>
      <w:r>
        <w:rPr>
          <w:rStyle w:val="VerbatimChar"/>
        </w:rPr>
        <w:t xml:space="preserve">Narrative_Final</w:t>
      </w:r>
      <w:r>
        <w:t xml:space="preserve"> </w:t>
      </w:r>
      <w:r>
        <w:t xml:space="preserve">— especially Mitchell et al. 2021 (</w:t>
      </w:r>
      <w:r>
        <w:rPr>
          <w:i/>
          <w:iCs/>
        </w:rPr>
        <w:t xml:space="preserve">Frontiers in Marine Science</w:t>
      </w:r>
      <w:r>
        <w:t xml:space="preserve">), the CBSAG 2021 report, Hoghooghi et al. 2021, Cox/Loomis/Amador 2019, O’Driscoll et al. 2024.</w:t>
      </w:r>
    </w:p>
    <w:bookmarkEnd w:id="22"/>
    <w:bookmarkStart w:id="23" w:name="needs-alexs-help-to-obtain-flagged"/>
    <w:p>
      <w:pPr>
        <w:pStyle w:val="Heading3"/>
      </w:pPr>
      <w:r>
        <w:t xml:space="preserve">3.2 Needs Alex’s help to obtain — flagged</w:t>
      </w:r>
    </w:p>
    <w:p>
      <w:pPr>
        <w:pStyle w:val="Compact"/>
        <w:numPr>
          <w:ilvl w:val="0"/>
          <w:numId w:val="1002"/>
        </w:numPr>
      </w:pPr>
      <w:r>
        <w:rPr>
          <w:b/>
          <w:bCs/>
        </w:rPr>
        <w:t xml:space="preserve">Jon Richardson’s VDH ESVA repair permit dataset with tax-map numbers</w:t>
      </w:r>
      <w:r>
        <w:t xml:space="preserve"> </w:t>
      </w:r>
      <w:r>
        <w:t xml:space="preserve">(~90/yr). The AdaptVA viewer exposes aggregated hotspots; the underlying row-level dataset would enable watershed-by-watershed attribution.</w:t>
      </w:r>
    </w:p>
    <w:p>
      <w:pPr>
        <w:pStyle w:val="Compact"/>
        <w:numPr>
          <w:ilvl w:val="0"/>
          <w:numId w:val="1002"/>
        </w:numPr>
      </w:pPr>
      <w:r>
        <w:rPr>
          <w:b/>
          <w:bCs/>
        </w:rPr>
        <w:t xml:space="preserve">VDH onsite sewage O&amp;M data for alternative onsite/discharging sewage systems (AOSS/ADSS)</w:t>
      </w:r>
      <w:r>
        <w:t xml:space="preserve"> </w:t>
      </w:r>
      <w:r>
        <w:t xml:space="preserve">on the Shore. VDH has stated this data is posted; I have not yet located the file.</w:t>
      </w:r>
    </w:p>
    <w:p>
      <w:pPr>
        <w:pStyle w:val="Compact"/>
        <w:numPr>
          <w:ilvl w:val="0"/>
          <w:numId w:val="1002"/>
        </w:numPr>
      </w:pPr>
      <w:r>
        <w:rPr>
          <w:b/>
          <w:bCs/>
        </w:rPr>
        <w:t xml:space="preserve">ESHD / A-NPDC aggregated well-testing results</w:t>
      </w:r>
      <w:r>
        <w:t xml:space="preserve"> </w:t>
      </w:r>
      <w:r>
        <w:t xml:space="preserve">if they exist.</w:t>
      </w:r>
    </w:p>
    <w:p>
      <w:pPr>
        <w:pStyle w:val="Compact"/>
        <w:numPr>
          <w:ilvl w:val="0"/>
          <w:numId w:val="1002"/>
        </w:numPr>
      </w:pPr>
      <w:r>
        <w:rPr>
          <w:b/>
          <w:bCs/>
        </w:rPr>
        <w:t xml:space="preserve">Underlying GIS layers for Mitchell et al. 2021 CBSAG report</w:t>
      </w:r>
      <w:r>
        <w:t xml:space="preserve"> </w:t>
      </w:r>
      <w:r>
        <w:t xml:space="preserve">— contact</w:t>
      </w:r>
      <w:r>
        <w:t xml:space="preserve"> </w:t>
      </w:r>
      <w:r>
        <w:rPr>
          <w:rStyle w:val="VerbatimChar"/>
        </w:rPr>
        <w:t xml:space="preserve">adaptvainfo@vims.edu</w:t>
      </w:r>
      <w:r>
        <w:t xml:space="preserve"> </w:t>
      </w:r>
      <w:r>
        <w:t xml:space="preserve">or Mitchell directly. Draft email in §6.</w:t>
      </w:r>
    </w:p>
    <w:p>
      <w:pPr>
        <w:pStyle w:val="Compact"/>
        <w:numPr>
          <w:ilvl w:val="0"/>
          <w:numId w:val="1002"/>
        </w:numPr>
      </w:pPr>
      <w:r>
        <w:rPr>
          <w:b/>
          <w:bCs/>
        </w:rPr>
        <w:t xml:space="preserve">Allison Reilly’s EPA</w:t>
      </w:r>
      <w:r>
        <w:rPr>
          <w:b/>
          <w:bCs/>
        </w:rPr>
        <w:t xml:space="preserve"> </w:t>
      </w:r>
      <w:r>
        <w:rPr>
          <w:b/>
          <w:bCs/>
        </w:rPr>
        <w:t xml:space="preserve">“Septic to Sewer”</w:t>
      </w:r>
      <w:r>
        <w:rPr>
          <w:b/>
          <w:bCs/>
        </w:rPr>
        <w:t xml:space="preserve"> </w:t>
      </w:r>
      <w:r>
        <w:rPr>
          <w:b/>
          <w:bCs/>
        </w:rPr>
        <w:t xml:space="preserve">project outputs</w:t>
      </w:r>
      <w:r>
        <w:t xml:space="preserve"> </w:t>
      </w:r>
      <w:r>
        <w:t xml:space="preserve">— she may already have a Mid-Atlantic analogue literature review.</w:t>
      </w:r>
    </w:p>
    <w:p>
      <w:pPr>
        <w:pStyle w:val="Compact"/>
        <w:numPr>
          <w:ilvl w:val="0"/>
          <w:numId w:val="1002"/>
        </w:numPr>
      </w:pPr>
      <w:r>
        <w:rPr>
          <w:b/>
          <w:bCs/>
        </w:rPr>
        <w:t xml:space="preserve">ESVA Climate Equity project groundwater model outputs</w:t>
      </w:r>
      <w:r>
        <w:t xml:space="preserve"> </w:t>
      </w:r>
      <w:r>
        <w:t xml:space="preserve">(Hesamfar et al.) for overlaying with ecological receptors.</w:t>
      </w:r>
    </w:p>
    <w:p>
      <w:r>
        <w:pict>
          <v:rect style="width:0;height:1.5pt" o:hralign="center" o:hrstd="t" o:hr="t"/>
        </w:pict>
      </w:r>
    </w:p>
    <w:bookmarkEnd w:id="23"/>
    <w:bookmarkEnd w:id="24"/>
    <w:bookmarkStart w:id="25" w:name="deliverables"/>
    <w:p>
      <w:pPr>
        <w:pStyle w:val="Heading2"/>
      </w:pPr>
      <w:r>
        <w:t xml:space="preserve">4. Deliverables</w:t>
      </w:r>
    </w:p>
    <w:p>
      <w:pPr>
        <w:pStyle w:val="FirstParagraph"/>
      </w:pPr>
      <w:r>
        <w:t xml:space="preserve">Because the user has specified a scholarly research synthesis (outreach adaptation deferred), the deliverable set is tightened to four files, all on the</w:t>
      </w:r>
      <w:r>
        <w:t xml:space="preserve"> </w:t>
      </w:r>
      <w:r>
        <w:rPr>
          <w:rStyle w:val="VerbatimChar"/>
        </w:rPr>
        <w:t xml:space="preserve">claude/septic-systems-research-Oqkg1</w:t>
      </w:r>
      <w:r>
        <w:t xml:space="preserve"> </w:t>
      </w:r>
      <w:r>
        <w:t xml:space="preserve">branch: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Audience</w:t>
            </w:r>
          </w:p>
        </w:tc>
        <w:tc>
          <w:tcPr/>
          <w:p>
            <w:pPr>
              <w:pStyle w:val="Compact"/>
            </w:pPr>
            <w:r>
              <w:t xml:space="preserve">Format</w:t>
            </w:r>
          </w:p>
        </w:tc>
        <w:tc>
          <w:tcPr/>
          <w:p>
            <w:pPr>
              <w:pStyle w:val="Compact"/>
            </w:pPr>
            <w:r>
              <w:t xml:space="preserve">Status</w:t>
            </w:r>
          </w:p>
        </w:tc>
      </w:tr>
      <w:tr>
        <w:tc>
          <w:tcPr/>
          <w:p>
            <w:pPr>
              <w:pStyle w:val="Compact"/>
            </w:pPr>
            <w:r>
              <w:rPr>
                <w:rStyle w:val="VerbatimChar"/>
              </w:rPr>
              <w:t xml:space="preserve">ECOLOGICAL_EFFECTS_SYNTHESIS.md</w:t>
            </w:r>
          </w:p>
        </w:tc>
        <w:tc>
          <w:tcPr/>
          <w:p>
            <w:pPr>
              <w:pStyle w:val="Compact"/>
            </w:pPr>
            <w:r>
              <w:t xml:space="preserve">Project team, capstone students, future grant narratives</w:t>
            </w:r>
          </w:p>
        </w:tc>
        <w:tc>
          <w:tcPr/>
          <w:p>
            <w:pPr>
              <w:pStyle w:val="Compact"/>
            </w:pPr>
            <w:r>
              <w:t xml:space="preserve">Long-form scholarly synthesis, pathway-by-pathway, author-year citations</w:t>
            </w:r>
          </w:p>
        </w:tc>
        <w:tc>
          <w:tcPr/>
          <w:p>
            <w:pPr>
              <w:pStyle w:val="Compact"/>
            </w:pPr>
            <w:r>
              <w:t xml:space="preserve">To be drafted (Phase 1–3)</w:t>
            </w:r>
          </w:p>
        </w:tc>
      </w:tr>
      <w:tr>
        <w:tc>
          <w:tcPr/>
          <w:p>
            <w:pPr>
              <w:pStyle w:val="Compact"/>
            </w:pPr>
            <w:r>
              <w:rPr>
                <w:rStyle w:val="VerbatimChar"/>
              </w:rPr>
              <w:t xml:space="preserve">ECOLOGICAL_BIBLIOGRAPHY.md</w:t>
            </w:r>
          </w:p>
        </w:tc>
        <w:tc>
          <w:tcPr/>
          <w:p>
            <w:pPr>
              <w:pStyle w:val="Compact"/>
            </w:pPr>
            <w:r>
              <w:t xml:space="preserve">Everyone</w:t>
            </w:r>
          </w:p>
        </w:tc>
        <w:tc>
          <w:tcPr/>
          <w:p>
            <w:pPr>
              <w:pStyle w:val="Compact"/>
            </w:pPr>
            <w:r>
              <w:t xml:space="preserve">Annotated references grouped by pathway, living document</w:t>
            </w:r>
          </w:p>
        </w:tc>
        <w:tc>
          <w:tcPr/>
          <w:p>
            <w:pPr>
              <w:pStyle w:val="Compact"/>
            </w:pPr>
            <w:r>
              <w:t xml:space="preserve">To be drafted alongside synthesis</w:t>
            </w:r>
          </w:p>
        </w:tc>
      </w:tr>
      <w:tr>
        <w:tc>
          <w:tcPr/>
          <w:p>
            <w:pPr>
              <w:pStyle w:val="Compact"/>
            </w:pPr>
            <w:r>
              <w:rPr>
                <w:rStyle w:val="VerbatimChar"/>
              </w:rPr>
              <w:t xml:space="preserve">ECOLOGICAL_DATA_GAPS.md</w:t>
            </w:r>
          </w:p>
        </w:tc>
        <w:tc>
          <w:tcPr/>
          <w:p>
            <w:pPr>
              <w:pStyle w:val="Compact"/>
            </w:pPr>
            <w:r>
              <w:t xml:space="preserve">PIs, grant writers (Expansion Stage)</w:t>
            </w:r>
          </w:p>
        </w:tc>
        <w:tc>
          <w:tcPr/>
          <w:p>
            <w:pPr>
              <w:pStyle w:val="Compact"/>
            </w:pPr>
            <w:r>
              <w:t xml:space="preserve">Structured gap analysis: what’s unknown, what would fill it, what it would cost</w:t>
            </w:r>
          </w:p>
        </w:tc>
        <w:tc>
          <w:tcPr/>
          <w:p>
            <w:pPr>
              <w:pStyle w:val="Compact"/>
            </w:pPr>
            <w:r>
              <w:t xml:space="preserve">To be drafted Phase 5</w:t>
            </w:r>
          </w:p>
        </w:tc>
      </w:tr>
      <w:tr>
        <w:tc>
          <w:tcPr/>
          <w:p>
            <w:pPr>
              <w:pStyle w:val="Compact"/>
            </w:pPr>
            <w:r>
              <w:rPr>
                <w:rStyle w:val="VerbatimChar"/>
              </w:rPr>
              <w:t xml:space="preserve">ECOLOGICAL_CAPSTONE_IDEAS.md</w:t>
            </w:r>
          </w:p>
        </w:tc>
        <w:tc>
          <w:tcPr/>
          <w:p>
            <w:pPr>
              <w:pStyle w:val="Compact"/>
            </w:pPr>
            <w:r>
              <w:t xml:space="preserve">Alex, ESCC students</w:t>
            </w:r>
          </w:p>
        </w:tc>
        <w:tc>
          <w:tcPr/>
          <w:p>
            <w:pPr>
              <w:pStyle w:val="Compact"/>
            </w:pPr>
            <w:r>
              <w:t xml:space="preserve">Specific student projects mapped to pathways, each with method and data source</w:t>
            </w:r>
          </w:p>
        </w:tc>
        <w:tc>
          <w:tcPr/>
          <w:p>
            <w:pPr>
              <w:pStyle w:val="Compact"/>
            </w:pPr>
            <w:r>
              <w:t xml:space="preserve">To be drafted Phase 5</w:t>
            </w:r>
          </w:p>
        </w:tc>
      </w:tr>
    </w:tbl>
    <w:p>
      <w:pPr>
        <w:pStyle w:val="BodyText"/>
      </w:pPr>
      <w:r>
        <w:t xml:space="preserve">All four cross-reference (but do not duplicate) the existing health, financial, and behavior work on the</w:t>
      </w:r>
      <w:r>
        <w:t xml:space="preserve"> </w:t>
      </w:r>
      <w:r>
        <w:rPr>
          <w:rStyle w:val="VerbatimChar"/>
        </w:rPr>
        <w:t xml:space="preserve">claude/summarize-project-files-9UwoB</w:t>
      </w:r>
      <w:r>
        <w:t xml:space="preserve"> </w:t>
      </w:r>
      <w:r>
        <w:t xml:space="preserve">branch. Outreach-facing derivatives (fact sheets, article drafts, radio spots) will be produced in a later phase once the scholarly synthesis is stable.</w:t>
      </w:r>
    </w:p>
    <w:p>
      <w:r>
        <w:pict>
          <v:rect style="width:0;height:1.5pt" o:hralign="center" o:hrstd="t" o:hr="t"/>
        </w:pict>
      </w:r>
    </w:p>
    <w:bookmarkEnd w:id="25"/>
    <w:bookmarkStart w:id="26" w:name="execution-plan"/>
    <w:p>
      <w:pPr>
        <w:pStyle w:val="Heading2"/>
      </w:pPr>
      <w:r>
        <w:t xml:space="preserve">5. Execution plan</w:t>
      </w:r>
    </w:p>
    <w:p>
      <w:pPr>
        <w:pStyle w:val="FirstParagraph"/>
      </w:pPr>
      <w:r>
        <w:rPr>
          <w:b/>
          <w:bCs/>
        </w:rPr>
        <w:t xml:space="preserve">Phase 1 — Foundation (literature pull by pathway).</w:t>
      </w:r>
      <w:r>
        <w:t xml:space="preserve"> </w:t>
      </w:r>
      <w:r>
        <w:t xml:space="preserve">Systematic pull of peer-reviewed and gray literature for each of the six pathways. Core searches on Google Scholar, Web of Science, Chesapeake Bay Program and STAC publications, VIMS publications, NOAA Chesapeake Bay Office, EPA Region 3, Virginia Coastal Resilience Master Plan. Start from the</w:t>
      </w:r>
      <w:r>
        <w:t xml:space="preserve"> </w:t>
      </w:r>
      <w:r>
        <w:rPr>
          <w:rStyle w:val="VerbatimChar"/>
        </w:rPr>
        <w:t xml:space="preserve">Narrative_Final</w:t>
      </w:r>
      <w:r>
        <w:t xml:space="preserve"> </w:t>
      </w:r>
      <w:r>
        <w:t xml:space="preserve">reference list and chase forward citations. Build</w:t>
      </w:r>
      <w:r>
        <w:t xml:space="preserve"> </w:t>
      </w:r>
      <w:r>
        <w:rPr>
          <w:rStyle w:val="VerbatimChar"/>
        </w:rPr>
        <w:t xml:space="preserve">ECOLOGICAL_BIBLIOGRAPHY.md</w:t>
      </w:r>
      <w:r>
        <w:t xml:space="preserve"> </w:t>
      </w:r>
      <w:r>
        <w:t xml:space="preserve">as Phase 1 progresses.</w:t>
      </w:r>
    </w:p>
    <w:p>
      <w:pPr>
        <w:pStyle w:val="BodyText"/>
      </w:pPr>
      <w:r>
        <w:rPr>
          <w:b/>
          <w:bCs/>
        </w:rPr>
        <w:t xml:space="preserve">Phase 2 — ESVA-specific evidence mining.</w:t>
      </w:r>
      <w:r>
        <w:t xml:space="preserve"> </w:t>
      </w:r>
      <w:r>
        <w:t xml:space="preserve">Work the publicly accessible datasets (§3.1) to pull concrete ESVA numbers: Pocomoke Sound DO trends, seaside lagoon SAV coverage time series, Hog Island Bay shellfish classification history, AdaptVA repair permit hotspots overlaid on Mitchell 2021 vulnerability zones, CBP CAST nutrient load attribution for Accomack-Northampton sub-basins. Each result embedded in the relevant pathway section.</w:t>
      </w:r>
    </w:p>
    <w:p>
      <w:pPr>
        <w:pStyle w:val="BodyText"/>
      </w:pPr>
      <w:r>
        <w:rPr>
          <w:b/>
          <w:bCs/>
        </w:rPr>
        <w:t xml:space="preserve">Phase 3 — Analogue synthesis.</w:t>
      </w:r>
      <w:r>
        <w:t xml:space="preserve"> </w:t>
      </w:r>
      <w:r>
        <w:t xml:space="preserve">For each pathway where ESVA data is thin, pull the 2–3 strongest analogue studies and explain transferability explicitly: what is similar (shallow aquifer, coastal plain, oligohaline estuary, rural septic density, similar sea-level-rise regime) and what is not. Keep analogue use clearly labeled to avoid false-precision claims about ESVA.</w:t>
      </w:r>
    </w:p>
    <w:p>
      <w:pPr>
        <w:pStyle w:val="BodyText"/>
      </w:pPr>
      <w:r>
        <w:rPr>
          <w:b/>
          <w:bCs/>
        </w:rPr>
        <w:t xml:space="preserve">Phase 4 — Resolution of the 6% vs. 3.3% Bay-nitrogen-from-septic figure.</w:t>
      </w:r>
      <w:r>
        <w:t xml:space="preserve"> </w:t>
      </w:r>
      <w:r>
        <w:t xml:space="preserve">The project proposal cites ~6% of Chesapeake Bay nitrogen load from septic systems. The current Chesapeake Bay Program model (CAST) reports ~3.3% Bay-wide. The prior branch flagged this as needing verification. This will be resolved within Phase 4 by going directly to the CBP source documents and reconciling methodology (Bay-wide vs. sub-basin, direct vs. indirect delivery, model version, year of reference). The result is written into both the synthesis and a standalone note in</w:t>
      </w:r>
      <w:r>
        <w:t xml:space="preserve"> </w:t>
      </w:r>
      <w:r>
        <w:rPr>
          <w:rStyle w:val="VerbatimChar"/>
        </w:rPr>
        <w:t xml:space="preserve">ECOLOGICAL_DATA_GAPS.md</w:t>
      </w:r>
      <w:r>
        <w:t xml:space="preserve">.</w:t>
      </w:r>
    </w:p>
    <w:p>
      <w:pPr>
        <w:pStyle w:val="BodyText"/>
      </w:pPr>
      <w:r>
        <w:rPr>
          <w:b/>
          <w:bCs/>
        </w:rPr>
        <w:t xml:space="preserve">Phase 5 — Gap analysis and capstone seeding.</w:t>
      </w:r>
      <w:r>
        <w:t xml:space="preserve"> </w:t>
      </w:r>
      <w:r>
        <w:t xml:space="preserve">Translate open questions into capstone-scale projects students can actually execute in a semester, each with a specific data source, method, and deliverable. Write</w:t>
      </w:r>
      <w:r>
        <w:t xml:space="preserve"> </w:t>
      </w:r>
      <w:r>
        <w:rPr>
          <w:rStyle w:val="VerbatimChar"/>
        </w:rPr>
        <w:t xml:space="preserve">ECOLOGICAL_DATA_GAPS.md</w:t>
      </w:r>
      <w:r>
        <w:t xml:space="preserve"> </w:t>
      </w:r>
      <w:r>
        <w:t xml:space="preserve">and</w:t>
      </w:r>
      <w:r>
        <w:t xml:space="preserve"> </w:t>
      </w:r>
      <w:r>
        <w:rPr>
          <w:rStyle w:val="VerbatimChar"/>
        </w:rPr>
        <w:t xml:space="preserve">ECOLOGICAL_CAPSTONE_IDEAS.md</w:t>
      </w:r>
      <w:r>
        <w:t xml:space="preserve">.</w:t>
      </w:r>
    </w:p>
    <w:p>
      <w:pPr>
        <w:pStyle w:val="BodyText"/>
      </w:pPr>
      <w:r>
        <w:rPr>
          <w:b/>
          <w:bCs/>
        </w:rPr>
        <w:t xml:space="preserve">Ongoing.</w:t>
      </w:r>
      <w:r>
        <w:t xml:space="preserve"> </w:t>
      </w:r>
      <w:r>
        <w:t xml:space="preserve">Treat the four deliverables as living documents. Every time a partner shares new data (Mitchell, Richardson, Reilly, Bradshaw, Culver’s model outputs), it gets integrated and committed.</w:t>
      </w:r>
    </w:p>
    <w:p>
      <w:r>
        <w:pict>
          <v:rect style="width:0;height:1.5pt" o:hralign="center" o:hrstd="t" o:hr="t"/>
        </w:pict>
      </w:r>
    </w:p>
    <w:bookmarkEnd w:id="26"/>
    <w:bookmarkStart w:id="27" w:name="Xc66fa9ab27408d31960ef1e887bea0ab2afe7e6"/>
    <w:p>
      <w:pPr>
        <w:pStyle w:val="Heading2"/>
      </w:pPr>
      <w:r>
        <w:t xml:space="preserve">6. Appendix: draft email to Molly Mitchell (VIMS)</w:t>
      </w:r>
    </w:p>
    <w:p>
      <w:pPr>
        <w:pStyle w:val="BlockText"/>
      </w:pPr>
      <w:r>
        <w:t xml:space="preserve">Subject: ESVA Septic Project — request for Mitchell 2021 CBSAG underlying layers</w:t>
      </w:r>
    </w:p>
    <w:p>
      <w:pPr>
        <w:pStyle w:val="BlockText"/>
      </w:pPr>
      <w:r>
        <w:t xml:space="preserve">Dear Molly,</w:t>
      </w:r>
    </w:p>
    <w:p>
      <w:pPr>
        <w:pStyle w:val="BlockText"/>
      </w:pPr>
      <w:r>
        <w:t xml:space="preserve">I’m Alex Foxworthy, Science Program Chair at Eastern Shore Community College and a member of the community liaison team on Majid Shafiee-Jood’s EI Climate Collaborative ESVA Septic Project. I know you’re a co-PI on the proposal and already in close contact with the team, so I’ll keep this short.</w:t>
      </w:r>
    </w:p>
    <w:p>
      <w:pPr>
        <w:pStyle w:val="BlockText"/>
      </w:pPr>
      <w:r>
        <w:t xml:space="preserve">As part of my contribution to the project, I’m building a scholarly synthesis of the ecological (non-human-health) consequences of failing septic systems on the Eastern Shore, organized around six pathways: groundwater/aquifer, tidal creeks and marshes, Chesapeake Bay mainstem, the seaside lagoon system, shellfish grounds and aquaculture, iconic species and habitats, and the terrestrial drainfield footprint. The synthesis is intended to feed ESCC capstone projects, the project’s Thrust 3 groundwork, and eventually a public outreach campaign.</w:t>
      </w:r>
    </w:p>
    <w:p>
      <w:pPr>
        <w:pStyle w:val="BlockText"/>
      </w:pPr>
      <w:r>
        <w:t xml:space="preserve">Your 2021</w:t>
      </w:r>
      <w:r>
        <w:t xml:space="preserve"> </w:t>
      </w:r>
      <w:r>
        <w:rPr>
          <w:i/>
          <w:iCs/>
        </w:rPr>
        <w:t xml:space="preserve">Frontiers in Marine Science</w:t>
      </w:r>
      <w:r>
        <w:t xml:space="preserve"> </w:t>
      </w:r>
      <w:r>
        <w:t xml:space="preserve">paper and the CBSAG coastal-plain septic report are foundational references for this work, and the AdaptVA Wastewater Data Viewer and Rural Septic Assessment are already the strongest publicly available ESVA-adjacent datasets I’ve identified. Two specific asks:</w:t>
      </w:r>
    </w:p>
    <w:p>
      <w:pPr>
        <w:pStyle w:val="Compact"/>
        <w:numPr>
          <w:ilvl w:val="0"/>
          <w:numId w:val="1003"/>
        </w:numPr>
      </w:pPr>
      <w:r>
        <w:t xml:space="preserve">Are the underlying GIS layers from the CBSAG analysis available for a sub-basin overlay against the Hesamfar/Culver SEAWAT outputs on ESVA? Specifically, the failed/failing/threatened classifications at tax-parcel or sub-watershed resolution, if they exist at that granularity.</w:t>
      </w:r>
    </w:p>
    <w:p>
      <w:pPr>
        <w:pStyle w:val="Compact"/>
        <w:numPr>
          <w:ilvl w:val="0"/>
          <w:numId w:val="1003"/>
        </w:numPr>
      </w:pPr>
      <w:r>
        <w:t xml:space="preserve">Does the AdaptVA team have a way to share septic repair permit row-level data (tax map / watershed level) for Accomack and Northampton, or should I route that request through VDH directly?</w:t>
      </w:r>
    </w:p>
    <w:p>
      <w:pPr>
        <w:pStyle w:val="BlockText"/>
      </w:pPr>
      <w:r>
        <w:t xml:space="preserve">I’d also welcome a pointer to anything unpublished or in preparation on the ecological side from your group — the ecological literature on ESVA septics specifically is thin, and I want to make sure I’m not duplicating work already in progress.</w:t>
      </w:r>
    </w:p>
    <w:p>
      <w:pPr>
        <w:pStyle w:val="BlockText"/>
      </w:pPr>
      <w:r>
        <w:t xml:space="preserve">Happy to send the scoping document for the ecological synthesis if useful.</w:t>
      </w:r>
    </w:p>
    <w:p>
      <w:pPr>
        <w:pStyle w:val="BlockText"/>
      </w:pPr>
      <w:r>
        <w:t xml:space="preserve">Thanks very much,</w:t>
      </w:r>
      <w:r>
        <w:t xml:space="preserve"> </w:t>
      </w:r>
      <w:r>
        <w:t xml:space="preserve">Alex</w:t>
      </w:r>
    </w:p>
    <w:p>
      <w:r>
        <w:pict>
          <v:rect style="width:0;height:1.5pt" o:hralign="center" o:hrstd="t" o:hr="t"/>
        </w:pict>
      </w:r>
    </w:p>
    <w:bookmarkEnd w:id="27"/>
    <w:bookmarkStart w:id="28" w:name="questions-closed-in-this-strategy"/>
    <w:p>
      <w:pPr>
        <w:pStyle w:val="Heading2"/>
      </w:pPr>
      <w:r>
        <w:t xml:space="preserve">7. Questions closed in this strategy</w:t>
      </w:r>
    </w:p>
    <w:p>
      <w:pPr>
        <w:pStyle w:val="FirstParagraph"/>
      </w:pPr>
      <w:r>
        <w:t xml:space="preserve">Documented here so future contributors can see the design decisions:</w:t>
      </w:r>
    </w:p>
    <w:p>
      <w:pPr>
        <w:pStyle w:val="Compact"/>
        <w:numPr>
          <w:ilvl w:val="0"/>
          <w:numId w:val="1004"/>
        </w:numPr>
      </w:pPr>
      <w:r>
        <w:rPr>
          <w:b/>
          <w:bCs/>
        </w:rPr>
        <w:t xml:space="preserve">Citation style:</w:t>
      </w:r>
      <w:r>
        <w:t xml:space="preserve"> </w:t>
      </w:r>
      <w:r>
        <w:t xml:space="preserve">author-year inline, full references at the end.</w:t>
      </w:r>
    </w:p>
    <w:p>
      <w:pPr>
        <w:pStyle w:val="Compact"/>
        <w:numPr>
          <w:ilvl w:val="0"/>
          <w:numId w:val="1004"/>
        </w:numPr>
      </w:pPr>
      <w:r>
        <w:rPr>
          <w:b/>
          <w:bCs/>
        </w:rPr>
        <w:t xml:space="preserve">Analogue region depth:</w:t>
      </w:r>
      <w:r>
        <w:t xml:space="preserve"> </w:t>
      </w:r>
      <w:r>
        <w:t xml:space="preserve">use judgment; first-tier analogues are those that share coastal-plain shallow-aquifer hydrology and rural-septic density (Cape Cod, Rhode Island, Dare County NC, coastal Georgia, Indian River Lagoon FL). Second-tier as needed.</w:t>
      </w:r>
    </w:p>
    <w:p>
      <w:pPr>
        <w:pStyle w:val="Compact"/>
        <w:numPr>
          <w:ilvl w:val="0"/>
          <w:numId w:val="1004"/>
        </w:numPr>
      </w:pPr>
      <w:r>
        <w:rPr>
          <w:b/>
          <w:bCs/>
        </w:rPr>
        <w:t xml:space="preserve">Chesapeake Bay vs. Seaside split:</w:t>
      </w:r>
      <w:r>
        <w:t xml:space="preserve"> </w:t>
      </w:r>
      <w:r>
        <w:t xml:space="preserve">treated as two sub-pathways (3a and 3b), separated where hydrology/biota/management diverge, synthesized where the mechanism is identical.</w:t>
      </w:r>
    </w:p>
    <w:p>
      <w:pPr>
        <w:pStyle w:val="Compact"/>
        <w:numPr>
          <w:ilvl w:val="0"/>
          <w:numId w:val="1004"/>
        </w:numPr>
      </w:pPr>
      <w:r>
        <w:rPr>
          <w:b/>
          <w:bCs/>
        </w:rPr>
        <w:t xml:space="preserve">Tone:</w:t>
      </w:r>
      <w:r>
        <w:t xml:space="preserve"> </w:t>
      </w:r>
      <w:r>
        <w:t xml:space="preserve">scholarly research synthesis. Outreach adaptation deferred to a later phase.</w:t>
      </w:r>
    </w:p>
    <w:p>
      <w:pPr>
        <w:pStyle w:val="Compact"/>
        <w:numPr>
          <w:ilvl w:val="0"/>
          <w:numId w:val="1004"/>
        </w:numPr>
      </w:pPr>
      <w:r>
        <w:rPr>
          <w:b/>
          <w:bCs/>
        </w:rPr>
        <w:t xml:space="preserve">Mitchell contact:</w:t>
      </w:r>
      <w:r>
        <w:t xml:space="preserve"> </w:t>
      </w:r>
      <w:r>
        <w:t xml:space="preserve">yes — draft email in §6.</w:t>
      </w:r>
    </w:p>
    <w:p>
      <w:pPr>
        <w:pStyle w:val="Compact"/>
        <w:numPr>
          <w:ilvl w:val="0"/>
          <w:numId w:val="1004"/>
        </w:numPr>
      </w:pPr>
      <w:r>
        <w:rPr>
          <w:b/>
          <w:bCs/>
        </w:rPr>
        <w:t xml:space="preserve">6% vs. 3.3% Bay-nitrogen figure:</w:t>
      </w:r>
      <w:r>
        <w:t xml:space="preserve"> </w:t>
      </w:r>
      <w:r>
        <w:t xml:space="preserve">resolve within Phase 4.</w:t>
      </w:r>
    </w:p>
    <w:p>
      <w:r>
        <w:pict>
          <v:rect style="width:0;height:1.5pt" o:hralign="center" o:hrstd="t" o:hr="t"/>
        </w:pict>
      </w:r>
    </w:p>
    <w:p>
      <w:pPr>
        <w:pStyle w:val="FirstParagraph"/>
      </w:pPr>
      <w:r>
        <w:rPr>
          <w:i/>
          <w:iCs/>
        </w:rPr>
        <w:t xml:space="preserve">This document is a living scoping artifact. Revise freely as the research progresses and cite the revision in the next commit.</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www.adaptva.org/info/tools.html" TargetMode="External" /></Relationships>
</file>

<file path=word/_rels/footnotes.xml.rels><?xml version="1.0" encoding="UTF-8"?><Relationships xmlns="http://schemas.openxmlformats.org/package/2006/relationships"><Relationship Type="http://schemas.openxmlformats.org/officeDocument/2006/relationships/hyperlink" Id="rId21" Target="https://www.adaptva.org/info/tool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2026-10-02T14:00:47Z</dcterms:created>
  <dcterms:modified xsi:type="dcterms:W3CDTF">2026-10-02T14:00:47Z</dcterms:modified>
</cp:coreProperties>
</file>

<file path=docProps/custom.xml><?xml version="1.0" encoding="utf-8"?>
<Properties xmlns="http://schemas.openxmlformats.org/officeDocument/2006/custom-properties" xmlns:vt="http://schemas.openxmlformats.org/officeDocument/2006/docPropsVTypes"/>
</file>