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outreach-messaging-review-october-2026"/>
    <w:p>
      <w:pPr>
        <w:pStyle w:val="Heading1"/>
      </w:pPr>
      <w:r>
        <w:t xml:space="preserve">Outreach Messaging Review — October 2026</w:t>
      </w:r>
    </w:p>
    <w:p>
      <w:pPr>
        <w:pStyle w:val="FirstParagraph"/>
      </w:pPr>
      <w:r>
        <w:rPr>
          <w:i/>
          <w:iCs/>
        </w:rPr>
        <w:t xml:space="preserve">What the evidence supports saying in the Eastern Shore Post series, what to stop saying, and how to read VDH’s</w:t>
      </w:r>
      <w:r>
        <w:rPr>
          <w:i/>
          <w:iCs/>
        </w:rPr>
        <w:t xml:space="preserve"> </w:t>
      </w:r>
      <w:r>
        <w:rPr>
          <w:i/>
          <w:iCs/>
        </w:rPr>
        <w:t xml:space="preserve">“we’re not seeing it.”</w:t>
      </w:r>
    </w:p>
    <w:p>
      <w:pPr>
        <w:pStyle w:val="BodyText"/>
      </w:pPr>
      <w:r>
        <w:rPr>
          <w:i/>
          <w:iCs/>
        </w:rPr>
        <w:t xml:space="preserve">EI Climate Collaborative ESVA Septic Project. Prepared for Alex Foxworthy and the project team, October 2026. Every number in Section 2 and Appendix A has been checked against a primary source; where it hasn’t, it says so.</w:t>
      </w:r>
    </w:p>
    <w:p>
      <w:r>
        <w:pict>
          <v:rect style="width:0;height:1.5pt" o:hralign="center" o:hrstd="t" o:hr="t"/>
        </w:pict>
      </w:r>
    </w:p>
    <w:bookmarkStart w:id="9" w:name="bottom-line"/>
    <w:p>
      <w:pPr>
        <w:pStyle w:val="Heading2"/>
      </w:pPr>
      <w:r>
        <w:t xml:space="preserve">Bottom line</w:t>
      </w:r>
    </w:p>
    <w:p>
      <w:pPr>
        <w:pStyle w:val="Compact"/>
        <w:numPr>
          <w:ilvl w:val="0"/>
          <w:numId w:val="1001"/>
        </w:numPr>
      </w:pPr>
      <w:r>
        <w:rPr>
          <w:b/>
          <w:bCs/>
        </w:rPr>
        <w:t xml:space="preserve">Your read on ecology is right.</w:t>
      </w:r>
      <w:r>
        <w:t xml:space="preserve"> </w:t>
      </w:r>
      <w:r>
        <w:t xml:space="preserve">After checking the key sources, there is</w:t>
      </w:r>
      <w:r>
        <w:t xml:space="preserve"> </w:t>
      </w:r>
      <w:r>
        <w:rPr>
          <w:b/>
          <w:bCs/>
        </w:rPr>
        <w:t xml:space="preserve">no published evidence that septic systems are causing measurable ecological harm on the Eastern Shore.</w:t>
      </w:r>
    </w:p>
    <w:p>
      <w:pPr>
        <w:pStyle w:val="Compact"/>
        <w:numPr>
          <w:ilvl w:val="1"/>
          <w:numId w:val="1002"/>
        </w:numPr>
      </w:pPr>
      <w:r>
        <w:t xml:space="preserve">The paper the project leaned on most, Mitchell et al. (2021), says close to the opposite of what we had attributed to it.</w:t>
      </w:r>
    </w:p>
    <w:p>
      <w:pPr>
        <w:pStyle w:val="Compact"/>
        <w:numPr>
          <w:ilvl w:val="1"/>
          <w:numId w:val="1002"/>
        </w:numPr>
      </w:pPr>
      <w:r>
        <w:t xml:space="preserve">The Shore studies that</w:t>
      </w:r>
      <w:r>
        <w:t xml:space="preserve"> </w:t>
      </w:r>
      <w:r>
        <w:rPr>
          <w:i/>
          <w:iCs/>
        </w:rPr>
        <w:t xml:space="preserve">do</w:t>
      </w:r>
      <w:r>
        <w:t xml:space="preserve"> </w:t>
      </w:r>
      <w:r>
        <w:t xml:space="preserve">exist point to agriculture as the main nitrogen source.</w:t>
      </w:r>
    </w:p>
    <w:p>
      <w:pPr>
        <w:pStyle w:val="Compact"/>
        <w:numPr>
          <w:ilvl w:val="1"/>
          <w:numId w:val="1002"/>
        </w:numPr>
      </w:pPr>
      <w:r>
        <w:t xml:space="preserve">VDH’s monitoring shows the Shore’s shellfish waters are among the cleanest in Virginia.</w:t>
      </w:r>
    </w:p>
    <w:p>
      <w:pPr>
        <w:pStyle w:val="Compact"/>
        <w:numPr>
          <w:ilvl w:val="0"/>
          <w:numId w:val="1001"/>
        </w:numPr>
      </w:pPr>
      <w:r>
        <w:rPr>
          <w:b/>
          <w:bCs/>
        </w:rPr>
        <w:t xml:space="preserve">That is not the same as</w:t>
      </w:r>
      <w:r>
        <w:rPr>
          <w:b/>
          <w:bCs/>
        </w:rPr>
        <w:t xml:space="preserve"> </w:t>
      </w:r>
      <w:r>
        <w:rPr>
          <w:b/>
          <w:bCs/>
        </w:rPr>
        <w:t xml:space="preserve">“septic is harmless.”</w:t>
      </w:r>
      <w:r>
        <w:t xml:space="preserve"> </w:t>
      </w:r>
      <w:r>
        <w:t xml:space="preserve">It means the local effect is</w:t>
      </w:r>
      <w:r>
        <w:t xml:space="preserve"> </w:t>
      </w:r>
      <w:r>
        <w:rPr>
          <w:b/>
          <w:bCs/>
        </w:rPr>
        <w:t xml:space="preserve">unmeasured</w:t>
      </w:r>
      <w:r>
        <w:t xml:space="preserve">, and so far it does not show up in the data VDH collects. That makes it a research question, not an outreach message.</w:t>
      </w:r>
    </w:p>
    <w:p>
      <w:pPr>
        <w:pStyle w:val="Compact"/>
        <w:numPr>
          <w:ilvl w:val="0"/>
          <w:numId w:val="1001"/>
        </w:numPr>
      </w:pPr>
      <w:r>
        <w:rPr>
          <w:b/>
          <w:bCs/>
        </w:rPr>
        <w:t xml:space="preserve">The productive message is the one VDH asked for, and it is well supported:</w:t>
      </w:r>
    </w:p>
    <w:p>
      <w:pPr>
        <w:pStyle w:val="Compact"/>
        <w:numPr>
          <w:ilvl w:val="1"/>
          <w:numId w:val="1003"/>
        </w:numPr>
      </w:pPr>
      <w:r>
        <w:t xml:space="preserve">find out whether you have a septic system;</w:t>
      </w:r>
    </w:p>
    <w:p>
      <w:pPr>
        <w:pStyle w:val="Compact"/>
        <w:numPr>
          <w:ilvl w:val="1"/>
          <w:numId w:val="1003"/>
        </w:numPr>
      </w:pPr>
      <w:r>
        <w:t xml:space="preserve">know who to call;</w:t>
      </w:r>
    </w:p>
    <w:p>
      <w:pPr>
        <w:pStyle w:val="Compact"/>
        <w:numPr>
          <w:ilvl w:val="1"/>
          <w:numId w:val="1003"/>
        </w:numPr>
      </w:pPr>
      <w:r>
        <w:t xml:space="preserve">pump it out regularly. That protects an expensive piece of your house and your family’s water, and the law requires it.</w:t>
      </w:r>
    </w:p>
    <w:p>
      <w:pPr>
        <w:pStyle w:val="Compact"/>
        <w:numPr>
          <w:ilvl w:val="0"/>
          <w:numId w:val="1001"/>
        </w:numPr>
      </w:pPr>
      <w:r>
        <w:rPr>
          <w:b/>
          <w:bCs/>
        </w:rPr>
        <w:t xml:space="preserve">On health, stay with well testing, infants and nitrate, and flooded wells.</w:t>
      </w:r>
      <w:r>
        <w:t xml:space="preserve"> </w:t>
      </w:r>
      <w:r>
        <w:t xml:space="preserve">All three are solid and actionable. Drop the cancer, thyroid, chronic-disease and lead-paint comparisons.</w:t>
      </w:r>
    </w:p>
    <w:p>
      <w:pPr>
        <w:pStyle w:val="Compact"/>
        <w:numPr>
          <w:ilvl w:val="0"/>
          <w:numId w:val="1001"/>
        </w:numPr>
      </w:pPr>
      <w:r>
        <w:rPr>
          <w:b/>
          <w:bCs/>
        </w:rPr>
        <w:t xml:space="preserve">Several numbers circulating in project materials are wrong.</w:t>
      </w:r>
      <w:r>
        <w:t xml:space="preserve"> </w:t>
      </w:r>
      <w:r>
        <w:t xml:space="preserve">The two most important:</w:t>
      </w:r>
    </w:p>
    <w:p>
      <w:pPr>
        <w:pStyle w:val="Compact"/>
        <w:numPr>
          <w:ilvl w:val="1"/>
          <w:numId w:val="1004"/>
        </w:numPr>
      </w:pPr>
      <w:r>
        <w:rPr>
          <w:b/>
          <w:bCs/>
        </w:rPr>
        <w:t xml:space="preserve">“43% of Shore wells contaminated.”</w:t>
      </w:r>
      <w:r>
        <w:t xml:space="preserve"> </w:t>
      </w:r>
      <w:r>
        <w:t xml:space="preserve">The 43% is samples above a</w:t>
      </w:r>
      <w:r>
        <w:t xml:space="preserve"> </w:t>
      </w:r>
      <w:r>
        <w:rPr>
          <w:i/>
          <w:iCs/>
        </w:rPr>
        <w:t xml:space="preserve">sodium</w:t>
      </w:r>
      <w:r>
        <w:t xml:space="preserve"> </w:t>
      </w:r>
      <w:r>
        <w:t xml:space="preserve">guidance level.</w:t>
      </w:r>
    </w:p>
    <w:p>
      <w:pPr>
        <w:pStyle w:val="Compact"/>
        <w:numPr>
          <w:ilvl w:val="1"/>
          <w:numId w:val="1004"/>
        </w:numPr>
      </w:pPr>
      <w:r>
        <w:rPr>
          <w:b/>
          <w:bCs/>
        </w:rPr>
        <w:t xml:space="preserve">Chincoteague</w:t>
      </w:r>
      <w:r>
        <w:rPr>
          <w:b/>
          <w:bCs/>
        </w:rPr>
        <w:t xml:space="preserve"> </w:t>
      </w:r>
      <w:r>
        <w:rPr>
          <w:b/>
          <w:bCs/>
        </w:rPr>
        <w:t xml:space="preserve">“losing its wells to septic.”</w:t>
      </w:r>
      <w:r>
        <w:t xml:space="preserve"> </w:t>
      </w:r>
      <w:r>
        <w:t xml:space="preserve">No source documents this; the island’s water was brackish.</w:t>
      </w:r>
    </w:p>
    <w:p>
      <w:pPr>
        <w:pStyle w:val="FirstParagraph"/>
      </w:pPr>
      <w:r>
        <w:t xml:space="preserve">The two articles and the resource guide have been rewritten on this basis:</w:t>
      </w:r>
    </w:p>
    <w:p>
      <w:pPr>
        <w:pStyle w:val="Compact"/>
        <w:numPr>
          <w:ilvl w:val="0"/>
          <w:numId w:val="1005"/>
        </w:numPr>
      </w:pPr>
      <w:r>
        <w:rPr>
          <w:rStyle w:val="VerbatimChar"/>
        </w:rPr>
        <w:t xml:space="preserve">outreach/article_part1_septic_basics.md</w:t>
      </w:r>
    </w:p>
    <w:p>
      <w:pPr>
        <w:pStyle w:val="Compact"/>
        <w:numPr>
          <w:ilvl w:val="0"/>
          <w:numId w:val="1005"/>
        </w:numPr>
      </w:pPr>
      <w:r>
        <w:rPr>
          <w:rStyle w:val="VerbatimChar"/>
        </w:rPr>
        <w:t xml:space="preserve">outreach/article_part2_well_testing.md</w:t>
      </w:r>
    </w:p>
    <w:p>
      <w:pPr>
        <w:pStyle w:val="Compact"/>
        <w:numPr>
          <w:ilvl w:val="0"/>
          <w:numId w:val="1005"/>
        </w:numPr>
      </w:pPr>
      <w:r>
        <w:rPr>
          <w:rStyle w:val="VerbatimChar"/>
        </w:rPr>
        <w:t xml:space="preserve">outreach/resident_resources_guide.md</w:t>
      </w:r>
    </w:p>
    <w:p>
      <w:r>
        <w:pict>
          <v:rect style="width:0;height:1.5pt" o:hralign="center" o:hrstd="t" o:hr="t"/>
        </w:pict>
      </w:r>
    </w:p>
    <w:bookmarkEnd w:id="9"/>
    <w:bookmarkStart w:id="10" w:name="X94108f7f4b85322e153f08923bdf7c010e40b57"/>
    <w:p>
      <w:pPr>
        <w:pStyle w:val="Heading2"/>
      </w:pPr>
      <w:r>
        <w:t xml:space="preserve">1.</w:t>
      </w:r>
      <w:r>
        <w:t xml:space="preserve"> </w:t>
      </w:r>
      <w:r>
        <w:t xml:space="preserve">“VDH isn’t seeing it.”</w:t>
      </w:r>
      <w:r>
        <w:t xml:space="preserve"> </w:t>
      </w:r>
      <w:r>
        <w:t xml:space="preserve">How much is VDH actually measuring?</w:t>
      </w:r>
    </w:p>
    <w:p>
      <w:pPr>
        <w:pStyle w:val="FirstParagraph"/>
      </w:pPr>
      <w:r>
        <w:t xml:space="preserve">This was your open question. The answer differs a lot by topic.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Who measures it, and how</w:t>
            </w:r>
          </w:p>
        </w:tc>
        <w:tc>
          <w:tcPr/>
          <w:p>
            <w:pPr>
              <w:pStyle w:val="Compact"/>
            </w:pPr>
            <w:r>
              <w:t xml:space="preserve">How much weight</w:t>
            </w:r>
            <w:r>
              <w:t xml:space="preserve"> </w:t>
            </w:r>
            <w:r>
              <w:t xml:space="preserve">“not seeing it”</w:t>
            </w:r>
            <w:r>
              <w:t xml:space="preserve"> </w:t>
            </w:r>
            <w:r>
              <w:t xml:space="preserve">carries</w:t>
            </w:r>
          </w:p>
        </w:tc>
      </w:tr>
      <w:tr>
        <w:tc>
          <w:tcPr/>
          <w:p>
            <w:pPr>
              <w:pStyle w:val="Compact"/>
            </w:pPr>
            <w:r>
              <w:rPr>
                <w:b/>
                <w:bCs/>
              </w:rPr>
              <w:t xml:space="preserve">Shellfish waters (bacteria)</w:t>
            </w:r>
          </w:p>
        </w:tc>
        <w:tc>
          <w:tcPr/>
          <w:p>
            <w:pPr>
              <w:pStyle w:val="Compact"/>
            </w:pPr>
            <w:r>
              <w:t xml:space="preserve">VDH Division of Shellfish Safety.</w:t>
            </w:r>
            <w:r>
              <w:t xml:space="preserve"> </w:t>
            </w:r>
            <w:r>
              <w:rPr>
                <w:b/>
                <w:bCs/>
              </w:rPr>
              <w:t xml:space="preserve">About 590 active Shore stations, each sampled at least six times a year.</w:t>
            </w:r>
            <w:r>
              <w:t xml:space="preserve"> </w:t>
            </w:r>
            <w:r>
              <w:t xml:space="preserve">Every Shore growing area has a current property-by-property shoreline survey (2018–2026). VDH is starting to use a human-specific DNA marker (HF183).</w:t>
            </w:r>
          </w:p>
        </w:tc>
        <w:tc>
          <w:tcPr/>
          <w:p>
            <w:pPr>
              <w:pStyle w:val="Compact"/>
            </w:pPr>
            <w:r>
              <w:rPr>
                <w:b/>
                <w:bCs/>
              </w:rPr>
              <w:t xml:space="preserve">High.</w:t>
            </w:r>
            <w:r>
              <w:t xml:space="preserve"> </w:t>
            </w:r>
            <w:r>
              <w:t xml:space="preserve">If septic systems were widely contaminating shellfish waters, this system would show it. By our analysis of VDH’s public map data, about</w:t>
            </w:r>
            <w:r>
              <w:t xml:space="preserve"> </w:t>
            </w:r>
            <w:r>
              <w:rPr>
                <w:b/>
                <w:bCs/>
              </w:rPr>
              <w:t xml:space="preserve">1% of the Shore’s classified shellfish acreage is condemned, against about 6% statewide.</w:t>
            </w:r>
            <w:r>
              <w:t xml:space="preserve"> </w:t>
            </w:r>
            <w:r>
              <w:t xml:space="preserve">Problems are local: Bayside creek headwaters, harbors and mandatory marina/outfall buffers, closures after heavy rain, and Chincoteague’s cesspools. VDH’s 2026 notices also appear to reopen several large, formerly condemned sections (partly a remapping effect, so treat this as</w:t>
            </w:r>
            <w:r>
              <w:t xml:space="preserve"> </w:t>
            </w:r>
            <w:r>
              <w:t xml:space="preserve">“likely,”</w:t>
            </w:r>
            <w:r>
              <w:t xml:space="preserve"> </w:t>
            </w:r>
            <w:r>
              <w:t xml:space="preserve">not proven).</w:t>
            </w:r>
          </w:p>
        </w:tc>
      </w:tr>
      <w:tr>
        <w:tc>
          <w:tcPr/>
          <w:p>
            <w:pPr>
              <w:pStyle w:val="Compact"/>
            </w:pPr>
            <w:r>
              <w:rPr>
                <w:b/>
                <w:bCs/>
              </w:rPr>
              <w:t xml:space="preserve">Swimming beaches</w:t>
            </w:r>
          </w:p>
        </w:tc>
        <w:tc>
          <w:tcPr/>
          <w:p>
            <w:pPr>
              <w:pStyle w:val="Compact"/>
            </w:pPr>
            <w:r>
              <w:t xml:space="preserve">VDH, weekly in summer at four Shore beaches</w:t>
            </w:r>
          </w:p>
        </w:tc>
        <w:tc>
          <w:tcPr/>
          <w:p>
            <w:pPr>
              <w:pStyle w:val="Compact"/>
            </w:pPr>
            <w:r>
              <w:rPr>
                <w:b/>
                <w:bCs/>
              </w:rPr>
              <w:t xml:space="preserve">Moderate.</w:t>
            </w:r>
            <w:r>
              <w:t xml:space="preserve"> </w:t>
            </w:r>
            <w:r>
              <w:t xml:space="preserve">Occasional advisories (e.g., Cape Charles, August 2025). Sources are not identified.</w:t>
            </w:r>
          </w:p>
        </w:tc>
      </w:tr>
      <w:tr>
        <w:tc>
          <w:tcPr/>
          <w:p>
            <w:pPr>
              <w:pStyle w:val="Compact"/>
            </w:pPr>
            <w:r>
              <w:rPr>
                <w:b/>
                <w:bCs/>
              </w:rPr>
              <w:t xml:space="preserve">Illness from drinking water</w:t>
            </w:r>
          </w:p>
        </w:tc>
        <w:tc>
          <w:tcPr/>
          <w:p>
            <w:pPr>
              <w:pStyle w:val="Compact"/>
            </w:pPr>
            <w:r>
              <w:t xml:space="preserve">Only through disease reporting</w:t>
            </w:r>
          </w:p>
        </w:tc>
        <w:tc>
          <w:tcPr/>
          <w:p>
            <w:pPr>
              <w:pStyle w:val="Compact"/>
            </w:pPr>
            <w:r>
              <w:rPr>
                <w:b/>
                <w:bCs/>
              </w:rPr>
              <w:t xml:space="preserve">Low for private wells.</w:t>
            </w:r>
            <w:r>
              <w:t xml:space="preserve"> </w:t>
            </w:r>
            <w:r>
              <w:t xml:space="preserve">Surveillance catches</w:t>
            </w:r>
            <w:r>
              <w:t xml:space="preserve"> </w:t>
            </w:r>
            <w:r>
              <w:rPr>
                <w:i/>
                <w:iCs/>
              </w:rPr>
              <w:t xml:space="preserve">outbreaks</w:t>
            </w:r>
            <w:r>
              <w:t xml:space="preserve">. A stomach bug from one family’s well is rarely lab-tested or traced to the water (CDC: outbreak data</w:t>
            </w:r>
            <w:r>
              <w:t xml:space="preserve"> </w:t>
            </w:r>
            <w:r>
              <w:t xml:space="preserve">“likely underestimate actual occurrence”</w:t>
            </w:r>
            <w:r>
              <w:t xml:space="preserve">). Not seeing illness neither confirms nor rules out sporadic household cases. That is an argument for routine testing, not for alarm.</w:t>
            </w:r>
          </w:p>
        </w:tc>
      </w:tr>
      <w:tr>
        <w:tc>
          <w:tcPr/>
          <w:p>
            <w:pPr>
              <w:pStyle w:val="Compact"/>
            </w:pPr>
            <w:r>
              <w:rPr>
                <w:b/>
                <w:bCs/>
              </w:rPr>
              <w:t xml:space="preserve">Private well water</w:t>
            </w:r>
          </w:p>
        </w:tc>
        <w:tc>
          <w:tcPr/>
          <w:p>
            <w:pPr>
              <w:pStyle w:val="Compact"/>
            </w:pPr>
            <w:r>
              <w:t xml:space="preserve">Nobody routinely; it’s the owner’s job</w:t>
            </w:r>
          </w:p>
        </w:tc>
        <w:tc>
          <w:tcPr/>
          <w:p>
            <w:pPr>
              <w:pStyle w:val="Compact"/>
            </w:pPr>
            <w:r>
              <w:t xml:space="preserve">The best local data are volunteer Extension clinics:</w:t>
            </w:r>
            <w:r>
              <w:t xml:space="preserve"> </w:t>
            </w:r>
            <w:r>
              <w:rPr>
                <w:b/>
                <w:bCs/>
              </w:rPr>
              <w:t xml:space="preserve">340 samples, 2014–17. Coliform 27%,</w:t>
            </w:r>
            <w:r>
              <w:rPr>
                <w:b/>
                <w:bCs/>
              </w:rPr>
              <w:t xml:space="preserve"> </w:t>
            </w:r>
            <w:r>
              <w:rPr>
                <w:b/>
                <w:bCs/>
                <w:i/>
                <w:iCs/>
              </w:rPr>
              <w:t xml:space="preserve">E. coli</w:t>
            </w:r>
            <w:r>
              <w:rPr>
                <w:b/>
                <w:bCs/>
              </w:rPr>
              <w:t xml:space="preserve"> </w:t>
            </w:r>
            <w:r>
              <w:rPr>
                <w:b/>
                <w:bCs/>
              </w:rPr>
              <w:t xml:space="preserve">4%, nitrate over the limit in fewer than 5%.</w:t>
            </w:r>
            <w:r>
              <w:t xml:space="preserve"> </w:t>
            </w:r>
            <w:r>
              <w:t xml:space="preserve">Serious problems are the exception; bacteria are the common issue.</w:t>
            </w:r>
          </w:p>
        </w:tc>
      </w:tr>
      <w:tr>
        <w:tc>
          <w:tcPr/>
          <w:p>
            <w:pPr>
              <w:pStyle w:val="Compact"/>
            </w:pPr>
            <w:r>
              <w:rPr>
                <w:b/>
                <w:bCs/>
              </w:rPr>
              <w:t xml:space="preserve">Septic systems themselves</w:t>
            </w:r>
          </w:p>
        </w:tc>
        <w:tc>
          <w:tcPr/>
          <w:p>
            <w:pPr>
              <w:pStyle w:val="Compact"/>
            </w:pPr>
            <w:r>
              <w:t xml:space="preserve">VDH, partly</w:t>
            </w:r>
          </w:p>
        </w:tc>
        <w:tc>
          <w:tcPr/>
          <w:p>
            <w:pPr>
              <w:pStyle w:val="Compact"/>
            </w:pPr>
            <w:r>
              <w:rPr>
                <w:b/>
                <w:bCs/>
              </w:rPr>
              <w:t xml:space="preserve">Poorly, and VDH says so.</w:t>
            </w:r>
            <w:r>
              <w:t xml:space="preserve"> </w:t>
            </w:r>
            <w:r>
              <w:t xml:space="preserve">Its database holds records for only about</w:t>
            </w:r>
            <w:r>
              <w:t xml:space="preserve"> </w:t>
            </w:r>
            <w:r>
              <w:rPr>
                <w:b/>
                <w:bCs/>
              </w:rPr>
              <w:t xml:space="preserve">37%</w:t>
            </w:r>
            <w:r>
              <w:t xml:space="preserve"> </w:t>
            </w:r>
            <w:r>
              <w:t xml:space="preserve">of the Shore’s estimated systems. Only</w:t>
            </w:r>
            <w:r>
              <w:t xml:space="preserve"> </w:t>
            </w:r>
            <w:r>
              <w:rPr>
                <w:b/>
                <w:bCs/>
              </w:rPr>
              <w:t xml:space="preserve">436</w:t>
            </w:r>
            <w:r>
              <w:t xml:space="preserve"> </w:t>
            </w:r>
            <w:r>
              <w:t xml:space="preserve">pump-outs were reported on the Shore between July 2023 and September 2025. It handles about</w:t>
            </w:r>
            <w:r>
              <w:t xml:space="preserve"> </w:t>
            </w:r>
            <w:r>
              <w:rPr>
                <w:b/>
                <w:bCs/>
              </w:rPr>
              <w:t xml:space="preserve">90 repair permits a year</w:t>
            </w:r>
            <w:r>
              <w:t xml:space="preserve">. Shoreline surveys are visual.</w:t>
            </w:r>
            <w:r>
              <w:t xml:space="preserve"> </w:t>
            </w:r>
            <w:r>
              <w:rPr>
                <w:b/>
                <w:bCs/>
              </w:rPr>
              <w:t xml:space="preserve">This is the real blind spot, and it’s what VDH is asking for help with.</w:t>
            </w:r>
          </w:p>
        </w:tc>
      </w:tr>
      <w:tr>
        <w:tc>
          <w:tcPr/>
          <w:p>
            <w:pPr>
              <w:pStyle w:val="Compact"/>
            </w:pPr>
            <w:r>
              <w:rPr>
                <w:b/>
                <w:bCs/>
              </w:rPr>
              <w:t xml:space="preserve">Where creek nitrogen and bacteria come from</w:t>
            </w:r>
          </w:p>
        </w:tc>
        <w:tc>
          <w:tcPr/>
          <w:p>
            <w:pPr>
              <w:pStyle w:val="Compact"/>
            </w:pPr>
            <w:r>
              <w:t xml:space="preserve">Nobody, with current methods</w:t>
            </w:r>
          </w:p>
        </w:tc>
        <w:tc>
          <w:tcPr/>
          <w:p>
            <w:pPr>
              <w:pStyle w:val="Compact"/>
            </w:pPr>
            <w:r>
              <w:rPr>
                <w:b/>
                <w:bCs/>
              </w:rPr>
              <w:t xml:space="preserve">Unknown.</w:t>
            </w:r>
            <w:r>
              <w:t xml:space="preserve"> </w:t>
            </w:r>
            <w:r>
              <w:t xml:space="preserve">The only Shore source tracking (2006–08 TMDLs) used a method EPA called</w:t>
            </w:r>
            <w:r>
              <w:t xml:space="preserve"> </w:t>
            </w:r>
            <w:r>
              <w:t xml:space="preserve">“experimental.”</w:t>
            </w:r>
            <w:r>
              <w:t xml:space="preserve"> </w:t>
            </w:r>
            <w:r>
              <w:t xml:space="preserve">It attributed 24–60% of creek bacteria to</w:t>
            </w:r>
            <w:r>
              <w:t xml:space="preserve"> </w:t>
            </w:r>
            <w:r>
              <w:t xml:space="preserve">“human”</w:t>
            </w:r>
            <w:r>
              <w:t xml:space="preserve"> </w:t>
            </w:r>
            <w:r>
              <w:t xml:space="preserve">sources, a category that also includes boats and sewer lines. A 2017 model-based TMDL put human sources at ~1–2% and wildlife at 61–95%. Studies of Shore nitrogen point to fertilizer first. One UVA thesis on the seaside lagoons concluded</w:t>
            </w:r>
            <w:r>
              <w:t xml:space="preserve"> </w:t>
            </w:r>
            <w:r>
              <w:t xml:space="preserve">“human waste was a minor constituent.”</w:t>
            </w:r>
          </w:p>
        </w:tc>
      </w:tr>
    </w:tbl>
    <w:p>
      <w:pPr>
        <w:pStyle w:val="BodyText"/>
      </w:pPr>
      <w:r>
        <w:rPr>
          <w:b/>
          <w:bCs/>
        </w:rPr>
        <w:t xml:space="preserve">Reading it together:</w:t>
      </w:r>
    </w:p>
    <w:p>
      <w:pPr>
        <w:pStyle w:val="Compact"/>
        <w:numPr>
          <w:ilvl w:val="0"/>
          <w:numId w:val="1006"/>
        </w:numPr>
      </w:pPr>
      <w:r>
        <w:t xml:space="preserve">VDH’s statement about shellfish rests on intensive, real monitoring and should be taken at face value.</w:t>
      </w:r>
    </w:p>
    <w:p>
      <w:pPr>
        <w:pStyle w:val="Compact"/>
        <w:numPr>
          <w:ilvl w:val="0"/>
          <w:numId w:val="1006"/>
        </w:numPr>
      </w:pPr>
      <w:r>
        <w:t xml:space="preserve">Its statement about public health rests on surveillance that is weak for private wells. That is a reason to promote testing, not to suggest VDH is missing an epidemic. The well-clinic data agree that serious problems are uncommon.</w:t>
      </w:r>
    </w:p>
    <w:p>
      <w:pPr>
        <w:pStyle w:val="Compact"/>
        <w:numPr>
          <w:ilvl w:val="0"/>
          <w:numId w:val="1006"/>
        </w:numPr>
      </w:pPr>
      <w:r>
        <w:t xml:space="preserve">The genuinely unmeasured thing is the</w:t>
      </w:r>
      <w:r>
        <w:t xml:space="preserve"> </w:t>
      </w:r>
      <w:r>
        <w:rPr>
          <w:b/>
          <w:bCs/>
        </w:rPr>
        <w:t xml:space="preserve">septic systems themselves</w:t>
      </w:r>
      <w:r>
        <w:t xml:space="preserve">: where they are, whether they’re maintained, and how they’re aging as water tables rise. That is exactly what the pump-out program, and this project, are trying to fix. It is a much better story for us than</w:t>
      </w:r>
      <w:r>
        <w:t xml:space="preserve"> </w:t>
      </w:r>
      <w:r>
        <w:t xml:space="preserve">“septic is hurting the bay.”</w:t>
      </w:r>
    </w:p>
    <w:p>
      <w:r>
        <w:pict>
          <v:rect style="width:0;height:1.5pt" o:hralign="center" o:hrstd="t" o:hr="t"/>
        </w:pict>
      </w:r>
    </w:p>
    <w:bookmarkEnd w:id="10"/>
    <w:bookmarkStart w:id="17" w:name="what-to-say-the-core-messages"/>
    <w:p>
      <w:pPr>
        <w:pStyle w:val="Heading2"/>
      </w:pPr>
      <w:r>
        <w:t xml:space="preserve">2. What to say: the core messages</w:t>
      </w:r>
    </w:p>
    <w:p>
      <w:pPr>
        <w:pStyle w:val="FirstParagraph"/>
      </w:pPr>
      <w:r>
        <w:t xml:space="preserve">These map one-to-one onto what VDH asked for, and every supporting fact traces to a primary source (Appendix A).</w:t>
      </w:r>
    </w:p>
    <w:bookmarkStart w:id="11" w:name="a.-do-you-have-a-septic-system"/>
    <w:p>
      <w:pPr>
        <w:pStyle w:val="Heading3"/>
      </w:pPr>
      <w:r>
        <w:t xml:space="preserve">A.</w:t>
      </w:r>
      <w:r>
        <w:t xml:space="preserve"> </w:t>
      </w:r>
      <w:r>
        <w:t xml:space="preserve">“Do you have a septic system?”</w:t>
      </w:r>
    </w:p>
    <w:p>
      <w:pPr>
        <w:pStyle w:val="Compact"/>
        <w:numPr>
          <w:ilvl w:val="0"/>
          <w:numId w:val="1007"/>
        </w:numPr>
      </w:pPr>
      <w:r>
        <w:rPr>
          <w:b/>
          <w:bCs/>
        </w:rPr>
        <w:t xml:space="preserve">Most Shore homes do.</w:t>
      </w:r>
      <w:r>
        <w:t xml:space="preserve"> </w:t>
      </w:r>
      <w:r>
        <w:t xml:space="preserve">Public sewer exists in:</w:t>
      </w:r>
    </w:p>
    <w:p>
      <w:pPr>
        <w:pStyle w:val="Compact"/>
        <w:numPr>
          <w:ilvl w:val="1"/>
          <w:numId w:val="1008"/>
        </w:numPr>
      </w:pPr>
      <w:r>
        <w:t xml:space="preserve">Cape Charles (now Virginia American Water);</w:t>
      </w:r>
    </w:p>
    <w:p>
      <w:pPr>
        <w:pStyle w:val="Compact"/>
        <w:numPr>
          <w:ilvl w:val="1"/>
          <w:numId w:val="1008"/>
        </w:numPr>
      </w:pPr>
      <w:r>
        <w:t xml:space="preserve">Tangier;</w:t>
      </w:r>
    </w:p>
    <w:p>
      <w:pPr>
        <w:pStyle w:val="Compact"/>
        <w:numPr>
          <w:ilvl w:val="1"/>
          <w:numId w:val="1008"/>
        </w:numPr>
      </w:pPr>
      <w:r>
        <w:t xml:space="preserve">the parts of Nassawadox, Exmore, Keller, Onley, Onancock, Accomac and Wachapreague served by HRSD’s Route 13 line;</w:t>
      </w:r>
    </w:p>
    <w:p>
      <w:pPr>
        <w:pStyle w:val="Compact"/>
        <w:numPr>
          <w:ilvl w:val="1"/>
          <w:numId w:val="1008"/>
        </w:numPr>
      </w:pPr>
      <w:r>
        <w:t xml:space="preserve">a few developments.</w:t>
      </w:r>
    </w:p>
    <w:p>
      <w:pPr>
        <w:pStyle w:val="Compact"/>
        <w:numPr>
          <w:ilvl w:val="0"/>
          <w:numId w:val="1000"/>
        </w:numPr>
      </w:pPr>
      <w:r>
        <w:t xml:space="preserve">Chincoteague is mostly septic, with some cesspools.</w:t>
      </w:r>
    </w:p>
    <w:p>
      <w:pPr>
        <w:pStyle w:val="Compact"/>
        <w:numPr>
          <w:ilvl w:val="0"/>
          <w:numId w:val="1007"/>
        </w:numPr>
      </w:pPr>
      <w:r>
        <w:rPr>
          <w:b/>
          <w:bCs/>
        </w:rPr>
        <w:t xml:space="preserve">If you have a well or no sewer charge on your bill, you’re almost certainly on septic.</w:t>
      </w:r>
    </w:p>
    <w:p>
      <w:pPr>
        <w:pStyle w:val="Compact"/>
        <w:numPr>
          <w:ilvl w:val="0"/>
          <w:numId w:val="1007"/>
        </w:numPr>
      </w:pPr>
      <w:r>
        <w:rPr>
          <w:b/>
          <w:bCs/>
        </w:rPr>
        <w:t xml:space="preserve">The health district may have your permit and a drawing.</w:t>
      </w:r>
      <w:r>
        <w:t xml:space="preserve"> </w:t>
      </w:r>
      <w:r>
        <w:t xml:space="preserve">Many older systems have no record, so</w:t>
      </w:r>
      <w:r>
        <w:t xml:space="preserve"> </w:t>
      </w:r>
      <w:r>
        <w:t xml:space="preserve">“no record”</w:t>
      </w:r>
      <w:r>
        <w:t xml:space="preserve"> </w:t>
      </w:r>
      <w:r>
        <w:t xml:space="preserve">doesn’t mean</w:t>
      </w:r>
      <w:r>
        <w:t xml:space="preserve"> </w:t>
      </w:r>
      <w:r>
        <w:t xml:space="preserve">“no system.”</w:t>
      </w:r>
    </w:p>
    <w:p>
      <w:pPr>
        <w:pStyle w:val="Compact"/>
        <w:numPr>
          <w:ilvl w:val="0"/>
          <w:numId w:val="1007"/>
        </w:numPr>
      </w:pPr>
      <w:r>
        <w:rPr>
          <w:b/>
          <w:bCs/>
        </w:rPr>
        <w:t xml:space="preserve">Alternative systems carry extra obligations.</w:t>
      </w:r>
      <w:r>
        <w:t xml:space="preserve"> </w:t>
      </w:r>
      <w:r>
        <w:t xml:space="preserve">These are the systems with a control panel, alarm, pump or mound, and they need an annual operator inspection by law.</w:t>
      </w:r>
    </w:p>
    <w:bookmarkEnd w:id="11"/>
    <w:bookmarkStart w:id="12" w:name="Xbfd2a217a3e4a3ba3ff4b9262ec393e1b8cb22b"/>
    <w:p>
      <w:pPr>
        <w:pStyle w:val="Heading3"/>
      </w:pPr>
      <w:r>
        <w:t xml:space="preserve">B.</w:t>
      </w:r>
      <w:r>
        <w:t xml:space="preserve"> </w:t>
      </w:r>
      <w:r>
        <w:t xml:space="preserve">“Pumping pays.”</w:t>
      </w:r>
      <w:r>
        <w:t xml:space="preserve"> </w:t>
      </w:r>
      <w:r>
        <w:t xml:space="preserve">Financial self-interest, the strongest honest motivator</w:t>
      </w:r>
    </w:p>
    <w:p>
      <w:pPr>
        <w:pStyle w:val="Compact"/>
        <w:numPr>
          <w:ilvl w:val="0"/>
          <w:numId w:val="1009"/>
        </w:numPr>
      </w:pPr>
      <w:r>
        <w:rPr>
          <w:b/>
          <w:bCs/>
        </w:rPr>
        <w:t xml:space="preserve">What VDH says:</w:t>
      </w:r>
      <w:r>
        <w:t xml:space="preserve"> </w:t>
      </w:r>
      <w:r>
        <w:t xml:space="preserve">unpumped solids and grease reaching the drainfield</w:t>
      </w:r>
      <w:r>
        <w:t xml:space="preserve"> </w:t>
      </w:r>
      <w:r>
        <w:t xml:space="preserve">“can cause the absorption area to fail.”</w:t>
      </w:r>
    </w:p>
    <w:p>
      <w:pPr>
        <w:pStyle w:val="Compact"/>
        <w:numPr>
          <w:ilvl w:val="0"/>
          <w:numId w:val="1009"/>
        </w:numPr>
      </w:pPr>
      <w:r>
        <w:rPr>
          <w:b/>
          <w:bCs/>
        </w:rPr>
        <w:t xml:space="preserve">What it costs (VDH figures):</w:t>
      </w:r>
    </w:p>
    <w:p>
      <w:pPr>
        <w:pStyle w:val="Compact"/>
        <w:numPr>
          <w:ilvl w:val="1"/>
          <w:numId w:val="1010"/>
        </w:numPr>
      </w:pPr>
      <w:r>
        <w:t xml:space="preserve">routine pump-out: about</w:t>
      </w:r>
      <w:r>
        <w:t xml:space="preserve"> </w:t>
      </w:r>
      <w:r>
        <w:rPr>
          <w:b/>
          <w:bCs/>
        </w:rPr>
        <w:t xml:space="preserve">$430</w:t>
      </w:r>
      <w:r>
        <w:t xml:space="preserve"> </w:t>
      </w:r>
      <w:r>
        <w:t xml:space="preserve">on average, and higher on the Shore because septage is trucked to Maryland;</w:t>
      </w:r>
    </w:p>
    <w:p>
      <w:pPr>
        <w:pStyle w:val="Compact"/>
        <w:numPr>
          <w:ilvl w:val="1"/>
          <w:numId w:val="1010"/>
        </w:numPr>
      </w:pPr>
      <w:r>
        <w:t xml:space="preserve">failed conventional system: about</w:t>
      </w:r>
      <w:r>
        <w:t xml:space="preserve"> </w:t>
      </w:r>
      <w:r>
        <w:rPr>
          <w:b/>
          <w:bCs/>
        </w:rPr>
        <w:t xml:space="preserve">$19,650</w:t>
      </w:r>
      <w:r>
        <w:t xml:space="preserve">;</w:t>
      </w:r>
    </w:p>
    <w:p>
      <w:pPr>
        <w:pStyle w:val="Compact"/>
        <w:numPr>
          <w:ilvl w:val="1"/>
          <w:numId w:val="1010"/>
        </w:numPr>
      </w:pPr>
      <w:r>
        <w:t xml:space="preserve">alternative system: about</w:t>
      </w:r>
      <w:r>
        <w:t xml:space="preserve"> </w:t>
      </w:r>
      <w:r>
        <w:rPr>
          <w:b/>
          <w:bCs/>
        </w:rPr>
        <w:t xml:space="preserve">$34,800</w:t>
      </w:r>
      <w:r>
        <w:t xml:space="preserve">.</w:t>
      </w:r>
    </w:p>
    <w:p>
      <w:pPr>
        <w:pStyle w:val="Compact"/>
        <w:numPr>
          <w:ilvl w:val="0"/>
          <w:numId w:val="1009"/>
        </w:numPr>
      </w:pPr>
      <w:r>
        <w:rPr>
          <w:b/>
          <w:bCs/>
        </w:rPr>
        <w:t xml:space="preserve">When it comes up anyway:</w:t>
      </w:r>
    </w:p>
    <w:p>
      <w:pPr>
        <w:pStyle w:val="Compact"/>
        <w:numPr>
          <w:ilvl w:val="1"/>
          <w:numId w:val="1011"/>
        </w:numPr>
      </w:pPr>
      <w:r>
        <w:t xml:space="preserve">The health district asks for</w:t>
      </w:r>
      <w:r>
        <w:t xml:space="preserve"> </w:t>
      </w:r>
      <w:r>
        <w:rPr>
          <w:b/>
          <w:bCs/>
        </w:rPr>
        <w:t xml:space="preserve">pump-out documentation for building permits.</w:t>
      </w:r>
    </w:p>
    <w:p>
      <w:pPr>
        <w:pStyle w:val="Compact"/>
        <w:numPr>
          <w:ilvl w:val="1"/>
          <w:numId w:val="1011"/>
        </w:numPr>
      </w:pPr>
      <w:r>
        <w:t xml:space="preserve">A documented system makes a</w:t>
      </w:r>
      <w:r>
        <w:t xml:space="preserve"> </w:t>
      </w:r>
      <w:r>
        <w:rPr>
          <w:b/>
          <w:bCs/>
        </w:rPr>
        <w:t xml:space="preserve">sale</w:t>
      </w:r>
      <w:r>
        <w:t xml:space="preserve"> </w:t>
      </w:r>
      <w:r>
        <w:t xml:space="preserve">easier.</w:t>
      </w:r>
    </w:p>
    <w:p>
      <w:pPr>
        <w:pStyle w:val="Compact"/>
        <w:numPr>
          <w:ilvl w:val="0"/>
          <w:numId w:val="1009"/>
        </w:numPr>
      </w:pPr>
      <w:r>
        <w:rPr>
          <w:b/>
          <w:bCs/>
        </w:rPr>
        <w:t xml:space="preserve">The honest caveat (include it, because it builds trust):</w:t>
      </w:r>
      <w:r>
        <w:t xml:space="preserve"> </w:t>
      </w:r>
      <w:r>
        <w:t xml:space="preserve">pumping won’t fix a drainfield sitting in high groundwater. It prevents the most common</w:t>
      </w:r>
      <w:r>
        <w:t xml:space="preserve"> </w:t>
      </w:r>
      <w:r>
        <w:rPr>
          <w:i/>
          <w:iCs/>
        </w:rPr>
        <w:t xml:space="preserve">avoidable</w:t>
      </w:r>
      <w:r>
        <w:t xml:space="preserve"> </w:t>
      </w:r>
      <w:r>
        <w:t xml:space="preserve">failure.</w:t>
      </w:r>
    </w:p>
    <w:bookmarkEnd w:id="12"/>
    <w:bookmarkStart w:id="13" w:name="Xd0d234367399c627c1388b122a8f16a64b9b862"/>
    <w:p>
      <w:pPr>
        <w:pStyle w:val="Heading3"/>
      </w:pPr>
      <w:r>
        <w:t xml:space="preserve">C.</w:t>
      </w:r>
      <w:r>
        <w:t xml:space="preserve"> </w:t>
      </w:r>
      <w:r>
        <w:t xml:space="preserve">“It’s also the law, and VDH would rather remind than fine”</w:t>
      </w:r>
    </w:p>
    <w:p>
      <w:pPr>
        <w:pStyle w:val="Compact"/>
        <w:numPr>
          <w:ilvl w:val="0"/>
          <w:numId w:val="1012"/>
        </w:numPr>
      </w:pPr>
      <w:r>
        <w:rPr>
          <w:b/>
          <w:bCs/>
        </w:rPr>
        <w:t xml:space="preserve">The requirement:</w:t>
      </w:r>
      <w:r>
        <w:t xml:space="preserve"> </w:t>
      </w:r>
      <w:r>
        <w:t xml:space="preserve">under state law, septic tanks in Chesapeake Bay Preservation Areas must be pumped (or inspected and certified)</w:t>
      </w:r>
      <w:r>
        <w:t xml:space="preserve"> </w:t>
      </w:r>
      <w:r>
        <w:rPr>
          <w:b/>
          <w:bCs/>
        </w:rPr>
        <w:t xml:space="preserve">at least every five years</w:t>
      </w:r>
      <w:r>
        <w:t xml:space="preserve">. VDH has enforced this on the Shore since</w:t>
      </w:r>
      <w:r>
        <w:t xml:space="preserve"> </w:t>
      </w:r>
      <w:r>
        <w:rPr>
          <w:b/>
          <w:bCs/>
        </w:rPr>
        <w:t xml:space="preserve">July 1, 2023</w:t>
      </w:r>
      <w:r>
        <w:t xml:space="preserve">.</w:t>
      </w:r>
    </w:p>
    <w:p>
      <w:pPr>
        <w:pStyle w:val="Compact"/>
        <w:numPr>
          <w:ilvl w:val="0"/>
          <w:numId w:val="1012"/>
        </w:numPr>
      </w:pPr>
      <w:r>
        <w:rPr>
          <w:b/>
          <w:bCs/>
        </w:rPr>
        <w:t xml:space="preserve">The letters:</w:t>
      </w:r>
      <w:r>
        <w:t xml:space="preserve"> </w:t>
      </w:r>
      <w:r>
        <w:t xml:space="preserve">VDH began mailing reminders in 2024. About</w:t>
      </w:r>
      <w:r>
        <w:t xml:space="preserve"> </w:t>
      </w:r>
      <w:r>
        <w:rPr>
          <w:b/>
          <w:bCs/>
        </w:rPr>
        <w:t xml:space="preserve">one in four</w:t>
      </w:r>
      <w:r>
        <w:t xml:space="preserve"> </w:t>
      </w:r>
      <w:r>
        <w:t xml:space="preserve">of the first ~2,000 Northampton letters got a response.</w:t>
      </w:r>
      <w:r>
        <w:t xml:space="preserve"> </w:t>
      </w:r>
      <w:r>
        <w:rPr>
          <w:i/>
          <w:iCs/>
        </w:rPr>
        <w:t xml:space="preserve">The letter is a reminder, not a fine.</w:t>
      </w:r>
    </w:p>
    <w:p>
      <w:pPr>
        <w:pStyle w:val="Compact"/>
        <w:numPr>
          <w:ilvl w:val="0"/>
          <w:numId w:val="1012"/>
        </w:numPr>
      </w:pPr>
      <w:r>
        <w:rPr>
          <w:b/>
          <w:bCs/>
        </w:rPr>
        <w:t xml:space="preserve">Two practical asks:</w:t>
      </w:r>
    </w:p>
    <w:p>
      <w:pPr>
        <w:pStyle w:val="Compact"/>
        <w:numPr>
          <w:ilvl w:val="1"/>
          <w:numId w:val="1013"/>
        </w:numPr>
      </w:pPr>
      <w:r>
        <w:t xml:space="preserve">ask the hauler to report the pump-out to VDH (they often don’t unless asked);</w:t>
      </w:r>
    </w:p>
    <w:p>
      <w:pPr>
        <w:pStyle w:val="Compact"/>
        <w:numPr>
          <w:ilvl w:val="1"/>
          <w:numId w:val="1013"/>
        </w:numPr>
      </w:pPr>
      <w:r>
        <w:t xml:space="preserve">keep the receipt.</w:t>
      </w:r>
    </w:p>
    <w:p>
      <w:pPr>
        <w:pStyle w:val="Compact"/>
        <w:numPr>
          <w:ilvl w:val="0"/>
          <w:numId w:val="1012"/>
        </w:numPr>
      </w:pPr>
      <w:r>
        <w:rPr>
          <w:b/>
          <w:bCs/>
        </w:rPr>
        <w:t xml:space="preserve">Other rules owners should know:</w:t>
      </w:r>
    </w:p>
    <w:p>
      <w:pPr>
        <w:pStyle w:val="Compact"/>
        <w:numPr>
          <w:ilvl w:val="1"/>
          <w:numId w:val="1014"/>
        </w:numPr>
      </w:pPr>
      <w:r>
        <w:t xml:space="preserve">Sewage on the ground or in a ditch is a violation.</w:t>
      </w:r>
    </w:p>
    <w:p>
      <w:pPr>
        <w:pStyle w:val="Compact"/>
        <w:numPr>
          <w:ilvl w:val="1"/>
          <w:numId w:val="1014"/>
        </w:numPr>
      </w:pPr>
      <w:r>
        <w:t xml:space="preserve">Repairs need a VDH permit, and</w:t>
      </w:r>
      <w:r>
        <w:t xml:space="preserve"> </w:t>
      </w:r>
      <w:r>
        <w:rPr>
          <w:b/>
          <w:bCs/>
        </w:rPr>
        <w:t xml:space="preserve">the permit fee is waived</w:t>
      </w:r>
      <w:r>
        <w:t xml:space="preserve"> </w:t>
      </w:r>
      <w:r>
        <w:t xml:space="preserve">for failing systems.</w:t>
      </w:r>
    </w:p>
    <w:p>
      <w:pPr>
        <w:pStyle w:val="Compact"/>
        <w:numPr>
          <w:ilvl w:val="1"/>
          <w:numId w:val="1014"/>
        </w:numPr>
      </w:pPr>
      <w:r>
        <w:t xml:space="preserve">Low-income owners can get a</w:t>
      </w:r>
      <w:r>
        <w:t xml:space="preserve"> </w:t>
      </w:r>
      <w:r>
        <w:rPr>
          <w:b/>
          <w:bCs/>
        </w:rPr>
        <w:t xml:space="preserve">free system design.</w:t>
      </w:r>
    </w:p>
    <w:p>
      <w:pPr>
        <w:pStyle w:val="Compact"/>
        <w:numPr>
          <w:ilvl w:val="0"/>
          <w:numId w:val="1012"/>
        </w:numPr>
      </w:pPr>
      <w:r>
        <w:rPr>
          <w:b/>
          <w:bCs/>
        </w:rPr>
        <w:t xml:space="preserve">Why the rule exists:</w:t>
      </w:r>
      <w:r>
        <w:t xml:space="preserve"> </w:t>
      </w:r>
      <w:r>
        <w:t xml:space="preserve">Virginia counts pump-outs toward its Chesapeake Bay cleanup. That is one honest ecological sentence.</w:t>
      </w:r>
    </w:p>
    <w:bookmarkEnd w:id="13"/>
    <w:bookmarkStart w:id="14" w:name="d.-test-your-well.-the-health-message"/>
    <w:p>
      <w:pPr>
        <w:pStyle w:val="Heading3"/>
      </w:pPr>
      <w:r>
        <w:t xml:space="preserve">D.</w:t>
      </w:r>
      <w:r>
        <w:t xml:space="preserve"> </w:t>
      </w:r>
      <w:r>
        <w:t xml:space="preserve">“Test your well.”</w:t>
      </w:r>
      <w:r>
        <w:t xml:space="preserve"> </w:t>
      </w:r>
      <w:r>
        <w:t xml:space="preserve">The health message</w:t>
      </w:r>
    </w:p>
    <w:p>
      <w:pPr>
        <w:pStyle w:val="Compact"/>
        <w:numPr>
          <w:ilvl w:val="0"/>
          <w:numId w:val="1015"/>
        </w:numPr>
      </w:pPr>
      <w:r>
        <w:rPr>
          <w:b/>
          <w:bCs/>
        </w:rPr>
        <w:t xml:space="preserve">Nobody else tests your well.</w:t>
      </w:r>
      <w:r>
        <w:t xml:space="preserve"> </w:t>
      </w:r>
      <w:r>
        <w:t xml:space="preserve">Virginia doesn’t require it, and the federal law doesn’t apply to private wells.</w:t>
      </w:r>
    </w:p>
    <w:p>
      <w:pPr>
        <w:pStyle w:val="Compact"/>
        <w:numPr>
          <w:ilvl w:val="0"/>
          <w:numId w:val="1015"/>
        </w:numPr>
      </w:pPr>
      <w:r>
        <w:rPr>
          <w:b/>
          <w:bCs/>
        </w:rPr>
        <w:t xml:space="preserve">What Shore clinics found:</w:t>
      </w:r>
      <w:r>
        <w:t xml:space="preserve"> </w:t>
      </w:r>
      <w:r>
        <w:t xml:space="preserve">about</w:t>
      </w:r>
      <w:r>
        <w:t xml:space="preserve"> </w:t>
      </w:r>
      <w:r>
        <w:rPr>
          <w:b/>
          <w:bCs/>
        </w:rPr>
        <w:t xml:space="preserve">one sample in four</w:t>
      </w:r>
      <w:r>
        <w:t xml:space="preserve"> </w:t>
      </w:r>
      <w:r>
        <w:t xml:space="preserve">had coliform bacteria, a sign surface water may be getting in.</w:t>
      </w:r>
      <w:r>
        <w:t xml:space="preserve"> </w:t>
      </w:r>
      <w:r>
        <w:rPr>
          <w:b/>
          <w:bCs/>
        </w:rPr>
        <w:t xml:space="preserve">4%</w:t>
      </w:r>
      <w:r>
        <w:t xml:space="preserve"> </w:t>
      </w:r>
      <w:r>
        <w:t xml:space="preserve">had</w:t>
      </w:r>
      <w:r>
        <w:t xml:space="preserve"> </w:t>
      </w:r>
      <w:r>
        <w:rPr>
          <w:i/>
          <w:iCs/>
        </w:rPr>
        <w:t xml:space="preserve">E. coli</w:t>
      </w:r>
      <w:r>
        <w:t xml:space="preserve">.</w:t>
      </w:r>
      <w:r>
        <w:t xml:space="preserve"> </w:t>
      </w:r>
      <w:r>
        <w:rPr>
          <w:b/>
          <w:bCs/>
        </w:rPr>
        <w:t xml:space="preserve">Nitrate over the limit was uncommon.</w:t>
      </w:r>
    </w:p>
    <w:p>
      <w:pPr>
        <w:pStyle w:val="Compact"/>
        <w:numPr>
          <w:ilvl w:val="0"/>
          <w:numId w:val="1015"/>
        </w:numPr>
      </w:pPr>
      <w:r>
        <w:rPr>
          <w:b/>
          <w:bCs/>
        </w:rPr>
        <w:t xml:space="preserve">Most Shore wells are deep and well protected.</w:t>
      </w:r>
      <w:r>
        <w:t xml:space="preserve"> </w:t>
      </w:r>
      <w:r>
        <w:t xml:space="preserve">The weak points are the well itself (cap, casing, seal) and what’s near it,</w:t>
      </w:r>
      <w:r>
        <w:t xml:space="preserve"> </w:t>
      </w:r>
      <w:r>
        <w:rPr>
          <w:b/>
          <w:bCs/>
        </w:rPr>
        <w:t xml:space="preserve">including the septic system.</w:t>
      </w:r>
      <w:r>
        <w:t xml:space="preserve"> </w:t>
      </w:r>
      <w:r>
        <w:t xml:space="preserve">Required setbacks are 50 ft from a well to a tank, and 50–100 ft to a drainfield.</w:t>
      </w:r>
    </w:p>
    <w:p>
      <w:pPr>
        <w:pStyle w:val="Compact"/>
        <w:numPr>
          <w:ilvl w:val="0"/>
          <w:numId w:val="1015"/>
        </w:numPr>
      </w:pPr>
      <w:r>
        <w:rPr>
          <w:b/>
          <w:bCs/>
        </w:rPr>
        <w:t xml:space="preserve">When to test:</w:t>
      </w:r>
      <w:r>
        <w:t xml:space="preserve"> </w:t>
      </w:r>
      <w:r>
        <w:t xml:space="preserve">every year for bacteria and nitrate;</w:t>
      </w:r>
      <w:r>
        <w:t xml:space="preserve"> </w:t>
      </w:r>
      <w:r>
        <w:rPr>
          <w:b/>
          <w:bCs/>
        </w:rPr>
        <w:t xml:space="preserve">after a flood</w:t>
      </w:r>
      <w:r>
        <w:t xml:space="preserve"> </w:t>
      </w:r>
      <w:r>
        <w:t xml:space="preserve">(VDH: assume a submerged well is contaminated);</w:t>
      </w:r>
      <w:r>
        <w:t xml:space="preserve"> </w:t>
      </w:r>
      <w:r>
        <w:rPr>
          <w:b/>
          <w:bCs/>
        </w:rPr>
        <w:t xml:space="preserve">before a baby comes home.</w:t>
      </w:r>
    </w:p>
    <w:p>
      <w:pPr>
        <w:pStyle w:val="Compact"/>
        <w:numPr>
          <w:ilvl w:val="0"/>
          <w:numId w:val="1015"/>
        </w:numPr>
      </w:pPr>
      <w:r>
        <w:rPr>
          <w:b/>
          <w:bCs/>
        </w:rPr>
        <w:t xml:space="preserve">Infants:</w:t>
      </w:r>
      <w:r>
        <w:t xml:space="preserve"> </w:t>
      </w:r>
      <w:r>
        <w:t xml:space="preserve">nitrate in formula is the one well-established infant risk.</w:t>
      </w:r>
      <w:r>
        <w:t xml:space="preserve"> </w:t>
      </w:r>
      <w:r>
        <w:rPr>
          <w:b/>
          <w:bCs/>
        </w:rPr>
        <w:t xml:space="preserve">Boiling concentrates nitrate.</w:t>
      </w:r>
      <w:r>
        <w:t xml:space="preserve"> </w:t>
      </w:r>
      <w:r>
        <w:t xml:space="preserve">Breastfed babies aren’t at risk.</w:t>
      </w:r>
    </w:p>
    <w:bookmarkEnd w:id="14"/>
    <w:bookmarkStart w:id="15" w:name="e.-who-to-call"/>
    <w:p>
      <w:pPr>
        <w:pStyle w:val="Heading3"/>
      </w:pPr>
      <w:r>
        <w:t xml:space="preserve">E.</w:t>
      </w:r>
      <w:r>
        <w:t xml:space="preserve"> </w:t>
      </w:r>
      <w:r>
        <w:t xml:space="preserve">“Who to call”</w:t>
      </w:r>
    </w:p>
    <w:p>
      <w:pPr>
        <w:pStyle w:val="Compact"/>
        <w:numPr>
          <w:ilvl w:val="0"/>
          <w:numId w:val="1016"/>
        </w:numPr>
      </w:pPr>
      <w:r>
        <w:rPr>
          <w:b/>
          <w:bCs/>
        </w:rPr>
        <w:t xml:space="preserve">Septic records, requirements, failing systems, well questions:</w:t>
      </w:r>
      <w:r>
        <w:t xml:space="preserve"> </w:t>
      </w:r>
      <w:r>
        <w:t xml:space="preserve">Eastern Shore Health District, Environmental Health,</w:t>
      </w:r>
      <w:r>
        <w:t xml:space="preserve"> </w:t>
      </w:r>
      <w:r>
        <w:rPr>
          <w:b/>
          <w:bCs/>
        </w:rPr>
        <w:t xml:space="preserve">(757) 787-5886</w:t>
      </w:r>
      <w:r>
        <w:t xml:space="preserve">.</w:t>
      </w:r>
    </w:p>
    <w:p>
      <w:pPr>
        <w:pStyle w:val="Compact"/>
        <w:numPr>
          <w:ilvl w:val="0"/>
          <w:numId w:val="1016"/>
        </w:numPr>
      </w:pPr>
      <w:r>
        <w:rPr>
          <w:b/>
          <w:bCs/>
        </w:rPr>
        <w:t xml:space="preserve">Help paying:</w:t>
      </w:r>
      <w:r>
        <w:t xml:space="preserve"> </w:t>
      </w:r>
      <w:r>
        <w:t xml:space="preserve">A-NPDC,</w:t>
      </w:r>
      <w:r>
        <w:t xml:space="preserve"> </w:t>
      </w:r>
      <w:r>
        <w:rPr>
          <w:b/>
          <w:bCs/>
        </w:rPr>
        <w:t xml:space="preserve">(757) 787-2936</w:t>
      </w:r>
      <w:r>
        <w:t xml:space="preserve">. The last DEQ round closed in August 2025 and was Bayside only, so the message is</w:t>
      </w:r>
      <w:r>
        <w:t xml:space="preserve"> </w:t>
      </w:r>
      <w:r>
        <w:t xml:space="preserve">“call to get on the list.”</w:t>
      </w:r>
    </w:p>
    <w:p>
      <w:pPr>
        <w:pStyle w:val="Compact"/>
        <w:numPr>
          <w:ilvl w:val="0"/>
          <w:numId w:val="1016"/>
        </w:numPr>
      </w:pPr>
      <w:r>
        <w:rPr>
          <w:b/>
          <w:bCs/>
        </w:rPr>
        <w:t xml:space="preserve">Well testing:</w:t>
      </w:r>
      <w:r>
        <w:t xml:space="preserve"> </w:t>
      </w:r>
      <w:r>
        <w:t xml:space="preserve">Extension, Accomack (757) 787-1361 and Northampton (757) 678-7946. Kits are $70; the annual clinic was August 11, 2026.</w:t>
      </w:r>
    </w:p>
    <w:bookmarkEnd w:id="15"/>
    <w:bookmarkStart w:id="16" w:name="ready-to-use-sentences"/>
    <w:p>
      <w:pPr>
        <w:pStyle w:val="Heading3"/>
      </w:pPr>
      <w:r>
        <w:t xml:space="preserve">Ready-to-use sentences</w:t>
      </w:r>
    </w:p>
    <w:p>
      <w:pPr>
        <w:pStyle w:val="Compact"/>
        <w:numPr>
          <w:ilvl w:val="0"/>
          <w:numId w:val="1017"/>
        </w:numPr>
      </w:pPr>
      <w:r>
        <w:t xml:space="preserve">“If you don’t pay a sewer bill, there’s a small wastewater treatment plant buried in your yard.”</w:t>
      </w:r>
    </w:p>
    <w:p>
      <w:pPr>
        <w:pStyle w:val="Compact"/>
        <w:numPr>
          <w:ilvl w:val="0"/>
          <w:numId w:val="1017"/>
        </w:numPr>
      </w:pPr>
      <w:r>
        <w:t xml:space="preserve">“A pump-out every three to five years is the cheapest insurance you can buy for one of the most expensive parts of your house.”</w:t>
      </w:r>
    </w:p>
    <w:p>
      <w:pPr>
        <w:pStyle w:val="Compact"/>
        <w:numPr>
          <w:ilvl w:val="0"/>
          <w:numId w:val="1017"/>
        </w:numPr>
      </w:pPr>
      <w:r>
        <w:t xml:space="preserve">“That letter from the Health Department wasn’t a fine. It was a reminder.”</w:t>
      </w:r>
    </w:p>
    <w:p>
      <w:pPr>
        <w:pStyle w:val="Compact"/>
        <w:numPr>
          <w:ilvl w:val="0"/>
          <w:numId w:val="1017"/>
        </w:numPr>
      </w:pPr>
      <w:r>
        <w:t xml:space="preserve">“Nobody tests your well but you.”</w:t>
      </w:r>
    </w:p>
    <w:p>
      <w:pPr>
        <w:pStyle w:val="Compact"/>
        <w:numPr>
          <w:ilvl w:val="0"/>
          <w:numId w:val="1017"/>
        </w:numPr>
      </w:pPr>
      <w:r>
        <w:t xml:space="preserve">“Boiling kills bacteria. It does not remove nitrate; it concentrates it.”</w:t>
      </w:r>
    </w:p>
    <w:p>
      <w:pPr>
        <w:pStyle w:val="Compact"/>
        <w:numPr>
          <w:ilvl w:val="0"/>
          <w:numId w:val="1017"/>
        </w:numPr>
      </w:pPr>
      <w:r>
        <w:t xml:space="preserve">“The Shore’s shellfish waters are tested at hundreds of stations several times a year, and the great majority are open for harvest. Keeping septic systems working is one of the ordinary ways we keep it that way.”</w:t>
      </w:r>
    </w:p>
    <w:p>
      <w:r>
        <w:pict>
          <v:rect style="width:0;height:1.5pt" o:hralign="center" o:hrstd="t" o:hr="t"/>
        </w:pict>
      </w:r>
    </w:p>
    <w:bookmarkEnd w:id="16"/>
    <w:bookmarkEnd w:id="17"/>
    <w:bookmarkStart w:id="18" w:name="what-to-stop-saying"/>
    <w:p>
      <w:pPr>
        <w:pStyle w:val="Heading2"/>
      </w:pPr>
      <w:r>
        <w:t xml:space="preserve">3. What to stop saying</w:t>
      </w:r>
    </w:p>
    <w:p>
      <w:pPr>
        <w:pStyle w:val="FirstParagraph"/>
      </w:pPr>
      <w:r>
        <w:t xml:space="preserve">Claims that have appeared in project drafts, articles, the poster, or</w:t>
      </w:r>
      <w:r>
        <w:t xml:space="preserve"> </w:t>
      </w:r>
      <w:r>
        <w:rPr>
          <w:rStyle w:val="VerbatimChar"/>
        </w:rPr>
        <w:t xml:space="preserve">WHY_THIS_MATTERS.md</w:t>
      </w:r>
      <w:r>
        <w:t xml:space="preserve"> </w:t>
      </w:r>
      <w:r>
        <w:t xml:space="preserve">(on the</w:t>
      </w:r>
      <w:r>
        <w:t xml:space="preserve"> </w:t>
      </w:r>
      <w:r>
        <w:rPr>
          <w:rStyle w:val="VerbatimChar"/>
        </w:rPr>
        <w:t xml:space="preserve">claude/summarize-project-files-9UwoB</w:t>
      </w:r>
      <w:r>
        <w:t xml:space="preserve"> </w:t>
      </w:r>
      <w:r>
        <w:t xml:space="preserve">branch):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Claim</w:t>
            </w:r>
          </w:p>
        </w:tc>
        <w:tc>
          <w:tcPr/>
          <w:p>
            <w:pPr>
              <w:pStyle w:val="Compact"/>
            </w:pPr>
            <w:r>
              <w:t xml:space="preserve">What’s actually true</w:t>
            </w:r>
          </w:p>
        </w:tc>
        <w:tc>
          <w:tcPr/>
          <w:p>
            <w:pPr>
              <w:pStyle w:val="Compact"/>
            </w:pPr>
            <w:r>
              <w:t xml:space="preserve">Use instead</w:t>
            </w:r>
          </w:p>
        </w:tc>
      </w:tr>
      <w:tr>
        <w:tc>
          <w:tcPr/>
          <w:p>
            <w:pPr>
              <w:pStyle w:val="Compact"/>
            </w:pPr>
            <w:r>
              <w:t xml:space="preserve">1</w:t>
            </w:r>
          </w:p>
        </w:tc>
        <w:tc>
          <w:tcPr/>
          <w:p>
            <w:pPr>
              <w:pStyle w:val="Compact"/>
            </w:pPr>
            <w:r>
              <w:t xml:space="preserve">“43% of tested Shore wells are contaminated”</w:t>
            </w:r>
          </w:p>
        </w:tc>
        <w:tc>
          <w:tcPr/>
          <w:p>
            <w:pPr>
              <w:pStyle w:val="Compact"/>
            </w:pPr>
            <w:r>
              <w:t xml:space="preserve">43% of 2014–17 Shore clinic samples exceeded EPA’s</w:t>
            </w:r>
            <w:r>
              <w:t xml:space="preserve"> </w:t>
            </w:r>
            <w:r>
              <w:rPr>
                <w:b/>
                <w:bCs/>
              </w:rPr>
              <w:t xml:space="preserve">sodium</w:t>
            </w:r>
            <w:r>
              <w:t xml:space="preserve"> </w:t>
            </w:r>
            <w:r>
              <w:t xml:space="preserve">guidance (20 mg/L; sodium comes from sediments and softeners). Coliform 27%,</w:t>
            </w:r>
            <w:r>
              <w:t xml:space="preserve"> </w:t>
            </w:r>
            <w:r>
              <w:rPr>
                <w:i/>
                <w:iCs/>
              </w:rPr>
              <w:t xml:space="preserve">E. coli</w:t>
            </w:r>
            <w:r>
              <w:t xml:space="preserve"> </w:t>
            </w:r>
            <w:r>
              <w:t xml:space="preserve">4%, nitrate &lt;5%. (Mitchell et al. 2021 also quotes a 43% figure, for well salinity.)</w:t>
            </w:r>
          </w:p>
        </w:tc>
        <w:tc>
          <w:tcPr/>
          <w:p>
            <w:pPr>
              <w:pStyle w:val="Compact"/>
            </w:pPr>
            <w:r>
              <w:t xml:space="preserve">“About one in four Shore well samples tested positive for coliform bacteria”</w:t>
            </w:r>
          </w:p>
        </w:tc>
      </w:tr>
      <w:tr>
        <w:tc>
          <w:tcPr/>
          <w:p>
            <w:pPr>
              <w:pStyle w:val="Compact"/>
            </w:pPr>
            <w:r>
              <w:t xml:space="preserve">2</w:t>
            </w:r>
          </w:p>
        </w:tc>
        <w:tc>
          <w:tcPr/>
          <w:p>
            <w:pPr>
              <w:pStyle w:val="Compact"/>
            </w:pPr>
            <w:r>
              <w:t xml:space="preserve">“Your well draws from the same shallow aquifer your septic drains into”</w:t>
            </w:r>
          </w:p>
        </w:tc>
        <w:tc>
          <w:tcPr/>
          <w:p>
            <w:pPr>
              <w:pStyle w:val="Compact"/>
            </w:pPr>
            <w:r>
              <w:t xml:space="preserve">Most Shore household wells are deep (median ~160–190 ft) in confined aquifers. The sole-source designation covers both the shallow and deep aquifers.</w:t>
            </w:r>
          </w:p>
        </w:tc>
        <w:tc>
          <w:tcPr/>
          <w:p>
            <w:pPr>
              <w:pStyle w:val="Compact"/>
            </w:pPr>
            <w:r>
              <w:t xml:space="preserve">“All the Shore’s drinking water comes from the ground beneath it. Deep wells are well protected; the weak points are the well and what’s near it.”</w:t>
            </w:r>
          </w:p>
        </w:tc>
      </w:tr>
      <w:tr>
        <w:tc>
          <w:tcPr/>
          <w:p>
            <w:pPr>
              <w:pStyle w:val="Compact"/>
            </w:pPr>
            <w:r>
              <w:t xml:space="preserve">3</w:t>
            </w:r>
          </w:p>
        </w:tc>
        <w:tc>
          <w:tcPr/>
          <w:p>
            <w:pPr>
              <w:pStyle w:val="Compact"/>
            </w:pPr>
            <w:r>
              <w:t xml:space="preserve">Shore septic density tracks creek nitrogen, bacteria, closures and seagrass health</w:t>
            </w:r>
          </w:p>
        </w:tc>
        <w:tc>
          <w:tcPr/>
          <w:p>
            <w:pPr>
              <w:pStyle w:val="Compact"/>
            </w:pPr>
            <w:r>
              <w:t xml:space="preserve">No Shore study shows it. Mitchell et al. found one septic/water-quality overlap in all of Tidewater and urged</w:t>
            </w:r>
            <w:r>
              <w:t xml:space="preserve"> </w:t>
            </w:r>
            <w:r>
              <w:t xml:space="preserve">“extreme caution.”</w:t>
            </w:r>
            <w:r>
              <w:t xml:space="preserve"> </w:t>
            </w:r>
            <w:r>
              <w:t xml:space="preserve">Measured Shore nitrogen points to agriculture.</w:t>
            </w:r>
          </w:p>
        </w:tc>
        <w:tc>
          <w:tcPr/>
          <w:p>
            <w:pPr>
              <w:pStyle w:val="Compact"/>
            </w:pPr>
            <w:r>
              <w:t xml:space="preserve">At most one precautionary sentence (Section 4)</w:t>
            </w:r>
          </w:p>
        </w:tc>
      </w:tr>
      <w:tr>
        <w:tc>
          <w:tcPr/>
          <w:p>
            <w:pPr>
              <w:pStyle w:val="Compact"/>
            </w:pPr>
            <w:r>
              <w:t xml:space="preserve">4</w:t>
            </w:r>
          </w:p>
        </w:tc>
        <w:tc>
          <w:tcPr/>
          <w:p>
            <w:pPr>
              <w:pStyle w:val="Compact"/>
            </w:pPr>
            <w:r>
              <w:t xml:space="preserve">“Oyster, Wachapreague, Quinby, Saxis, Chincoteague, Cape Charles: unsewered communities beside shellfish waters”</w:t>
            </w:r>
          </w:p>
        </w:tc>
        <w:tc>
          <w:tcPr/>
          <w:p>
            <w:pPr>
              <w:pStyle w:val="Compact"/>
            </w:pPr>
            <w:r>
              <w:t xml:space="preserve">The list does not appear in RD883 (the cited source), and Cape Charles is sewered.</w:t>
            </w:r>
          </w:p>
        </w:tc>
        <w:tc>
          <w:tcPr/>
          <w:p>
            <w:pPr>
              <w:pStyle w:val="Compact"/>
            </w:pPr>
            <w:r>
              <w:t xml:space="preserve">Drop</w:t>
            </w:r>
          </w:p>
        </w:tc>
      </w:tr>
      <w:tr>
        <w:tc>
          <w:tcPr/>
          <w:p>
            <w:pPr>
              <w:pStyle w:val="Compact"/>
            </w:pPr>
            <w:r>
              <w:t xml:space="preserve">5</w:t>
            </w:r>
          </w:p>
        </w:tc>
        <w:tc>
          <w:tcPr/>
          <w:p>
            <w:pPr>
              <w:pStyle w:val="Compact"/>
            </w:pPr>
            <w:r>
              <w:t xml:space="preserve">Chincoteague lost its own wells to septic contamination in the 1970s</w:t>
            </w:r>
          </w:p>
        </w:tc>
        <w:tc>
          <w:tcPr/>
          <w:p>
            <w:pPr>
              <w:pStyle w:val="Compact"/>
            </w:pPr>
            <w:r>
              <w:t xml:space="preserve">The town has used mainland wells since the 1950s because island groundwater was limited and brackish. The documented contamination is PFAS from firefighting foam at Wallops, found in 2017.</w:t>
            </w:r>
          </w:p>
        </w:tc>
        <w:tc>
          <w:tcPr/>
          <w:p>
            <w:pPr>
              <w:pStyle w:val="Compact"/>
            </w:pPr>
            <w:r>
              <w:t xml:space="preserve">Drop</w:t>
            </w:r>
          </w:p>
        </w:tc>
      </w:tr>
      <w:tr>
        <w:tc>
          <w:tcPr/>
          <w:p>
            <w:pPr>
              <w:pStyle w:val="Compact"/>
            </w:pPr>
            <w:r>
              <w:t xml:space="preserve">6</w:t>
            </w:r>
          </w:p>
        </w:tc>
        <w:tc>
          <w:tcPr/>
          <w:p>
            <w:pPr>
              <w:pStyle w:val="Compact"/>
            </w:pPr>
            <w:r>
              <w:t xml:space="preserve">Nitrate causes thyroid disruption at 5 mg/L</w:t>
            </w:r>
          </w:p>
        </w:tc>
        <w:tc>
          <w:tcPr/>
          <w:p>
            <w:pPr>
              <w:pStyle w:val="Compact"/>
            </w:pPr>
            <w:r>
              <w:t xml:space="preserve">Ward et al. 2010 found</w:t>
            </w:r>
            <w:r>
              <w:t xml:space="preserve"> </w:t>
            </w:r>
            <w:r>
              <w:rPr>
                <w:b/>
                <w:bCs/>
              </w:rPr>
              <w:t xml:space="preserve">no</w:t>
            </w:r>
            <w:r>
              <w:t xml:space="preserve"> </w:t>
            </w:r>
            <w:r>
              <w:t xml:space="preserve">association between drinking-water nitrate and thyroid disease. A thyroid-</w:t>
            </w:r>
            <w:r>
              <w:rPr>
                <w:i/>
                <w:iCs/>
              </w:rPr>
              <w:t xml:space="preserve">cancer</w:t>
            </w:r>
            <w:r>
              <w:t xml:space="preserve"> </w:t>
            </w:r>
            <w:r>
              <w:t xml:space="preserve">signal rested on 45 cases.</w:t>
            </w:r>
          </w:p>
        </w:tc>
        <w:tc>
          <w:tcPr/>
          <w:p>
            <w:pPr>
              <w:pStyle w:val="Compact"/>
            </w:pPr>
            <w:r>
              <w:t xml:space="preserve">Drop</w:t>
            </w:r>
          </w:p>
        </w:tc>
      </w:tr>
      <w:tr>
        <w:tc>
          <w:tcPr/>
          <w:p>
            <w:pPr>
              <w:pStyle w:val="Compact"/>
            </w:pPr>
            <w:r>
              <w:t xml:space="preserve">7</w:t>
            </w:r>
          </w:p>
        </w:tc>
        <w:tc>
          <w:tcPr/>
          <w:p>
            <w:pPr>
              <w:pStyle w:val="Compact"/>
            </w:pPr>
            <w:r>
              <w:t xml:space="preserve">Colorectal cancer risk at</w:t>
            </w:r>
            <w:r>
              <w:t xml:space="preserve"> </w:t>
            </w:r>
            <w:r>
              <w:t xml:space="preserve">“less than half the federal limit”</w:t>
            </w:r>
          </w:p>
        </w:tc>
        <w:tc>
          <w:tcPr/>
          <w:p>
            <w:pPr>
              <w:pStyle w:val="Compact"/>
            </w:pPr>
            <w:r>
              <w:t xml:space="preserve">The Danish association is real but modest, and its units (nitrate, not nitrate-N) were mismatched. Later meta-analyses are mixed.</w:t>
            </w:r>
          </w:p>
        </w:tc>
        <w:tc>
          <w:tcPr/>
          <w:p>
            <w:pPr>
              <w:pStyle w:val="Compact"/>
            </w:pPr>
            <w:r>
              <w:t xml:space="preserve">At most:</w:t>
            </w:r>
            <w:r>
              <w:t xml:space="preserve"> </w:t>
            </w:r>
            <w:r>
              <w:t xml:space="preserve">“research on long-term effects in adults is mixed”</w:t>
            </w:r>
          </w:p>
        </w:tc>
      </w:tr>
      <w:tr>
        <w:tc>
          <w:tcPr/>
          <w:p>
            <w:pPr>
              <w:pStyle w:val="Compact"/>
            </w:pPr>
            <w:r>
              <w:t xml:space="preserve">8</w:t>
            </w:r>
          </w:p>
        </w:tc>
        <w:tc>
          <w:tcPr/>
          <w:p>
            <w:pPr>
              <w:pStyle w:val="Compact"/>
            </w:pPr>
            <w:r>
              <w:t xml:space="preserve">Septic/well contamination is</w:t>
            </w:r>
            <w:r>
              <w:t xml:space="preserve"> </w:t>
            </w:r>
            <w:r>
              <w:t xml:space="preserve">“comparable to lead paint or asbestos”</w:t>
            </w:r>
            <w:r>
              <w:t xml:space="preserve">;</w:t>
            </w:r>
            <w:r>
              <w:t xml:space="preserve"> </w:t>
            </w:r>
            <w:r>
              <w:t xml:space="preserve">“1.13 million illnesses a year”</w:t>
            </w:r>
            <w:r>
              <w:t xml:space="preserve">;</w:t>
            </w:r>
            <w:r>
              <w:t xml:space="preserve"> </w:t>
            </w:r>
            <w:r>
              <w:t xml:space="preserve">“67% of outbreaks trace to septic”</w:t>
            </w:r>
          </w:p>
        </w:tc>
        <w:tc>
          <w:tcPr/>
          <w:p>
            <w:pPr>
              <w:pStyle w:val="Compact"/>
            </w:pPr>
            <w:r>
              <w:t xml:space="preserve">1.13M is</w:t>
            </w:r>
            <w:r>
              <w:t xml:space="preserve"> </w:t>
            </w:r>
            <w:r>
              <w:rPr>
                <w:i/>
                <w:iCs/>
              </w:rPr>
              <w:t xml:space="preserve">all</w:t>
            </w:r>
            <w:r>
              <w:t xml:space="preserve"> </w:t>
            </w:r>
            <w:r>
              <w:t xml:space="preserve">U.S. drinking-water illness, mostly from public systems. The 67% is of untreated-groundwater outbreaks with a known deficiency, and lumps well defects in with septic.</w:t>
            </w:r>
          </w:p>
        </w:tc>
        <w:tc>
          <w:tcPr/>
          <w:p>
            <w:pPr>
              <w:pStyle w:val="Compact"/>
            </w:pPr>
            <w:r>
              <w:t xml:space="preserve">Drop</w:t>
            </w:r>
          </w:p>
        </w:tc>
      </w:tr>
      <w:tr>
        <w:tc>
          <w:tcPr/>
          <w:p>
            <w:pPr>
              <w:pStyle w:val="Compact"/>
            </w:pPr>
            <w:r>
              <w:t xml:space="preserve">9</w:t>
            </w:r>
          </w:p>
        </w:tc>
        <w:tc>
          <w:tcPr/>
          <w:p>
            <w:pPr>
              <w:pStyle w:val="Compact"/>
            </w:pPr>
            <w:r>
              <w:t xml:space="preserve">Septic contaminants drive the Shore’s obesity, diabetes and chronic disease (PFAS</w:t>
            </w:r>
            <w:r>
              <w:t xml:space="preserve"> </w:t>
            </w:r>
            <w:r>
              <w:t xml:space="preserve">“obesogens”</w:t>
            </w:r>
            <w:r>
              <w:t xml:space="preserve">, gut microbiome,</w:t>
            </w:r>
            <w:r>
              <w:t xml:space="preserve"> </w:t>
            </w:r>
            <w:r>
              <w:t xml:space="preserve">“cocktail effect”</w:t>
            </w:r>
            <w:r>
              <w:t xml:space="preserve">)</w:t>
            </w:r>
          </w:p>
        </w:tc>
        <w:tc>
          <w:tcPr/>
          <w:p>
            <w:pPr>
              <w:pStyle w:val="Compact"/>
            </w:pPr>
            <w:r>
              <w:t xml:space="preserve">A speculative chain with no Shore data</w:t>
            </w:r>
          </w:p>
        </w:tc>
        <w:tc>
          <w:tcPr/>
          <w:p>
            <w:pPr>
              <w:pStyle w:val="Compact"/>
            </w:pPr>
            <w:r>
              <w:t xml:space="preserve">Drop from outreach</w:t>
            </w:r>
          </w:p>
        </w:tc>
      </w:tr>
      <w:tr>
        <w:tc>
          <w:tcPr/>
          <w:p>
            <w:pPr>
              <w:pStyle w:val="Compact"/>
            </w:pPr>
            <w:r>
              <w:t xml:space="preserve">10</w:t>
            </w:r>
          </w:p>
        </w:tc>
        <w:tc>
          <w:tcPr/>
          <w:p>
            <w:pPr>
              <w:pStyle w:val="Compact"/>
            </w:pPr>
            <w:r>
              <w:t xml:space="preserve">“$20 well test”</w:t>
            </w:r>
            <w:r>
              <w:t xml:space="preserve">;</w:t>
            </w:r>
            <w:r>
              <w:t xml:space="preserve"> </w:t>
            </w:r>
            <w:r>
              <w:t xml:space="preserve">“free testing days by the health district”</w:t>
            </w:r>
            <w:r>
              <w:t xml:space="preserve">;</w:t>
            </w:r>
            <w:r>
              <w:t xml:space="preserve"> </w:t>
            </w:r>
            <w:r>
              <w:t xml:space="preserve">“subsidized testing for families with infants”</w:t>
            </w:r>
          </w:p>
        </w:tc>
        <w:tc>
          <w:tcPr/>
          <w:p>
            <w:pPr>
              <w:pStyle w:val="Compact"/>
            </w:pPr>
            <w:r>
              <w:t xml:space="preserve">The Extension program costs $70. VDH does not test private wells. The free and subsidized services couldn’t be confirmed.</w:t>
            </w:r>
          </w:p>
        </w:tc>
        <w:tc>
          <w:tcPr/>
          <w:p>
            <w:pPr>
              <w:pStyle w:val="Compact"/>
            </w:pPr>
            <w:r>
              <w:t xml:space="preserve">Verified program; ESCC events only once scheduled</w:t>
            </w:r>
          </w:p>
        </w:tc>
      </w:tr>
      <w:tr>
        <w:tc>
          <w:tcPr/>
          <w:p>
            <w:pPr>
              <w:pStyle w:val="Compact"/>
            </w:pPr>
            <w:r>
              <w:t xml:space="preserve">11</w:t>
            </w:r>
          </w:p>
        </w:tc>
        <w:tc>
          <w:tcPr/>
          <w:p>
            <w:pPr>
              <w:pStyle w:val="Compact"/>
            </w:pPr>
            <w:r>
              <w:t xml:space="preserve">“$400 pump-out prevents a $20–40K replacement”</w:t>
            </w:r>
            <w:r>
              <w:t xml:space="preserve">;</w:t>
            </w:r>
            <w:r>
              <w:t xml:space="preserve"> </w:t>
            </w:r>
            <w:r>
              <w:t xml:space="preserve">“50:1 ratio”</w:t>
            </w:r>
            <w:r>
              <w:t xml:space="preserve">;</w:t>
            </w:r>
            <w:r>
              <w:t xml:space="preserve"> </w:t>
            </w:r>
            <w:r>
              <w:t xml:space="preserve">“$1 saves $25–100”</w:t>
            </w:r>
          </w:p>
        </w:tc>
        <w:tc>
          <w:tcPr/>
          <w:p>
            <w:pPr>
              <w:pStyle w:val="Compact"/>
            </w:pPr>
            <w:r>
              <w:t xml:space="preserve">VDH figures are ~$430 vs ~$19,650 (conventional) / ~$34,800 (alternative). The ratio claims are unsourced.</w:t>
            </w:r>
          </w:p>
        </w:tc>
        <w:tc>
          <w:tcPr/>
          <w:p>
            <w:pPr>
              <w:pStyle w:val="Compact"/>
            </w:pPr>
            <w:r>
              <w:t xml:space="preserve">VDH figures, with the honest caveat</w:t>
            </w:r>
          </w:p>
        </w:tc>
      </w:tr>
      <w:tr>
        <w:tc>
          <w:tcPr/>
          <w:p>
            <w:pPr>
              <w:pStyle w:val="Compact"/>
            </w:pPr>
            <w:r>
              <w:t xml:space="preserve">12</w:t>
            </w:r>
          </w:p>
        </w:tc>
        <w:tc>
          <w:tcPr/>
          <w:p>
            <w:pPr>
              <w:pStyle w:val="Compact"/>
            </w:pPr>
            <w:r>
              <w:t xml:space="preserve">“Free pump-outs through A-NPDC”</w:t>
            </w:r>
            <w:r>
              <w:t xml:space="preserve"> </w:t>
            </w:r>
            <w:r>
              <w:t xml:space="preserve">(as currently open)</w:t>
            </w:r>
          </w:p>
        </w:tc>
        <w:tc>
          <w:tcPr/>
          <w:p>
            <w:pPr>
              <w:pStyle w:val="Compact"/>
            </w:pPr>
            <w:r>
              <w:t xml:space="preserve">The last round closed August 2025 and was Bayside only.</w:t>
            </w:r>
          </w:p>
        </w:tc>
        <w:tc>
          <w:tcPr/>
          <w:p>
            <w:pPr>
              <w:pStyle w:val="Compact"/>
            </w:pPr>
            <w:r>
              <w:t xml:space="preserve">“A-NPDC has run several rounds; call to get on the list”</w:t>
            </w:r>
          </w:p>
        </w:tc>
      </w:tr>
      <w:tr>
        <w:tc>
          <w:tcPr/>
          <w:p>
            <w:pPr>
              <w:pStyle w:val="Compact"/>
            </w:pPr>
            <w:r>
              <w:t xml:space="preserve">13</w:t>
            </w:r>
          </w:p>
        </w:tc>
        <w:tc>
          <w:tcPr/>
          <w:p>
            <w:pPr>
              <w:pStyle w:val="Compact"/>
            </w:pPr>
            <w:r>
              <w:t xml:space="preserve">“The Indemnification Fund covers households up to 200% of poverty”</w:t>
            </w:r>
          </w:p>
        </w:tc>
        <w:tc>
          <w:tcPr/>
          <w:p>
            <w:pPr>
              <w:pStyle w:val="Compact"/>
            </w:pPr>
            <w:r>
              <w:t xml:space="preserve">The fund is mainly reimbursement when VDH erred. The low-income route is VDH’s Hardship Guidelines (free design).</w:t>
            </w:r>
          </w:p>
        </w:tc>
        <w:tc>
          <w:tcPr/>
          <w:p>
            <w:pPr>
              <w:pStyle w:val="Compact"/>
            </w:pPr>
            <w:r>
              <w:t xml:space="preserve">As in the resource guide</w:t>
            </w:r>
          </w:p>
        </w:tc>
      </w:tr>
      <w:tr>
        <w:tc>
          <w:tcPr/>
          <w:p>
            <w:pPr>
              <w:pStyle w:val="Compact"/>
            </w:pPr>
            <w:r>
              <w:t xml:space="preserve">14</w:t>
            </w:r>
          </w:p>
        </w:tc>
        <w:tc>
          <w:tcPr/>
          <w:p>
            <w:pPr>
              <w:pStyle w:val="Compact"/>
            </w:pPr>
            <w:r>
              <w:t xml:space="preserve">“Accomack County regulations require pump-out every 5 years”</w:t>
            </w:r>
          </w:p>
        </w:tc>
        <w:tc>
          <w:tcPr/>
          <w:p>
            <w:pPr>
              <w:pStyle w:val="Compact"/>
            </w:pPr>
            <w:r>
              <w:t xml:space="preserve">It’s</w:t>
            </w:r>
            <w:r>
              <w:t xml:space="preserve"> </w:t>
            </w:r>
            <w:r>
              <w:rPr>
                <w:b/>
                <w:bCs/>
              </w:rPr>
              <w:t xml:space="preserve">state</w:t>
            </w:r>
            <w:r>
              <w:t xml:space="preserve"> </w:t>
            </w:r>
            <w:r>
              <w:t xml:space="preserve">law (Chesapeake Bay Preservation Act), now enforced by VDH; coverage of the Seaside and the towns needs confirming.</w:t>
            </w:r>
          </w:p>
        </w:tc>
        <w:tc>
          <w:tcPr/>
          <w:p>
            <w:pPr>
              <w:pStyle w:val="Compact"/>
            </w:pPr>
            <w:r>
              <w:t xml:space="preserve">As in Part 1</w:t>
            </w:r>
          </w:p>
        </w:tc>
      </w:tr>
      <w:tr>
        <w:tc>
          <w:tcPr/>
          <w:p>
            <w:pPr>
              <w:pStyle w:val="Compact"/>
            </w:pPr>
            <w:r>
              <w:t xml:space="preserve">15</w:t>
            </w:r>
          </w:p>
        </w:tc>
        <w:tc>
          <w:tcPr/>
          <w:p>
            <w:pPr>
              <w:pStyle w:val="Compact"/>
            </w:pPr>
            <w:r>
              <w:t xml:space="preserve">“Every pump-out reduces nitrogen by 5%”</w:t>
            </w:r>
          </w:p>
        </w:tc>
        <w:tc>
          <w:tcPr/>
          <w:p>
            <w:pPr>
              <w:pStyle w:val="Compact"/>
            </w:pPr>
            <w:r>
              <w:t xml:space="preserve">That’s the Bay Program’s</w:t>
            </w:r>
            <w:r>
              <w:t xml:space="preserve"> </w:t>
            </w:r>
            <w:r>
              <w:rPr>
                <w:i/>
                <w:iCs/>
              </w:rPr>
              <w:t xml:space="preserve">model credit</w:t>
            </w:r>
            <w:r>
              <w:t xml:space="preserve"> </w:t>
            </w:r>
            <w:r>
              <w:t xml:space="preserve">per pump-out, not a measurement.</w:t>
            </w:r>
          </w:p>
        </w:tc>
        <w:tc>
          <w:tcPr/>
          <w:p>
            <w:pPr>
              <w:pStyle w:val="Compact"/>
            </w:pPr>
            <w:r>
              <w:t xml:space="preserve">“Virginia counts pump-outs toward Bay cleanup”</w:t>
            </w:r>
          </w:p>
        </w:tc>
      </w:tr>
      <w:tr>
        <w:tc>
          <w:tcPr/>
          <w:p>
            <w:pPr>
              <w:pStyle w:val="Compact"/>
            </w:pPr>
            <w:r>
              <w:t xml:space="preserve">16</w:t>
            </w:r>
          </w:p>
        </w:tc>
        <w:tc>
          <w:tcPr/>
          <w:p>
            <w:pPr>
              <w:pStyle w:val="Compact"/>
            </w:pPr>
            <w:r>
              <w:t xml:space="preserve">“Ditch maintenance reduces flooding by up to 10%”</w:t>
            </w:r>
          </w:p>
        </w:tc>
        <w:tc>
          <w:tcPr/>
          <w:p>
            <w:pPr>
              <w:pStyle w:val="Compact"/>
            </w:pPr>
            <w:r>
              <w:t xml:space="preserve">The source is unpublished preliminary modeling.</w:t>
            </w:r>
          </w:p>
        </w:tc>
        <w:tc>
          <w:tcPr/>
          <w:p>
            <w:pPr>
              <w:pStyle w:val="Compact"/>
            </w:pPr>
            <w:r>
              <w:t xml:space="preserve">Hold until published</w:t>
            </w:r>
          </w:p>
        </w:tc>
      </w:tr>
      <w:tr>
        <w:tc>
          <w:tcPr/>
          <w:p>
            <w:pPr>
              <w:pStyle w:val="Compact"/>
            </w:pPr>
            <w:r>
              <w:t xml:space="preserve">17</w:t>
            </w:r>
          </w:p>
        </w:tc>
        <w:tc>
          <w:tcPr/>
          <w:p>
            <w:pPr>
              <w:pStyle w:val="Compact"/>
            </w:pPr>
            <w:r>
              <w:t xml:space="preserve">“7,800 systems at risk by 2040”</w:t>
            </w:r>
            <w:r>
              <w:t xml:space="preserve">;</w:t>
            </w:r>
            <w:r>
              <w:t xml:space="preserve"> </w:t>
            </w:r>
            <w:r>
              <w:t xml:space="preserve">“$156 million”</w:t>
            </w:r>
          </w:p>
        </w:tc>
        <w:tc>
          <w:tcPr/>
          <w:p>
            <w:pPr>
              <w:pStyle w:val="Compact"/>
            </w:pPr>
            <w:r>
              <w:t xml:space="preserve">Project modeling (StoryMap): parcels with</w:t>
            </w:r>
            <w:r>
              <w:t xml:space="preserve"> </w:t>
            </w:r>
            <w:r>
              <w:rPr>
                <w:i/>
                <w:iCs/>
              </w:rPr>
              <w:t xml:space="preserve">modeled</w:t>
            </w:r>
            <w:r>
              <w:t xml:space="preserve"> </w:t>
            </w:r>
            <w:r>
              <w:t xml:space="preserve">groundwater within 3 ft of the surface. Not peer-reviewed, and not the regulatory standard (18 inches below the trench).</w:t>
            </w:r>
          </w:p>
        </w:tc>
        <w:tc>
          <w:tcPr/>
          <w:p>
            <w:pPr>
              <w:pStyle w:val="Compact"/>
            </w:pPr>
            <w:r>
              <w:t xml:space="preserve">Only labeled as project modeling, and not in Parts 1–2</w:t>
            </w:r>
          </w:p>
        </w:tc>
      </w:tr>
      <w:tr>
        <w:tc>
          <w:tcPr/>
          <w:p>
            <w:pPr>
              <w:pStyle w:val="Compact"/>
            </w:pPr>
            <w:r>
              <w:t xml:space="preserve">18</w:t>
            </w:r>
          </w:p>
        </w:tc>
        <w:tc>
          <w:tcPr/>
          <w:p>
            <w:pPr>
              <w:pStyle w:val="Compact"/>
            </w:pPr>
            <w:r>
              <w:t xml:space="preserve">“$81 million last year”</w:t>
            </w:r>
          </w:p>
        </w:tc>
        <w:tc>
          <w:tcPr/>
          <w:p>
            <w:pPr>
              <w:pStyle w:val="Compact"/>
            </w:pPr>
            <w:r>
              <w:t xml:space="preserve">$81M was 2024; 2025 was ~$75M.</w:t>
            </w:r>
          </w:p>
        </w:tc>
        <w:tc>
          <w:tcPr/>
          <w:p>
            <w:pPr>
              <w:pStyle w:val="Compact"/>
            </w:pPr>
            <w:r>
              <w:t xml:space="preserve">“$75 million in 2025”</w:t>
            </w:r>
          </w:p>
        </w:tc>
      </w:tr>
      <w:tr>
        <w:tc>
          <w:tcPr/>
          <w:p>
            <w:pPr>
              <w:pStyle w:val="Compact"/>
            </w:pPr>
            <w:r>
              <w:t xml:space="preserve">19</w:t>
            </w:r>
          </w:p>
        </w:tc>
        <w:tc>
          <w:tcPr/>
          <w:p>
            <w:pPr>
              <w:pStyle w:val="Compact"/>
            </w:pPr>
            <w:r>
              <w:t xml:space="preserve">Bay scallops</w:t>
            </w:r>
            <w:r>
              <w:t xml:space="preserve"> </w:t>
            </w:r>
            <w:r>
              <w:t xml:space="preserve">“back and breeding”</w:t>
            </w:r>
            <w:r>
              <w:t xml:space="preserve">;</w:t>
            </w:r>
            <w:r>
              <w:t xml:space="preserve"> </w:t>
            </w:r>
            <w:r>
              <w:t xml:space="preserve">“only successful reintroduction globally”</w:t>
            </w:r>
          </w:p>
        </w:tc>
        <w:tc>
          <w:tcPr/>
          <w:p>
            <w:pPr>
              <w:pStyle w:val="Compact"/>
            </w:pPr>
            <w:r>
              <w:t xml:space="preserve">Scallops are rebounding (0.114/m² in 2025). VIMS says natural reproduction</w:t>
            </w:r>
            <w:r>
              <w:t xml:space="preserve"> </w:t>
            </w:r>
            <w:r>
              <w:t xml:space="preserve">“may now be occurring.”</w:t>
            </w:r>
            <w:r>
              <w:t xml:space="preserve"> </w:t>
            </w:r>
            <w:r>
              <w:t xml:space="preserve">The superlative is unsourced.</w:t>
            </w:r>
          </w:p>
        </w:tc>
        <w:tc>
          <w:tcPr/>
          <w:p>
            <w:pPr>
              <w:pStyle w:val="Compact"/>
            </w:pPr>
            <w:r>
              <w:t xml:space="preserve">“Rebounding fast”</w:t>
            </w:r>
          </w:p>
        </w:tc>
      </w:tr>
    </w:tbl>
    <w:p>
      <w:r>
        <w:pict>
          <v:rect style="width:0;height:1.5pt" o:hralign="center" o:hrstd="t" o:hr="t"/>
        </w:pict>
      </w:r>
    </w:p>
    <w:bookmarkEnd w:id="18"/>
    <w:bookmarkStart w:id="19" w:name="where-the-ecological-story-stands"/>
    <w:p>
      <w:pPr>
        <w:pStyle w:val="Heading2"/>
      </w:pPr>
      <w:r>
        <w:t xml:space="preserve">4. Where the ecological story stands</w:t>
      </w:r>
    </w:p>
    <w:p>
      <w:pPr>
        <w:pStyle w:val="FirstParagraph"/>
      </w:pPr>
      <w:r>
        <w:rPr>
          <w:b/>
          <w:bCs/>
        </w:rPr>
        <w:t xml:space="preserve">What we can honestly say:</w:t>
      </w:r>
    </w:p>
    <w:p>
      <w:pPr>
        <w:pStyle w:val="BlockText"/>
      </w:pPr>
      <w:r>
        <w:t xml:space="preserve">The Shore’s creeks get most of their fresh water from groundwater, and a conventional septic system passes most of its nitrogen into groundwater. Nobody has yet measured how much of the nitrogen or bacteria in Shore waters comes from septic systems rather than farms, wildlife or other sources. The studies that exist point to agriculture first. VDH monitors shellfish waters closely, and the Shore’s are among the cleanest in Virginia. Keeping septic systems working is part of keeping it that way. As water tables rise, that will take more attention, not less.</w:t>
      </w:r>
    </w:p>
    <w:p>
      <w:pPr>
        <w:pStyle w:val="FirstParagraph"/>
      </w:pPr>
      <w:r>
        <w:t xml:space="preserve">For a newspaper, use</w:t>
      </w:r>
      <w:r>
        <w:t xml:space="preserve"> </w:t>
      </w:r>
      <w:r>
        <w:rPr>
          <w:b/>
          <w:bCs/>
        </w:rPr>
        <w:t xml:space="preserve">one or two sentences</w:t>
      </w:r>
      <w:r>
        <w:t xml:space="preserve"> </w:t>
      </w:r>
      <w:r>
        <w:t xml:space="preserve">of that at most. Part 1 uses two:</w:t>
      </w:r>
    </w:p>
    <w:p>
      <w:pPr>
        <w:pStyle w:val="Compact"/>
        <w:numPr>
          <w:ilvl w:val="0"/>
          <w:numId w:val="1018"/>
        </w:numPr>
      </w:pPr>
      <w:r>
        <w:t xml:space="preserve">Virginia counts pump-outs toward Bay cleanup.</w:t>
      </w:r>
    </w:p>
    <w:p>
      <w:pPr>
        <w:pStyle w:val="Compact"/>
        <w:numPr>
          <w:ilvl w:val="0"/>
          <w:numId w:val="1018"/>
        </w:numPr>
      </w:pPr>
      <w:r>
        <w:t xml:space="preserve">The shellfish waters are monitored and in good shape.</w:t>
      </w:r>
    </w:p>
    <w:p>
      <w:pPr>
        <w:pStyle w:val="FirstParagraph"/>
      </w:pPr>
      <w:r>
        <w:rPr>
          <w:b/>
          <w:bCs/>
        </w:rPr>
        <w:t xml:space="preserve">What would change the answer.</w:t>
      </w:r>
      <w:r>
        <w:t xml:space="preserve"> </w:t>
      </w:r>
      <w:r>
        <w:t xml:space="preserve">These are good ESCC capstones, and a null result is publishable and useful to VDH:</w:t>
      </w:r>
    </w:p>
    <w:p>
      <w:pPr>
        <w:pStyle w:val="Compact"/>
        <w:numPr>
          <w:ilvl w:val="0"/>
          <w:numId w:val="1019"/>
        </w:numPr>
      </w:pPr>
      <w:r>
        <w:rPr>
          <w:b/>
          <w:bCs/>
        </w:rPr>
        <w:t xml:space="preserve">Overlay</w:t>
      </w:r>
      <w:r>
        <w:t xml:space="preserve"> </w:t>
      </w:r>
      <w:r>
        <w:t xml:space="preserve">VDH shellfish closure areas and failing stations against septic density and VDH repair-permit locations. Both are public, it has never been done, and it’s semester-scale.</w:t>
      </w:r>
    </w:p>
    <w:p>
      <w:pPr>
        <w:pStyle w:val="Compact"/>
        <w:numPr>
          <w:ilvl w:val="0"/>
          <w:numId w:val="1019"/>
        </w:numPr>
      </w:pPr>
      <w:r>
        <w:rPr>
          <w:b/>
          <w:bCs/>
        </w:rPr>
        <w:t xml:space="preserve">Human-marker sampling</w:t>
      </w:r>
      <w:r>
        <w:t xml:space="preserve"> </w:t>
      </w:r>
      <w:r>
        <w:t xml:space="preserve">(HF183) in the chronically failing Bayside creek headwaters (Nassawadox/Westerhouse, Onancock, Pungoteague, Hungars), coordinated with VDH’s new HF183 work.</w:t>
      </w:r>
    </w:p>
    <w:p>
      <w:pPr>
        <w:pStyle w:val="Compact"/>
        <w:numPr>
          <w:ilvl w:val="0"/>
          <w:numId w:val="1019"/>
        </w:numPr>
      </w:pPr>
      <w:r>
        <w:rPr>
          <w:b/>
          <w:bCs/>
        </w:rPr>
        <w:t xml:space="preserve">Groundwater tracers</w:t>
      </w:r>
      <w:r>
        <w:t xml:space="preserve"> </w:t>
      </w:r>
      <w:r>
        <w:t xml:space="preserve">(nitrate isotopes plus sucralose/acesulfame) at the shoreline below septic clusters versus below farm fields.</w:t>
      </w:r>
    </w:p>
    <w:p>
      <w:pPr>
        <w:pStyle w:val="FirstParagraph"/>
      </w:pPr>
      <w:r>
        <w:rPr>
          <w:b/>
          <w:bCs/>
        </w:rPr>
        <w:t xml:space="preserve">The forward-looking story that</w:t>
      </w:r>
      <w:r>
        <w:rPr>
          <w:b/>
          <w:bCs/>
        </w:rPr>
        <w:t xml:space="preserve"> </w:t>
      </w:r>
      <w:r>
        <w:rPr>
          <w:b/>
          <w:bCs/>
          <w:i/>
          <w:iCs/>
        </w:rPr>
        <w:t xml:space="preserve">is</w:t>
      </w:r>
      <w:r>
        <w:rPr>
          <w:b/>
          <w:bCs/>
        </w:rPr>
        <w:t xml:space="preserve"> </w:t>
      </w:r>
      <w:r>
        <w:rPr>
          <w:b/>
          <w:bCs/>
        </w:rPr>
        <w:t xml:space="preserve">defensible is rising groundwater.</w:t>
      </w:r>
      <w:r>
        <w:t xml:space="preserve"> </w:t>
      </w:r>
      <w:r>
        <w:t xml:space="preserve">The mechanism is well established, and it has been measured in Rhode Island and North Carolina. Project modeling projects it on the Shore. It belongs in a later piece once the project’s modeling (Hesamfar et al.) is published, or when VDH’s regulation review produces a proposal. It should be framed as a planning issue for homeowners and the counties, not as current harm.</w:t>
      </w:r>
    </w:p>
    <w:p>
      <w:r>
        <w:pict>
          <v:rect style="width:0;height:1.5pt" o:hralign="center" o:hrstd="t" o:hr="t"/>
        </w:pict>
      </w:r>
    </w:p>
    <w:bookmarkEnd w:id="19"/>
    <w:bookmarkStart w:id="20" w:name="recommended-series-and-materials"/>
    <w:p>
      <w:pPr>
        <w:pStyle w:val="Heading2"/>
      </w:pPr>
      <w:r>
        <w:t xml:space="preserve">5. Recommended series and materials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Status</w:t>
            </w:r>
          </w:p>
        </w:tc>
        <w:tc>
          <w:tcPr/>
          <w:p>
            <w:pPr>
              <w:pStyle w:val="Compact"/>
            </w:pPr>
            <w:r>
              <w:t xml:space="preserve">Message</w:t>
            </w:r>
          </w:p>
        </w:tc>
      </w:tr>
      <w:tr>
        <w:tc>
          <w:tcPr/>
          <w:p>
            <w:pPr>
              <w:pStyle w:val="Compact"/>
            </w:pPr>
            <w:r>
              <w:rPr>
                <w:b/>
                <w:bCs/>
              </w:rPr>
              <w:t xml:space="preserve">Part 1:</w:t>
            </w:r>
            <w:r>
              <w:rPr>
                <w:b/>
                <w:bCs/>
              </w:rPr>
              <w:t xml:space="preserve"> </w:t>
            </w:r>
            <w:r>
              <w:rPr>
                <w:b/>
                <w:bCs/>
              </w:rPr>
              <w:t xml:space="preserve">“Is your home on septic?”</w:t>
            </w:r>
          </w:p>
        </w:tc>
        <w:tc>
          <w:tcPr/>
          <w:p>
            <w:pPr>
              <w:pStyle w:val="Compact"/>
            </w:pPr>
            <w:r>
              <w:t xml:space="preserve">Drafted (</w:t>
            </w:r>
            <w:r>
              <w:rPr>
                <w:rStyle w:val="VerbatimChar"/>
              </w:rPr>
              <w:t xml:space="preserve">outreach/article_part1_septic_basics.md</w:t>
            </w:r>
            <w:r>
              <w:t xml:space="preserve">)</w:t>
            </w:r>
          </w:p>
        </w:tc>
        <w:tc>
          <w:tcPr/>
          <w:p>
            <w:pPr>
              <w:pStyle w:val="Compact"/>
            </w:pPr>
            <w:r>
              <w:t xml:space="preserve">Do you have one; why pumping pays; it’s the law; who to call</w:t>
            </w:r>
          </w:p>
        </w:tc>
      </w:tr>
      <w:tr>
        <w:tc>
          <w:tcPr/>
          <w:p>
            <w:pPr>
              <w:pStyle w:val="Compact"/>
            </w:pPr>
            <w:r>
              <w:rPr>
                <w:b/>
                <w:bCs/>
              </w:rPr>
              <w:t xml:space="preserve">Part 2:</w:t>
            </w:r>
            <w:r>
              <w:rPr>
                <w:b/>
                <w:bCs/>
              </w:rPr>
              <w:t xml:space="preserve"> </w:t>
            </w:r>
            <w:r>
              <w:rPr>
                <w:b/>
                <w:bCs/>
              </w:rPr>
              <w:t xml:space="preserve">“What’s in your well?”</w:t>
            </w:r>
          </w:p>
        </w:tc>
        <w:tc>
          <w:tcPr/>
          <w:p>
            <w:pPr>
              <w:pStyle w:val="Compact"/>
            </w:pPr>
            <w:r>
              <w:t xml:space="preserve">Drafted (</w:t>
            </w:r>
            <w:r>
              <w:rPr>
                <w:rStyle w:val="VerbatimChar"/>
              </w:rPr>
              <w:t xml:space="preserve">outreach/article_part2_well_testing.md</w:t>
            </w:r>
            <w:r>
              <w:t xml:space="preserve">)</w:t>
            </w:r>
          </w:p>
        </w:tc>
        <w:tc>
          <w:tcPr/>
          <w:p>
            <w:pPr>
              <w:pStyle w:val="Compact"/>
            </w:pPr>
            <w:r>
              <w:t xml:space="preserve">Nobody tests but you; what Shore wells show; when to test; infants; floods</w:t>
            </w:r>
          </w:p>
        </w:tc>
      </w:tr>
      <w:tr>
        <w:tc>
          <w:tcPr/>
          <w:p>
            <w:pPr>
              <w:pStyle w:val="Compact"/>
            </w:pPr>
            <w:r>
              <w:rPr>
                <w:b/>
                <w:bCs/>
              </w:rPr>
              <w:t xml:space="preserve">Resident guide</w:t>
            </w:r>
          </w:p>
        </w:tc>
        <w:tc>
          <w:tcPr/>
          <w:p>
            <w:pPr>
              <w:pStyle w:val="Compact"/>
            </w:pPr>
            <w:r>
              <w:t xml:space="preserve">Rewritten (</w:t>
            </w:r>
            <w:r>
              <w:rPr>
                <w:rStyle w:val="VerbatimChar"/>
              </w:rPr>
              <w:t xml:space="preserve">outreach/resident_resources_guide.md</w:t>
            </w:r>
            <w:r>
              <w:t xml:space="preserve">)</w:t>
            </w:r>
          </w:p>
        </w:tc>
        <w:tc>
          <w:tcPr/>
          <w:p>
            <w:pPr>
              <w:pStyle w:val="Compact"/>
            </w:pPr>
            <w:r>
              <w:t xml:space="preserve">The directory behind both articles. Make a one-page handout from Section 7 plus the</w:t>
            </w:r>
            <w:r>
              <w:t xml:space="preserve"> </w:t>
            </w:r>
            <w:r>
              <w:t xml:space="preserve">“one-call starting points.”</w:t>
            </w:r>
          </w:p>
        </w:tc>
      </w:tr>
      <w:tr>
        <w:tc>
          <w:tcPr/>
          <w:p>
            <w:pPr>
              <w:pStyle w:val="Compact"/>
            </w:pPr>
            <w:r>
              <w:t xml:space="preserve">Part 3 (later, optional)</w:t>
            </w:r>
          </w:p>
        </w:tc>
        <w:tc>
          <w:tcPr/>
          <w:p>
            <w:pPr>
              <w:pStyle w:val="Compact"/>
            </w:pPr>
            <w:r>
              <w:t xml:space="preserve">Not drafted</w:t>
            </w:r>
          </w:p>
        </w:tc>
        <w:tc>
          <w:tcPr/>
          <w:p>
            <w:pPr>
              <w:pStyle w:val="Compact"/>
            </w:pPr>
            <w:r>
              <w:t xml:space="preserve">Either</w:t>
            </w:r>
            <w:r>
              <w:t xml:space="preserve"> </w:t>
            </w:r>
            <w:r>
              <w:t xml:space="preserve">“Paying for it,”</w:t>
            </w:r>
            <w:r>
              <w:t xml:space="preserve"> </w:t>
            </w:r>
            <w:r>
              <w:t xml:space="preserve">when a new A-NPDC round opens, or</w:t>
            </w:r>
            <w:r>
              <w:t xml:space="preserve"> </w:t>
            </w:r>
            <w:r>
              <w:t xml:space="preserve">“Rising water and your drainfield,”</w:t>
            </w:r>
            <w:r>
              <w:t xml:space="preserve"> </w:t>
            </w:r>
            <w:r>
              <w:t xml:space="preserve">when the project’s modeling is published</w:t>
            </w:r>
          </w:p>
        </w:tc>
      </w:tr>
      <w:tr>
        <w:tc>
          <w:tcPr/>
          <w:p>
            <w:pPr>
              <w:pStyle w:val="Compact"/>
            </w:pPr>
            <w:r>
              <w:t xml:space="preserve">Spanish versions</w:t>
            </w:r>
          </w:p>
        </w:tc>
        <w:tc>
          <w:tcPr/>
          <w:p>
            <w:pPr>
              <w:pStyle w:val="Compact"/>
            </w:pPr>
            <w:r>
              <w:t xml:space="preserve">Recommended</w:t>
            </w:r>
          </w:p>
        </w:tc>
        <w:tc>
          <w:tcPr/>
          <w:p>
            <w:pPr>
              <w:pStyle w:val="Compact"/>
            </w:pPr>
            <w:r>
              <w:t xml:space="preserve">Especially the Part 2 infant sidebar</w:t>
            </w:r>
          </w:p>
        </w:tc>
      </w:tr>
    </w:tbl>
    <w:p>
      <w:pPr>
        <w:pStyle w:val="BodyText"/>
      </w:pPr>
      <w:r>
        <w:rPr>
          <w:b/>
          <w:bCs/>
        </w:rPr>
        <w:t xml:space="preserve">Strong recommendation: send both drafts to the Eastern Shore Health District (Jon Richardson / Ashley Thornes) before publication.</w:t>
      </w:r>
      <w:r>
        <w:t xml:space="preserve"> </w:t>
      </w:r>
      <w:r>
        <w:t xml:space="preserve">Most of the facts come from VDH’s own December 2025 report, and their sign-off makes the articles an agency-aligned message rather than a project opinion.</w:t>
      </w:r>
    </w:p>
    <w:p>
      <w:r>
        <w:pict>
          <v:rect style="width:0;height:1.5pt" o:hralign="center" o:hrstd="t" o:hr="t"/>
        </w:pict>
      </w:r>
    </w:p>
    <w:bookmarkEnd w:id="20"/>
    <w:bookmarkStart w:id="21" w:name="Xa0012c15060da0c7d7ccd268e2adf73f9c9d54b"/>
    <w:p>
      <w:pPr>
        <w:pStyle w:val="Heading2"/>
      </w:pPr>
      <w:r>
        <w:t xml:space="preserve">6. Questions to settle with VDH and partners before publishing</w:t>
      </w:r>
    </w:p>
    <w:p>
      <w:pPr>
        <w:pStyle w:val="Compact"/>
        <w:numPr>
          <w:ilvl w:val="0"/>
          <w:numId w:val="1020"/>
        </w:numPr>
      </w:pPr>
      <w:r>
        <w:rPr>
          <w:b/>
          <w:bCs/>
        </w:rPr>
        <w:t xml:space="preserve">Pump-out coverage.</w:t>
      </w:r>
      <w:r>
        <w:t xml:space="preserve"> </w:t>
      </w:r>
      <w:r>
        <w:t xml:space="preserve">Does the 5-year requirement apply on the</w:t>
      </w:r>
      <w:r>
        <w:t xml:space="preserve"> </w:t>
      </w:r>
      <w:r>
        <w:rPr>
          <w:b/>
          <w:bCs/>
        </w:rPr>
        <w:t xml:space="preserve">Seaside</w:t>
      </w:r>
      <w:r>
        <w:t xml:space="preserve"> </w:t>
      </w:r>
      <w:r>
        <w:t xml:space="preserve">and inside</w:t>
      </w:r>
      <w:r>
        <w:t xml:space="preserve"> </w:t>
      </w:r>
      <w:r>
        <w:rPr>
          <w:b/>
          <w:bCs/>
        </w:rPr>
        <w:t xml:space="preserve">incorporated towns</w:t>
      </w:r>
      <w:r>
        <w:t xml:space="preserve">?</w:t>
      </w:r>
    </w:p>
    <w:p>
      <w:pPr>
        <w:pStyle w:val="Compact"/>
        <w:numPr>
          <w:ilvl w:val="1"/>
          <w:numId w:val="1021"/>
        </w:numPr>
      </w:pPr>
      <w:r>
        <w:t xml:space="preserve">Accomack’s ordinance covers the Seaside but excludes towns.</w:t>
      </w:r>
    </w:p>
    <w:p>
      <w:pPr>
        <w:pStyle w:val="Compact"/>
        <w:numPr>
          <w:ilvl w:val="1"/>
          <w:numId w:val="1021"/>
        </w:numPr>
      </w:pPr>
      <w:r>
        <w:t xml:space="preserve">Northampton treats the whole county as covered.</w:t>
      </w:r>
    </w:p>
    <w:p>
      <w:pPr>
        <w:pStyle w:val="Compact"/>
        <w:numPr>
          <w:ilvl w:val="1"/>
          <w:numId w:val="1021"/>
        </w:numPr>
      </w:pPr>
      <w:r>
        <w:t xml:space="preserve">VDH’s 2025 report says only Bay-watershed properties must pump out.</w:t>
      </w:r>
    </w:p>
    <w:p>
      <w:pPr>
        <w:pStyle w:val="Compact"/>
        <w:numPr>
          <w:ilvl w:val="0"/>
          <w:numId w:val="1000"/>
        </w:numPr>
      </w:pPr>
      <w:r>
        <w:t xml:space="preserve">We need one sentence VDH is happy to see printed.</w:t>
      </w:r>
    </w:p>
    <w:p>
      <w:pPr>
        <w:pStyle w:val="Compact"/>
        <w:numPr>
          <w:ilvl w:val="0"/>
          <w:numId w:val="1020"/>
        </w:numPr>
      </w:pPr>
      <w:r>
        <w:rPr>
          <w:b/>
          <w:bCs/>
        </w:rPr>
        <w:t xml:space="preserve">Alternatives to pumping.</w:t>
      </w:r>
      <w:r>
        <w:t xml:space="preserve"> </w:t>
      </w:r>
      <w:r>
        <w:t xml:space="preserve">Are effluent filters or inspection certificates accepted on the Shore?</w:t>
      </w:r>
    </w:p>
    <w:p>
      <w:pPr>
        <w:pStyle w:val="Compact"/>
        <w:numPr>
          <w:ilvl w:val="0"/>
          <w:numId w:val="1020"/>
        </w:numPr>
      </w:pPr>
      <w:r>
        <w:rPr>
          <w:b/>
          <w:bCs/>
        </w:rPr>
        <w:t xml:space="preserve">Reporting.</w:t>
      </w:r>
      <w:r>
        <w:t xml:space="preserve"> </w:t>
      </w:r>
      <w:r>
        <w:t xml:space="preserve">What should homeowners do to make sure a pump-out is on record: ask the hauler, or send the receipt to ESHD, and how?</w:t>
      </w:r>
    </w:p>
    <w:p>
      <w:pPr>
        <w:pStyle w:val="Compact"/>
        <w:numPr>
          <w:ilvl w:val="0"/>
          <w:numId w:val="1020"/>
        </w:numPr>
      </w:pPr>
      <w:r>
        <w:rPr>
          <w:b/>
          <w:bCs/>
        </w:rPr>
        <w:t xml:space="preserve">Phone number.</w:t>
      </w:r>
      <w:r>
        <w:t xml:space="preserve"> </w:t>
      </w:r>
      <w:r>
        <w:t xml:space="preserve">Which number they want printed (we use 757-787-5886, Environmental Health).</w:t>
      </w:r>
    </w:p>
    <w:p>
      <w:pPr>
        <w:pStyle w:val="Compact"/>
        <w:numPr>
          <w:ilvl w:val="0"/>
          <w:numId w:val="1020"/>
        </w:numPr>
      </w:pPr>
      <w:r>
        <w:rPr>
          <w:b/>
          <w:bCs/>
        </w:rPr>
        <w:t xml:space="preserve">Framing.</w:t>
      </w:r>
      <w:r>
        <w:t xml:space="preserve"> </w:t>
      </w:r>
      <w:r>
        <w:t xml:space="preserve">Are they comfortable with</w:t>
      </w:r>
      <w:r>
        <w:t xml:space="preserve"> </w:t>
      </w:r>
      <w:r>
        <w:t xml:space="preserve">“the letter wasn’t a fine,”</w:t>
      </w:r>
      <w:r>
        <w:t xml:space="preserve"> </w:t>
      </w:r>
      <w:r>
        <w:t xml:space="preserve">and with naming the</w:t>
      </w:r>
      <w:r>
        <w:t xml:space="preserve"> </w:t>
      </w:r>
      <w:r>
        <w:rPr>
          <w:b/>
          <w:bCs/>
        </w:rPr>
        <w:t xml:space="preserve">Hardship Guidelines</w:t>
      </w:r>
      <w:r>
        <w:t xml:space="preserve"> </w:t>
      </w:r>
      <w:r>
        <w:t xml:space="preserve">(free design) in print?</w:t>
      </w:r>
    </w:p>
    <w:p>
      <w:pPr>
        <w:pStyle w:val="Compact"/>
        <w:numPr>
          <w:ilvl w:val="0"/>
          <w:numId w:val="1020"/>
        </w:numPr>
      </w:pPr>
      <w:r>
        <w:rPr>
          <w:b/>
          <w:bCs/>
        </w:rPr>
        <w:t xml:space="preserve">Shellfish wording.</w:t>
      </w:r>
      <w:r>
        <w:t xml:space="preserve"> </w:t>
      </w:r>
      <w:r>
        <w:t xml:space="preserve">Are they comfortable with the Part 1 sentence (</w:t>
      </w:r>
      <w:r>
        <w:t xml:space="preserve">“nearly 600 stations… great majority open”</w:t>
      </w:r>
      <w:r>
        <w:t xml:space="preserve">)? Do they want to say anything about the new HF183 testing?</w:t>
      </w:r>
    </w:p>
    <w:p>
      <w:pPr>
        <w:pStyle w:val="Compact"/>
        <w:numPr>
          <w:ilvl w:val="0"/>
          <w:numId w:val="1020"/>
        </w:numPr>
      </w:pPr>
      <w:r>
        <w:rPr>
          <w:b/>
          <w:bCs/>
        </w:rPr>
        <w:t xml:space="preserve">A-NPDC.</w:t>
      </w:r>
      <w:r>
        <w:t xml:space="preserve"> </w:t>
      </w:r>
      <w:r>
        <w:t xml:space="preserve">Is a new round expected in 2026–27, and will it be Bayside only?</w:t>
      </w:r>
    </w:p>
    <w:p>
      <w:pPr>
        <w:pStyle w:val="Compact"/>
        <w:numPr>
          <w:ilvl w:val="0"/>
          <w:numId w:val="1020"/>
        </w:numPr>
      </w:pPr>
      <w:r>
        <w:rPr>
          <w:b/>
          <w:bCs/>
        </w:rPr>
        <w:t xml:space="preserve">Extension.</w:t>
      </w:r>
      <w:r>
        <w:t xml:space="preserve"> </w:t>
      </w:r>
      <w:r>
        <w:t xml:space="preserve">The 2027 clinic dates, and whether fee assistance is available.</w:t>
      </w:r>
    </w:p>
    <w:p>
      <w:pPr>
        <w:pStyle w:val="Compact"/>
        <w:numPr>
          <w:ilvl w:val="0"/>
          <w:numId w:val="1020"/>
        </w:numPr>
      </w:pPr>
      <w:r>
        <w:rPr>
          <w:b/>
          <w:bCs/>
        </w:rPr>
        <w:t xml:space="preserve">ESCC.</w:t>
      </w:r>
      <w:r>
        <w:t xml:space="preserve"> </w:t>
      </w:r>
      <w:r>
        <w:t xml:space="preserve">Which contact to publish, and whether any free screening events are confirmed. Don’t print</w:t>
      </w:r>
      <w:r>
        <w:t xml:space="preserve"> </w:t>
      </w:r>
      <w:r>
        <w:t xml:space="preserve">“free testing events”</w:t>
      </w:r>
      <w:r>
        <w:t xml:space="preserve"> </w:t>
      </w:r>
      <w:r>
        <w:t xml:space="preserve">until they are.</w:t>
      </w:r>
    </w:p>
    <w:p>
      <w:r>
        <w:pict>
          <v:rect style="width:0;height:1.5pt" o:hralign="center" o:hrstd="t" o:hr="t"/>
        </w:pict>
      </w:r>
    </w:p>
    <w:bookmarkEnd w:id="21"/>
    <w:bookmarkStart w:id="22" w:name="X4303c92025eddb4fb90e5d4f59808ca65376841"/>
    <w:p>
      <w:pPr>
        <w:pStyle w:val="Heading2"/>
      </w:pPr>
      <w:r>
        <w:t xml:space="preserve">7. What changed in the repository (October 2026)</w:t>
      </w:r>
    </w:p>
    <w:p>
      <w:pPr>
        <w:pStyle w:val="Compact"/>
        <w:numPr>
          <w:ilvl w:val="0"/>
          <w:numId w:val="1022"/>
        </w:numPr>
      </w:pPr>
      <w:r>
        <w:rPr>
          <w:b/>
          <w:bCs/>
        </w:rPr>
        <w:t xml:space="preserve">New:</w:t>
      </w:r>
      <w:r>
        <w:rPr>
          <w:b/>
          <w:bCs/>
        </w:rPr>
        <w:t xml:space="preserve"> </w:t>
      </w:r>
      <w:r>
        <w:rPr>
          <w:rStyle w:val="VerbatimChar"/>
          <w:b/>
          <w:bCs/>
        </w:rPr>
        <w:t xml:space="preserve">OUTREACH_MESSAGING_REVIEW.md</w:t>
      </w:r>
      <w:r>
        <w:t xml:space="preserve"> </w:t>
      </w:r>
      <w:r>
        <w:t xml:space="preserve">(this document).</w:t>
      </w:r>
    </w:p>
    <w:p>
      <w:pPr>
        <w:pStyle w:val="Compact"/>
        <w:numPr>
          <w:ilvl w:val="0"/>
          <w:numId w:val="1022"/>
        </w:numPr>
      </w:pPr>
      <w:r>
        <w:rPr>
          <w:b/>
          <w:bCs/>
        </w:rPr>
        <w:t xml:space="preserve">New articles:</w:t>
      </w:r>
    </w:p>
    <w:p>
      <w:pPr>
        <w:pStyle w:val="Compact"/>
        <w:numPr>
          <w:ilvl w:val="1"/>
          <w:numId w:val="1023"/>
        </w:numPr>
      </w:pPr>
      <w:r>
        <w:rPr>
          <w:rStyle w:val="VerbatimChar"/>
        </w:rPr>
        <w:t xml:space="preserve">outreach/article_part1_septic_basics.md</w:t>
      </w:r>
      <w:r>
        <w:t xml:space="preserve"> </w:t>
      </w:r>
      <w:r>
        <w:t xml:space="preserve">replaces the ecological article.</w:t>
      </w:r>
    </w:p>
    <w:p>
      <w:pPr>
        <w:pStyle w:val="Compact"/>
        <w:numPr>
          <w:ilvl w:val="1"/>
          <w:numId w:val="1023"/>
        </w:numPr>
      </w:pPr>
      <w:r>
        <w:rPr>
          <w:rStyle w:val="VerbatimChar"/>
        </w:rPr>
        <w:t xml:space="preserve">outreach/article_part2_well_testing.md</w:t>
      </w:r>
      <w:r>
        <w:t xml:space="preserve"> </w:t>
      </w:r>
      <w:r>
        <w:t xml:space="preserve">replaces the health article.</w:t>
      </w:r>
    </w:p>
    <w:p>
      <w:pPr>
        <w:pStyle w:val="Compact"/>
        <w:numPr>
          <w:ilvl w:val="1"/>
          <w:numId w:val="1023"/>
        </w:numPr>
      </w:pPr>
      <w:r>
        <w:t xml:space="preserve">The old drafts are in</w:t>
      </w:r>
      <w:r>
        <w:t xml:space="preserve"> </w:t>
      </w:r>
      <w:r>
        <w:rPr>
          <w:rStyle w:val="VerbatimChar"/>
        </w:rPr>
        <w:t xml:space="preserve">outreach/archive/</w:t>
      </w:r>
      <w:r>
        <w:t xml:space="preserve">, with banners explaining why they are superseded.</w:t>
      </w:r>
    </w:p>
    <w:p>
      <w:pPr>
        <w:pStyle w:val="Compact"/>
        <w:numPr>
          <w:ilvl w:val="0"/>
          <w:numId w:val="1022"/>
        </w:numPr>
      </w:pPr>
      <w:r>
        <w:rPr>
          <w:b/>
          <w:bCs/>
        </w:rPr>
        <w:t xml:space="preserve">Rewritten:</w:t>
      </w:r>
      <w:r>
        <w:rPr>
          <w:b/>
          <w:bCs/>
        </w:rPr>
        <w:t xml:space="preserve"> </w:t>
      </w:r>
      <w:r>
        <w:rPr>
          <w:rStyle w:val="VerbatimChar"/>
          <w:b/>
          <w:bCs/>
        </w:rPr>
        <w:t xml:space="preserve">outreach/resident_resources_guide.md</w:t>
      </w:r>
      <w:r>
        <w:rPr>
          <w:b/>
          <w:bCs/>
        </w:rPr>
        <w:t xml:space="preserve">.</w:t>
      </w:r>
      <w:r>
        <w:t xml:space="preserve"> </w:t>
      </w:r>
      <w:r>
        <w:t xml:space="preserve">New sections:</w:t>
      </w:r>
    </w:p>
    <w:p>
      <w:pPr>
        <w:pStyle w:val="Compact"/>
        <w:numPr>
          <w:ilvl w:val="1"/>
          <w:numId w:val="1024"/>
        </w:numPr>
      </w:pPr>
      <w:r>
        <w:t xml:space="preserve">“Do I have a septic system?”</w:t>
      </w:r>
    </w:p>
    <w:p>
      <w:pPr>
        <w:pStyle w:val="Compact"/>
        <w:numPr>
          <w:ilvl w:val="1"/>
          <w:numId w:val="1024"/>
        </w:numPr>
      </w:pPr>
      <w:r>
        <w:t xml:space="preserve">“What the law requires”</w:t>
      </w:r>
    </w:p>
    <w:p>
      <w:pPr>
        <w:pStyle w:val="Compact"/>
        <w:numPr>
          <w:ilvl w:val="1"/>
          <w:numId w:val="1024"/>
        </w:numPr>
      </w:pPr>
      <w:r>
        <w:t xml:space="preserve">Corrected program status, phone numbers and costs.</w:t>
      </w:r>
    </w:p>
    <w:p>
      <w:pPr>
        <w:pStyle w:val="Compact"/>
        <w:numPr>
          <w:ilvl w:val="1"/>
          <w:numId w:val="1024"/>
        </w:numPr>
      </w:pPr>
      <w:r>
        <w:t xml:space="preserve">A team verification checklist.</w:t>
      </w:r>
    </w:p>
    <w:p>
      <w:pPr>
        <w:pStyle w:val="Compact"/>
        <w:numPr>
          <w:ilvl w:val="0"/>
          <w:numId w:val="1022"/>
        </w:numPr>
      </w:pPr>
      <w:r>
        <w:rPr>
          <w:b/>
          <w:bCs/>
        </w:rPr>
        <w:t xml:space="preserve">Corrected:</w:t>
      </w:r>
      <w:r>
        <w:rPr>
          <w:b/>
          <w:bCs/>
        </w:rPr>
        <w:t xml:space="preserve"> </w:t>
      </w:r>
      <w:r>
        <w:rPr>
          <w:rStyle w:val="VerbatimChar"/>
          <w:b/>
          <w:bCs/>
        </w:rPr>
        <w:t xml:space="preserve">ECOLOGICAL_EFFECTS_SYNTHESIS.md</w:t>
      </w:r>
      <w:r>
        <w:rPr>
          <w:b/>
          <w:bCs/>
        </w:rPr>
        <w:t xml:space="preserve">.</w:t>
      </w:r>
    </w:p>
    <w:p>
      <w:pPr>
        <w:pStyle w:val="Compact"/>
        <w:numPr>
          <w:ilvl w:val="1"/>
          <w:numId w:val="1025"/>
        </w:numPr>
      </w:pPr>
      <w:r>
        <w:t xml:space="preserve">An evidence-review box at the top.</w:t>
      </w:r>
    </w:p>
    <w:p>
      <w:pPr>
        <w:pStyle w:val="Compact"/>
        <w:numPr>
          <w:ilvl w:val="1"/>
          <w:numId w:val="1025"/>
        </w:numPr>
      </w:pPr>
      <w:r>
        <w:t xml:space="preserve">Corrections marked</w:t>
      </w:r>
      <w:r>
        <w:t xml:space="preserve"> </w:t>
      </w:r>
      <w:r>
        <w:rPr>
          <w:b/>
          <w:bCs/>
        </w:rPr>
        <w:t xml:space="preserve">[Oct 2026]</w:t>
      </w:r>
      <w:r>
        <w:t xml:space="preserve">.</w:t>
      </w:r>
    </w:p>
    <w:p>
      <w:pPr>
        <w:pStyle w:val="Compact"/>
        <w:numPr>
          <w:ilvl w:val="1"/>
          <w:numId w:val="1025"/>
        </w:numPr>
      </w:pPr>
      <w:r>
        <w:t xml:space="preserve">Section 2.5 rewritten with what VDH actually monitors.</w:t>
      </w:r>
    </w:p>
    <w:p>
      <w:pPr>
        <w:pStyle w:val="Compact"/>
        <w:numPr>
          <w:ilvl w:val="1"/>
          <w:numId w:val="1025"/>
        </w:numPr>
      </w:pPr>
      <w:r>
        <w:t xml:space="preserve">Section 4 replaced with a two-axis table (mechanism vs. ESVA evidence).</w:t>
      </w:r>
    </w:p>
    <w:p>
      <w:pPr>
        <w:pStyle w:val="Compact"/>
        <w:numPr>
          <w:ilvl w:val="0"/>
          <w:numId w:val="1022"/>
        </w:numPr>
      </w:pPr>
      <w:r>
        <w:rPr>
          <w:b/>
          <w:bCs/>
        </w:rPr>
        <w:t xml:space="preserve">Corrected: the</w:t>
      </w:r>
      <w:r>
        <w:rPr>
          <w:b/>
          <w:bCs/>
        </w:rPr>
        <w:t xml:space="preserve"> </w:t>
      </w:r>
      <w:r>
        <w:rPr>
          <w:rStyle w:val="VerbatimChar"/>
          <w:b/>
          <w:bCs/>
        </w:rPr>
        <w:t xml:space="preserve">research/pathway_*.md</w:t>
      </w:r>
      <w:r>
        <w:rPr>
          <w:b/>
          <w:bCs/>
        </w:rPr>
        <w:t xml:space="preserve"> </w:t>
      </w:r>
      <w:r>
        <w:rPr>
          <w:b/>
          <w:bCs/>
        </w:rPr>
        <w:t xml:space="preserve">files and</w:t>
      </w:r>
      <w:r>
        <w:rPr>
          <w:b/>
          <w:bCs/>
        </w:rPr>
        <w:t xml:space="preserve"> </w:t>
      </w:r>
      <w:r>
        <w:rPr>
          <w:rStyle w:val="VerbatimChar"/>
          <w:b/>
          <w:bCs/>
        </w:rPr>
        <w:t xml:space="preserve">ECOLOGICAL_BIBLIOGRAPHY.md</w:t>
      </w:r>
      <w:r>
        <w:rPr>
          <w:b/>
          <w:bCs/>
        </w:rPr>
        <w:t xml:space="preserve">.</w:t>
      </w:r>
      <w:r>
        <w:t xml:space="preserve"> </w:t>
      </w:r>
      <w:r>
        <w:t xml:space="preserve">Review notices plus line-level fixes: the Mitchell attributions, the overlap and 20–40% claims, Chincoteague, the town list, the Leight &amp; Hood citation, and misattributed references flagged.</w:t>
      </w:r>
    </w:p>
    <w:p>
      <w:pPr>
        <w:pStyle w:val="Compact"/>
        <w:numPr>
          <w:ilvl w:val="0"/>
          <w:numId w:val="1022"/>
        </w:numPr>
      </w:pPr>
      <w:r>
        <w:rPr>
          <w:b/>
          <w:bCs/>
        </w:rPr>
        <w:t xml:space="preserve">Poster:</w:t>
      </w:r>
      <w:r>
        <w:t xml:space="preserve"> </w:t>
      </w:r>
      <w:r>
        <w:t xml:space="preserve">removed the false RD883 attribution of the seven-town list; added a review note to the spec.</w:t>
      </w:r>
    </w:p>
    <w:p>
      <w:pPr>
        <w:pStyle w:val="Compact"/>
        <w:numPr>
          <w:ilvl w:val="0"/>
          <w:numId w:val="1022"/>
        </w:numPr>
      </w:pPr>
      <w:r>
        <w:rPr>
          <w:rStyle w:val="VerbatimChar"/>
          <w:b/>
          <w:bCs/>
        </w:rPr>
        <w:t xml:space="preserve">ECOLOGICAL_RESEARCH_STRATEGY.md</w:t>
      </w:r>
      <w:r>
        <w:rPr>
          <w:b/>
          <w:bCs/>
        </w:rPr>
        <w:t xml:space="preserve">:</w:t>
      </w:r>
      <w:r>
        <w:t xml:space="preserve"> </w:t>
      </w:r>
      <w:r>
        <w:t xml:space="preserve">status note.</w:t>
      </w:r>
    </w:p>
    <w:p>
      <w:pPr>
        <w:pStyle w:val="Compact"/>
        <w:numPr>
          <w:ilvl w:val="0"/>
          <w:numId w:val="1022"/>
        </w:numPr>
      </w:pPr>
      <w:r>
        <w:rPr>
          <w:b/>
          <w:bCs/>
        </w:rPr>
        <w:t xml:space="preserve">Deliverables:</w:t>
      </w:r>
      <w:r>
        <w:t xml:space="preserve"> </w:t>
      </w:r>
      <w:r>
        <w:t xml:space="preserve">rebuilt (</w:t>
      </w:r>
      <w:r>
        <w:rPr>
          <w:rStyle w:val="VerbatimChar"/>
        </w:rPr>
        <w:t xml:space="preserve">./tools/build-deliverables.sh</w:t>
      </w:r>
      <w:r>
        <w:t xml:space="preserve">).</w:t>
      </w:r>
    </w:p>
    <w:p>
      <w:pPr>
        <w:pStyle w:val="FirstParagraph"/>
      </w:pPr>
      <w:r>
        <w:rPr>
          <w:b/>
          <w:bCs/>
        </w:rPr>
        <w:t xml:space="preserve">Not changed:</w:t>
      </w:r>
      <w:r>
        <w:t xml:space="preserve"> </w:t>
      </w:r>
      <w:r>
        <w:rPr>
          <w:rStyle w:val="VerbatimChar"/>
        </w:rPr>
        <w:t xml:space="preserve">WHY_THIS_MATTERS.md</w:t>
      </w:r>
      <w:r>
        <w:t xml:space="preserve"> </w:t>
      </w:r>
      <w:r>
        <w:t xml:space="preserve">and the other health documents on the</w:t>
      </w:r>
      <w:r>
        <w:t xml:space="preserve"> </w:t>
      </w:r>
      <w:r>
        <w:rPr>
          <w:rStyle w:val="VerbatimChar"/>
        </w:rPr>
        <w:t xml:space="preserve">claude/summarize-project-files-9UwoB</w:t>
      </w:r>
      <w:r>
        <w:t xml:space="preserve"> </w:t>
      </w:r>
      <w:r>
        <w:t xml:space="preserve">branch. They are the origin of claims 1, 5–9, 11 and 15 in Section 3.</w:t>
      </w:r>
      <w:r>
        <w:t xml:space="preserve"> </w:t>
      </w:r>
      <w:r>
        <w:rPr>
          <w:b/>
          <w:bCs/>
        </w:rPr>
        <w:t xml:space="preserve">Recommend adding a notice to that branch, or retiring</w:t>
      </w:r>
      <w:r>
        <w:rPr>
          <w:b/>
          <w:bCs/>
        </w:rPr>
        <w:t xml:space="preserve"> </w:t>
      </w:r>
      <w:r>
        <w:rPr>
          <w:rStyle w:val="VerbatimChar"/>
          <w:b/>
          <w:bCs/>
        </w:rPr>
        <w:t xml:space="preserve">WHY_THIS_MATTERS.md</w:t>
      </w:r>
      <w:r>
        <w:rPr>
          <w:b/>
          <w:bCs/>
        </w:rPr>
        <w:t xml:space="preserve"> </w:t>
      </w:r>
      <w:r>
        <w:rPr>
          <w:b/>
          <w:bCs/>
        </w:rPr>
        <w:t xml:space="preserve">as a source for outreach.</w:t>
      </w:r>
    </w:p>
    <w:p>
      <w:r>
        <w:pict>
          <v:rect style="width:0;height:1.5pt" o:hralign="center" o:hrstd="t" o:hr="t"/>
        </w:pict>
      </w:r>
    </w:p>
    <w:bookmarkEnd w:id="22"/>
    <w:bookmarkStart w:id="23" w:name="X4d8e67f660b8175ba46c42ef1e0ede6a509c31e"/>
    <w:p>
      <w:pPr>
        <w:pStyle w:val="Heading2"/>
      </w:pPr>
      <w:r>
        <w:t xml:space="preserve">8. Why these errors persisted, and a simple fix</w:t>
      </w:r>
    </w:p>
    <w:p>
      <w:pPr>
        <w:pStyle w:val="FirstParagraph"/>
      </w:pPr>
      <w:r>
        <w:t xml:space="preserve">Most of the problems share one origin. Numbers and attributions produced during AI-assisted research drafting entered project documents without being checked against the primary source. Then they were copied from document to document:</w:t>
      </w:r>
    </w:p>
    <w:p>
      <w:pPr>
        <w:pStyle w:val="Compact"/>
        <w:numPr>
          <w:ilvl w:val="0"/>
          <w:numId w:val="1026"/>
        </w:numPr>
      </w:pPr>
      <w:r>
        <w:t xml:space="preserve">the 43% figure;</w:t>
      </w:r>
    </w:p>
    <w:p>
      <w:pPr>
        <w:pStyle w:val="Compact"/>
        <w:numPr>
          <w:ilvl w:val="0"/>
          <w:numId w:val="1026"/>
        </w:numPr>
      </w:pPr>
      <w:r>
        <w:t xml:space="preserve">Chincoteague;</w:t>
      </w:r>
    </w:p>
    <w:p>
      <w:pPr>
        <w:pStyle w:val="Compact"/>
        <w:numPr>
          <w:ilvl w:val="0"/>
          <w:numId w:val="1026"/>
        </w:numPr>
      </w:pPr>
      <w:r>
        <w:t xml:space="preserve">the thyroid claim;</w:t>
      </w:r>
    </w:p>
    <w:p>
      <w:pPr>
        <w:pStyle w:val="Compact"/>
        <w:numPr>
          <w:ilvl w:val="0"/>
          <w:numId w:val="1026"/>
        </w:numPr>
      </w:pPr>
      <w:r>
        <w:t xml:space="preserve">the Mitchell overlap;</w:t>
      </w:r>
    </w:p>
    <w:p>
      <w:pPr>
        <w:pStyle w:val="Compact"/>
        <w:numPr>
          <w:ilvl w:val="0"/>
          <w:numId w:val="1026"/>
        </w:numPr>
      </w:pPr>
      <w:r>
        <w:t xml:space="preserve">the 20–40% share;</w:t>
      </w:r>
    </w:p>
    <w:p>
      <w:pPr>
        <w:pStyle w:val="Compact"/>
        <w:numPr>
          <w:ilvl w:val="0"/>
          <w:numId w:val="1026"/>
        </w:numPr>
      </w:pPr>
      <w:r>
        <w:t xml:space="preserve">the town list.</w:t>
      </w:r>
    </w:p>
    <w:p>
      <w:pPr>
        <w:pStyle w:val="FirstParagraph"/>
      </w:pPr>
      <w:r>
        <w:t xml:space="preserve">When the poster review caught some of them in July, the fixes never propagated back to the synthesis and articles. Your own catch on the 80% figure, which you traced to the 2010 Water Supply Plan, is the model to follow.</w:t>
      </w:r>
    </w:p>
    <w:p>
      <w:pPr>
        <w:pStyle w:val="BodyText"/>
      </w:pPr>
      <w:r>
        <w:rPr>
          <w:b/>
          <w:bCs/>
        </w:rPr>
        <w:t xml:space="preserve">The fix:</w:t>
      </w:r>
      <w:r>
        <w:t xml:space="preserve"> </w:t>
      </w:r>
      <w:r>
        <w:t xml:space="preserve">Appendix A below is a single sheet of canonical numbers, each with its primary source.</w:t>
      </w:r>
      <w:r>
        <w:t xml:space="preserve"> </w:t>
      </w:r>
      <w:r>
        <w:rPr>
          <w:b/>
          <w:bCs/>
        </w:rPr>
        <w:t xml:space="preserve">If a number isn’t on the sheet, it doesn’t go in a public piece until someone adds it with a source.</w:t>
      </w:r>
      <w:r>
        <w:t xml:space="preserve"> </w:t>
      </w:r>
      <w:r>
        <w:t xml:space="preserve">When a number changes, change it on the sheet first.</w:t>
      </w:r>
    </w:p>
    <w:p>
      <w:r>
        <w:pict>
          <v:rect style="width:0;height:1.5pt" o:hralign="center" o:hrstd="t" o:hr="t"/>
        </w:pict>
      </w:r>
    </w:p>
    <w:bookmarkEnd w:id="23"/>
    <w:bookmarkStart w:id="24" w:name="X503307f392219466c6a2b12ced83b09e6b22445"/>
    <w:p>
      <w:pPr>
        <w:pStyle w:val="Heading2"/>
      </w:pPr>
      <w:r>
        <w:t xml:space="preserve">Appendix A: Canonical numbers for outreach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w:t>
            </w:r>
          </w:p>
        </w:tc>
        <w:tc>
          <w:tcPr/>
          <w:p>
            <w:pPr>
              <w:pStyle w:val="Compact"/>
            </w:pPr>
            <w:r>
              <w:t xml:space="preserve">Value</w:t>
            </w:r>
          </w:p>
        </w:tc>
        <w:tc>
          <w:tcPr/>
          <w:p>
            <w:pPr>
              <w:pStyle w:val="Compact"/>
            </w:pPr>
            <w:r>
              <w:t xml:space="preserve">Primary source</w:t>
            </w:r>
          </w:p>
        </w:tc>
      </w:tr>
      <w:tr>
        <w:tc>
          <w:tcPr/>
          <w:p>
            <w:pPr>
              <w:pStyle w:val="Compact"/>
            </w:pPr>
            <w:r>
              <w:t xml:space="preserve">VDH oversight of 5-year pump-outs on the Shore</w:t>
            </w:r>
          </w:p>
        </w:tc>
        <w:tc>
          <w:tcPr/>
          <w:p>
            <w:pPr>
              <w:pStyle w:val="Compact"/>
            </w:pPr>
            <w:r>
              <w:t xml:space="preserve">Since July 1, 2023</w:t>
            </w:r>
          </w:p>
        </w:tc>
        <w:tc>
          <w:tcPr/>
          <w:p>
            <w:pPr>
              <w:pStyle w:val="Compact"/>
            </w:pPr>
            <w:r>
              <w:t xml:space="preserve">9VAC25-830-130(7); VDH RD1005 (2025)</w:t>
            </w:r>
          </w:p>
        </w:tc>
      </w:tr>
      <w:tr>
        <w:tc>
          <w:tcPr/>
          <w:p>
            <w:pPr>
              <w:pStyle w:val="Compact"/>
            </w:pPr>
            <w:r>
              <w:t xml:space="preserve">ESHD reminder letters</w:t>
            </w:r>
          </w:p>
        </w:tc>
        <w:tc>
          <w:tcPr/>
          <w:p>
            <w:pPr>
              <w:pStyle w:val="Compact"/>
            </w:pPr>
            <w:r>
              <w:t xml:space="preserve">Northampton from April 2024 (~2,000 letters, ~25% response); Accomack from July 2024</w:t>
            </w:r>
          </w:p>
        </w:tc>
        <w:tc>
          <w:tcPr/>
          <w:p>
            <w:pPr>
              <w:pStyle w:val="Compact"/>
            </w:pPr>
            <w:r>
              <w:t xml:space="preserve">VDH RD1005</w:t>
            </w:r>
          </w:p>
        </w:tc>
      </w:tr>
      <w:tr>
        <w:tc>
          <w:tcPr/>
          <w:p>
            <w:pPr>
              <w:pStyle w:val="Compact"/>
            </w:pPr>
            <w:r>
              <w:t xml:space="preserve">Pump-out reports, July 2023–Sept 2025</w:t>
            </w:r>
          </w:p>
        </w:tc>
        <w:tc>
          <w:tcPr/>
          <w:p>
            <w:pPr>
              <w:pStyle w:val="Compact"/>
            </w:pPr>
            <w:r>
              <w:t xml:space="preserve">436 Eastern Shore (vs 3,256 Middle Peninsula)</w:t>
            </w:r>
          </w:p>
        </w:tc>
        <w:tc>
          <w:tcPr/>
          <w:p>
            <w:pPr>
              <w:pStyle w:val="Compact"/>
            </w:pPr>
            <w:r>
              <w:t xml:space="preserve">VDH RD1005.</w:t>
            </w:r>
            <w:r>
              <w:t xml:space="preserve"> </w:t>
            </w:r>
            <w:r>
              <w:rPr>
                <w:i/>
                <w:iCs/>
              </w:rPr>
              <w:t xml:space="preserve">Internal context; ask VDH before printing.</w:t>
            </w:r>
          </w:p>
        </w:tc>
      </w:tr>
      <w:tr>
        <w:tc>
          <w:tcPr/>
          <w:p>
            <w:pPr>
              <w:pStyle w:val="Compact"/>
            </w:pPr>
            <w:r>
              <w:t xml:space="preserve">Estimated septic systems</w:t>
            </w:r>
          </w:p>
        </w:tc>
        <w:tc>
          <w:tcPr/>
          <w:p>
            <w:pPr>
              <w:pStyle w:val="Compact"/>
            </w:pPr>
            <w:r>
              <w:t xml:space="preserve">Up to ~18,100 Accomack and ~6,300 Northampton (VDH upper bound,</w:t>
            </w:r>
            <w:r>
              <w:t xml:space="preserve"> </w:t>
            </w:r>
            <w:r>
              <w:t xml:space="preserve">“likely greater than actual”</w:t>
            </w:r>
            <w:r>
              <w:t xml:space="preserve">). VDH database holds 7,106 and 2,164.</w:t>
            </w:r>
          </w:p>
        </w:tc>
        <w:tc>
          <w:tcPr/>
          <w:p>
            <w:pPr>
              <w:pStyle w:val="Compact"/>
            </w:pPr>
            <w:r>
              <w:t xml:space="preserve">VDH RD1005, Table 1</w:t>
            </w:r>
          </w:p>
        </w:tc>
      </w:tr>
      <w:tr>
        <w:tc>
          <w:tcPr/>
          <w:p>
            <w:pPr>
              <w:pStyle w:val="Compact"/>
            </w:pPr>
            <w:r>
              <w:t xml:space="preserve">Repairs overseen by ESHD</w:t>
            </w:r>
          </w:p>
        </w:tc>
        <w:tc>
          <w:tcPr/>
          <w:p>
            <w:pPr>
              <w:pStyle w:val="Compact"/>
            </w:pPr>
            <w:r>
              <w:t xml:space="preserve">~90 per year</w:t>
            </w:r>
          </w:p>
        </w:tc>
        <w:tc>
          <w:tcPr/>
          <w:p>
            <w:pPr>
              <w:pStyle w:val="Compact"/>
            </w:pPr>
            <w:r>
              <w:t xml:space="preserve">ESHD, project meeting, Feb 10, 2026</w:t>
            </w:r>
          </w:p>
        </w:tc>
      </w:tr>
      <w:tr>
        <w:tc>
          <w:tcPr/>
          <w:p>
            <w:pPr>
              <w:pStyle w:val="Compact"/>
            </w:pPr>
            <w:r>
              <w:t xml:space="preserve">Average pump-out cost</w:t>
            </w:r>
          </w:p>
        </w:tc>
        <w:tc>
          <w:tcPr/>
          <w:p>
            <w:pPr>
              <w:pStyle w:val="Compact"/>
            </w:pPr>
            <w:r>
              <w:t xml:space="preserve">~$430 (statewide)</w:t>
            </w:r>
          </w:p>
        </w:tc>
        <w:tc>
          <w:tcPr/>
          <w:p>
            <w:pPr>
              <w:pStyle w:val="Compact"/>
            </w:pPr>
            <w:r>
              <w:t xml:space="preserve">VDH RD814 (2023)</w:t>
            </w:r>
          </w:p>
        </w:tc>
      </w:tr>
      <w:tr>
        <w:tc>
          <w:tcPr/>
          <w:p>
            <w:pPr>
              <w:pStyle w:val="Compact"/>
            </w:pPr>
            <w:r>
              <w:t xml:space="preserve">Reported high pump-out cost</w:t>
            </w:r>
          </w:p>
        </w:tc>
        <w:tc>
          <w:tcPr/>
          <w:p>
            <w:pPr>
              <w:pStyle w:val="Compact"/>
            </w:pPr>
            <w:r>
              <w:t xml:space="preserve">Up to $875 (rural coastal VA)</w:t>
            </w:r>
          </w:p>
        </w:tc>
        <w:tc>
          <w:tcPr/>
          <w:p>
            <w:pPr>
              <w:pStyle w:val="Compact"/>
            </w:pPr>
            <w:r>
              <w:t xml:space="preserve">VDH RD1005</w:t>
            </w:r>
          </w:p>
        </w:tc>
      </w:tr>
      <w:tr>
        <w:tc>
          <w:tcPr/>
          <w:p>
            <w:pPr>
              <w:pStyle w:val="Compact"/>
            </w:pPr>
            <w:r>
              <w:t xml:space="preserve">Average repair cost</w:t>
            </w:r>
          </w:p>
        </w:tc>
        <w:tc>
          <w:tcPr/>
          <w:p>
            <w:pPr>
              <w:pStyle w:val="Compact"/>
            </w:pPr>
            <w:r>
              <w:t xml:space="preserve">~$19,650 conventional; ~$34,800 alternative</w:t>
            </w:r>
          </w:p>
        </w:tc>
        <w:tc>
          <w:tcPr/>
          <w:p>
            <w:pPr>
              <w:pStyle w:val="Compact"/>
            </w:pPr>
            <w:r>
              <w:t xml:space="preserve">VDH RD814 (2023)</w:t>
            </w:r>
          </w:p>
        </w:tc>
      </w:tr>
      <w:tr>
        <w:tc>
          <w:tcPr/>
          <w:p>
            <w:pPr>
              <w:pStyle w:val="Compact"/>
            </w:pPr>
            <w:r>
              <w:t xml:space="preserve">Alternative-system maintenance</w:t>
            </w:r>
          </w:p>
        </w:tc>
        <w:tc>
          <w:tcPr/>
          <w:p>
            <w:pPr>
              <w:pStyle w:val="Compact"/>
            </w:pPr>
            <w:r>
              <w:t xml:space="preserve">~$444–$914/yr</w:t>
            </w:r>
          </w:p>
        </w:tc>
        <w:tc>
          <w:tcPr/>
          <w:p>
            <w:pPr>
              <w:pStyle w:val="Compact"/>
            </w:pPr>
            <w:r>
              <w:t xml:space="preserve">VDH RD814 (2023)</w:t>
            </w:r>
          </w:p>
        </w:tc>
      </w:tr>
      <w:tr>
        <w:tc>
          <w:tcPr/>
          <w:p>
            <w:pPr>
              <w:pStyle w:val="Compact"/>
            </w:pPr>
            <w:r>
              <w:t xml:space="preserve">AOSS operator visit</w:t>
            </w:r>
          </w:p>
        </w:tc>
        <w:tc>
          <w:tcPr/>
          <w:p>
            <w:pPr>
              <w:pStyle w:val="Compact"/>
            </w:pPr>
            <w:r>
              <w:t xml:space="preserve">At least every 12 months (≤1,000 gpd)</w:t>
            </w:r>
          </w:p>
        </w:tc>
        <w:tc>
          <w:tcPr/>
          <w:p>
            <w:pPr>
              <w:pStyle w:val="Compact"/>
            </w:pPr>
            <w:r>
              <w:t xml:space="preserve">12VAC5-613-150</w:t>
            </w:r>
          </w:p>
        </w:tc>
      </w:tr>
      <w:tr>
        <w:tc>
          <w:tcPr/>
          <w:p>
            <w:pPr>
              <w:pStyle w:val="Compact"/>
            </w:pPr>
            <w:r>
              <w:t xml:space="preserve">Separation, conventional drainfield</w:t>
            </w:r>
          </w:p>
        </w:tc>
        <w:tc>
          <w:tcPr/>
          <w:p>
            <w:pPr>
              <w:pStyle w:val="Compact"/>
            </w:pPr>
            <w:r>
              <w:t xml:space="preserve">18 in. below trench free of seasonal water table</w:t>
            </w:r>
          </w:p>
        </w:tc>
        <w:tc>
          <w:tcPr/>
          <w:p>
            <w:pPr>
              <w:pStyle w:val="Compact"/>
            </w:pPr>
            <w:r>
              <w:t xml:space="preserve">12VAC5-610-594</w:t>
            </w:r>
          </w:p>
        </w:tc>
      </w:tr>
      <w:tr>
        <w:tc>
          <w:tcPr/>
          <w:p>
            <w:pPr>
              <w:pStyle w:val="Compact"/>
            </w:pPr>
            <w:r>
              <w:t xml:space="preserve">Well–septic setbacks</w:t>
            </w:r>
          </w:p>
        </w:tc>
        <w:tc>
          <w:tcPr/>
          <w:p>
            <w:pPr>
              <w:pStyle w:val="Compact"/>
            </w:pPr>
            <w:r>
              <w:t xml:space="preserve">Tank 50 ft; drainfield 50 ft (Class IIIA/B) or 100 ft (Class IIIC)</w:t>
            </w:r>
          </w:p>
        </w:tc>
        <w:tc>
          <w:tcPr/>
          <w:p>
            <w:pPr>
              <w:pStyle w:val="Compact"/>
            </w:pPr>
            <w:r>
              <w:t xml:space="preserve">12VAC5-630-380</w:t>
            </w:r>
          </w:p>
        </w:tc>
      </w:tr>
      <w:tr>
        <w:tc>
          <w:tcPr/>
          <w:p>
            <w:pPr>
              <w:pStyle w:val="Compact"/>
            </w:pPr>
            <w:r>
              <w:t xml:space="preserve">Shore well clinics, 2014–17</w:t>
            </w:r>
          </w:p>
        </w:tc>
        <w:tc>
          <w:tcPr/>
          <w:p>
            <w:pPr>
              <w:pStyle w:val="Compact"/>
            </w:pPr>
            <w:r>
              <w:t xml:space="preserve">340 samples. Coliform 27%;</w:t>
            </w:r>
            <w:r>
              <w:t xml:space="preserve"> </w:t>
            </w:r>
            <w:r>
              <w:rPr>
                <w:i/>
                <w:iCs/>
              </w:rPr>
              <w:t xml:space="preserve">E. coli</w:t>
            </w:r>
            <w:r>
              <w:t xml:space="preserve"> </w:t>
            </w:r>
            <w:r>
              <w:t xml:space="preserve">4%; other contaminants, including nitrate, &lt;5%; sodium &gt;20 mg/L 43%</w:t>
            </w:r>
          </w:p>
        </w:tc>
        <w:tc>
          <w:tcPr/>
          <w:p>
            <w:pPr>
              <w:pStyle w:val="Compact"/>
            </w:pPr>
            <w:r>
              <w:t xml:space="preserve">VAHWQP,</w:t>
            </w:r>
            <w:r>
              <w:t xml:space="preserve"> </w:t>
            </w:r>
            <w:r>
              <w:rPr>
                <w:i/>
                <w:iCs/>
              </w:rPr>
              <w:t xml:space="preserve">Household Water Quality, Eastern Shore 2014–2017</w:t>
            </w:r>
            <w:r>
              <w:t xml:space="preserve"> </w:t>
            </w:r>
            <w:r>
              <w:t xml:space="preserve">(hdl.handle.net/10919/98276)</w:t>
            </w:r>
          </w:p>
        </w:tc>
      </w:tr>
      <w:tr>
        <w:tc>
          <w:tcPr/>
          <w:p>
            <w:pPr>
              <w:pStyle w:val="Compact"/>
            </w:pPr>
            <w:r>
              <w:t xml:space="preserve">Domestic well depth</w:t>
            </w:r>
          </w:p>
        </w:tc>
        <w:tc>
          <w:tcPr/>
          <w:p>
            <w:pPr>
              <w:pStyle w:val="Compact"/>
            </w:pPr>
            <w:r>
              <w:t xml:space="preserve">Median screen ~190 ft (Accomack), ~160 ft (Northampton); mostly confined aquifers</w:t>
            </w:r>
          </w:p>
        </w:tc>
        <w:tc>
          <w:tcPr/>
          <w:p>
            <w:pPr>
              <w:pStyle w:val="Compact"/>
            </w:pPr>
            <w:r>
              <w:t xml:space="preserve">USGS SIR 2007-5250</w:t>
            </w:r>
          </w:p>
        </w:tc>
      </w:tr>
      <w:tr>
        <w:tc>
          <w:tcPr/>
          <w:p>
            <w:pPr>
              <w:pStyle w:val="Compact"/>
            </w:pPr>
            <w:r>
              <w:t xml:space="preserve">Well testing program</w:t>
            </w:r>
          </w:p>
        </w:tc>
        <w:tc>
          <w:tcPr/>
          <w:p>
            <w:pPr>
              <w:pStyle w:val="Compact"/>
            </w:pPr>
            <w:r>
              <w:t xml:space="preserve">$70; 28 items; 2026 Shore clinic Aug 11</w:t>
            </w:r>
          </w:p>
        </w:tc>
        <w:tc>
          <w:tcPr/>
          <w:p>
            <w:pPr>
              <w:pStyle w:val="Compact"/>
            </w:pPr>
            <w:r>
              <w:t xml:space="preserve">Virginia Household Water Quality Program</w:t>
            </w:r>
          </w:p>
        </w:tc>
      </w:tr>
      <w:tr>
        <w:tc>
          <w:tcPr/>
          <w:p>
            <w:pPr>
              <w:pStyle w:val="Compact"/>
            </w:pPr>
            <w:r>
              <w:t xml:space="preserve">Shellfish monitoring</w:t>
            </w:r>
          </w:p>
        </w:tc>
        <w:tc>
          <w:tcPr/>
          <w:p>
            <w:pPr>
              <w:pStyle w:val="Compact"/>
            </w:pPr>
            <w:r>
              <w:t xml:space="preserve">~590 active Shore stations; ≥6 samples/yr each</w:t>
            </w:r>
          </w:p>
        </w:tc>
        <w:tc>
          <w:tcPr/>
          <w:p>
            <w:pPr>
              <w:pStyle w:val="Compact"/>
            </w:pPr>
            <w:r>
              <w:t xml:space="preserve">VDH DSSWH. Station count from the VDH GIS layer;</w:t>
            </w:r>
            <w:r>
              <w:t xml:space="preserve"> </w:t>
            </w:r>
            <w:r>
              <w:rPr>
                <w:i/>
                <w:iCs/>
              </w:rPr>
              <w:t xml:space="preserve">verify before printing a number.</w:t>
            </w:r>
          </w:p>
        </w:tc>
      </w:tr>
      <w:tr>
        <w:tc>
          <w:tcPr/>
          <w:p>
            <w:pPr>
              <w:pStyle w:val="Compact"/>
            </w:pPr>
            <w:r>
              <w:t xml:space="preserve">Condemned shellfish acreage</w:t>
            </w:r>
          </w:p>
        </w:tc>
        <w:tc>
          <w:tcPr/>
          <w:p>
            <w:pPr>
              <w:pStyle w:val="Compact"/>
            </w:pPr>
            <w:r>
              <w:t xml:space="preserve">~1% Shore vs ~6% statewide</w:t>
            </w:r>
          </w:p>
        </w:tc>
        <w:tc>
          <w:tcPr/>
          <w:p>
            <w:pPr>
              <w:pStyle w:val="Compact"/>
            </w:pPr>
            <w:r>
              <w:t xml:space="preserve">Project analysis of the VDH GIS layer, Oct 2026.</w:t>
            </w:r>
            <w:r>
              <w:t xml:space="preserve"> </w:t>
            </w:r>
            <w:r>
              <w:rPr>
                <w:i/>
                <w:iCs/>
              </w:rPr>
              <w:t xml:space="preserve">Verify before printing.</w:t>
            </w:r>
          </w:p>
        </w:tc>
      </w:tr>
      <w:tr>
        <w:tc>
          <w:tcPr/>
          <w:p>
            <w:pPr>
              <w:pStyle w:val="Compact"/>
            </w:pPr>
            <w:r>
              <w:t xml:space="preserve">Aquaculture farm-gate sales</w:t>
            </w:r>
          </w:p>
        </w:tc>
        <w:tc>
          <w:tcPr/>
          <w:p>
            <w:pPr>
              <w:pStyle w:val="Compact"/>
            </w:pPr>
            <w:r>
              <w:t xml:space="preserve">~$75M (2025); $81M (2024); &gt;700 workers</w:t>
            </w:r>
          </w:p>
        </w:tc>
        <w:tc>
          <w:tcPr/>
          <w:p>
            <w:pPr>
              <w:pStyle w:val="Compact"/>
            </w:pPr>
            <w:r>
              <w:t xml:space="preserve">VIMS</w:t>
            </w:r>
            <w:r>
              <w:t xml:space="preserve"> </w:t>
            </w:r>
            <w:r>
              <w:rPr>
                <w:i/>
                <w:iCs/>
              </w:rPr>
              <w:t xml:space="preserve">Situation &amp; Outlook Report</w:t>
            </w:r>
            <w:r>
              <w:t xml:space="preserve"> </w:t>
            </w:r>
            <w:r>
              <w:t xml:space="preserve">(2025 data, doi:10.21220/AFQ2-YC24)</w:t>
            </w:r>
          </w:p>
        </w:tc>
      </w:tr>
      <w:tr>
        <w:tc>
          <w:tcPr/>
          <w:p>
            <w:pPr>
              <w:pStyle w:val="Compact"/>
            </w:pPr>
            <w:r>
              <w:t xml:space="preserve">Hard clams</w:t>
            </w:r>
          </w:p>
        </w:tc>
        <w:tc>
          <w:tcPr/>
          <w:p>
            <w:pPr>
              <w:pStyle w:val="Compact"/>
            </w:pPr>
            <w:r>
              <w:t xml:space="preserve">99.9% of Virginia landings from the Shore (2021)</w:t>
            </w:r>
          </w:p>
        </w:tc>
        <w:tc>
          <w:tcPr/>
          <w:p>
            <w:pPr>
              <w:pStyle w:val="Compact"/>
            </w:pPr>
            <w:r>
              <w:t xml:space="preserve">VIMS ESL Technical Report 10</w:t>
            </w:r>
          </w:p>
        </w:tc>
      </w:tr>
      <w:tr>
        <w:tc>
          <w:tcPr/>
          <w:p>
            <w:pPr>
              <w:pStyle w:val="Compact"/>
            </w:pPr>
            <w:r>
              <w:t xml:space="preserve">Seaside eelgrass</w:t>
            </w:r>
          </w:p>
        </w:tc>
        <w:tc>
          <w:tcPr/>
          <w:p>
            <w:pPr>
              <w:pStyle w:val="Compact"/>
            </w:pPr>
            <w:r>
              <w:t xml:space="preserve">3,612 ha (~8,900 acres) at the 2018 census; ~10,000 acres per VIMS (2025)</w:t>
            </w:r>
          </w:p>
        </w:tc>
        <w:tc>
          <w:tcPr/>
          <w:p>
            <w:pPr>
              <w:pStyle w:val="Compact"/>
            </w:pPr>
            <w:r>
              <w:t xml:space="preserve">Orth et al. 2020</w:t>
            </w:r>
            <w:r>
              <w:t xml:space="preserve"> </w:t>
            </w:r>
            <w:r>
              <w:rPr>
                <w:i/>
                <w:iCs/>
              </w:rPr>
              <w:t xml:space="preserve">Sci. Adv.</w:t>
            </w:r>
            <w:r>
              <w:t xml:space="preserve">; VIMS</w:t>
            </w:r>
          </w:p>
        </w:tc>
      </w:tr>
      <w:tr>
        <w:tc>
          <w:tcPr/>
          <w:p>
            <w:pPr>
              <w:pStyle w:val="Compact"/>
            </w:pPr>
            <w:r>
              <w:t xml:space="preserve">Bay scallops</w:t>
            </w:r>
          </w:p>
        </w:tc>
        <w:tc>
          <w:tcPr/>
          <w:p>
            <w:pPr>
              <w:pStyle w:val="Compact"/>
            </w:pPr>
            <w:r>
              <w:t xml:space="preserve">0.114/m² (2025 survey), rising</w:t>
            </w:r>
          </w:p>
        </w:tc>
        <w:tc>
          <w:tcPr/>
          <w:p>
            <w:pPr>
              <w:pStyle w:val="Compact"/>
            </w:pPr>
            <w:r>
              <w:t xml:space="preserve">VIMS 2025</w:t>
            </w:r>
          </w:p>
        </w:tc>
      </w:tr>
      <w:tr>
        <w:tc>
          <w:tcPr/>
          <w:p>
            <w:pPr>
              <w:pStyle w:val="Compact"/>
            </w:pPr>
            <w:r>
              <w:t xml:space="preserve">Relative sea-level rise</w:t>
            </w:r>
          </w:p>
        </w:tc>
        <w:tc>
          <w:tcPr/>
          <w:p>
            <w:pPr>
              <w:pStyle w:val="Compact"/>
            </w:pPr>
            <w:r>
              <w:t xml:space="preserve">≈5.5 mm/yr at Wachapreague</w:t>
            </w:r>
          </w:p>
        </w:tc>
        <w:tc>
          <w:tcPr/>
          <w:p>
            <w:pPr>
              <w:pStyle w:val="Compact"/>
            </w:pPr>
            <w:r>
              <w:t xml:space="preserve">NOAA station 8631044</w:t>
            </w:r>
          </w:p>
        </w:tc>
      </w:tr>
      <w:tr>
        <w:tc>
          <w:tcPr/>
          <w:p>
            <w:pPr>
              <w:pStyle w:val="Compact"/>
            </w:pPr>
            <w:r>
              <w:t xml:space="preserve">Groundwater share of creek fresh water</w:t>
            </w:r>
          </w:p>
        </w:tc>
        <w:tc>
          <w:tcPr/>
          <w:p>
            <w:pPr>
              <w:pStyle w:val="Compact"/>
            </w:pPr>
            <w:r>
              <w:t xml:space="preserve">~80%, Accomack only</w:t>
            </w:r>
          </w:p>
        </w:tc>
        <w:tc>
          <w:tcPr/>
          <w:p>
            <w:pPr>
              <w:pStyle w:val="Compact"/>
            </w:pPr>
            <w:r>
              <w:rPr>
                <w:i/>
                <w:iCs/>
              </w:rPr>
              <w:t xml:space="preserve">Accomack County Regional Water Supply Plan</w:t>
            </w:r>
            <w:r>
              <w:t xml:space="preserve"> </w:t>
            </w:r>
            <w:r>
              <w:t xml:space="preserve">(2010), located by A. Foxworthy. Keep the PDF on file; one October 2026 web check could not find it online.</w:t>
            </w:r>
          </w:p>
        </w:tc>
      </w:tr>
      <w:tr>
        <w:tc>
          <w:tcPr/>
          <w:p>
            <w:pPr>
              <w:pStyle w:val="Compact"/>
            </w:pPr>
            <w:r>
              <w:t xml:space="preserve">Septic share of Bay nitrogen</w:t>
            </w:r>
          </w:p>
        </w:tc>
        <w:tc>
          <w:tcPr/>
          <w:p>
            <w:pPr>
              <w:pStyle w:val="Compact"/>
            </w:pPr>
            <w:r>
              <w:t xml:space="preserve">~3–4% Bay-wide.</w:t>
            </w:r>
            <w:r>
              <w:t xml:space="preserve"> </w:t>
            </w:r>
            <w:r>
              <w:rPr>
                <w:b/>
                <w:bCs/>
              </w:rPr>
              <w:t xml:space="preserve">Not</w:t>
            </w:r>
            <w:r>
              <w:t xml:space="preserve"> </w:t>
            </w:r>
            <w:r>
              <w:t xml:space="preserve">a local number.</w:t>
            </w:r>
          </w:p>
        </w:tc>
        <w:tc>
          <w:tcPr/>
          <w:p>
            <w:pPr>
              <w:pStyle w:val="Compact"/>
            </w:pPr>
            <w:r>
              <w:t xml:space="preserve">Chesapeake Bay Program</w:t>
            </w:r>
          </w:p>
        </w:tc>
      </w:tr>
      <w:tr>
        <w:tc>
          <w:tcPr/>
          <w:p>
            <w:pPr>
              <w:pStyle w:val="Compact"/>
            </w:pPr>
            <w:r>
              <w:t xml:space="preserve">Sole-source aquifer</w:t>
            </w:r>
          </w:p>
        </w:tc>
        <w:tc>
          <w:tcPr/>
          <w:p>
            <w:pPr>
              <w:pStyle w:val="Compact"/>
            </w:pPr>
            <w:r>
              <w:t xml:space="preserve">EPA 1997; covers the Columbia</w:t>
            </w:r>
            <w:r>
              <w:t xml:space="preserve"> </w:t>
            </w:r>
            <w:r>
              <w:rPr>
                <w:b/>
                <w:bCs/>
              </w:rPr>
              <w:t xml:space="preserve">and</w:t>
            </w:r>
            <w:r>
              <w:t xml:space="preserve"> </w:t>
            </w:r>
            <w:r>
              <w:t xml:space="preserve">Yorktown–Eastover aquifers; excludes Chincoteague and Tangier islands</w:t>
            </w:r>
          </w:p>
        </w:tc>
        <w:tc>
          <w:tcPr/>
          <w:p>
            <w:pPr>
              <w:pStyle w:val="Compact"/>
            </w:pPr>
            <w:r>
              <w:t xml:space="preserve">62 FR (April 9, 1997)</w:t>
            </w:r>
          </w:p>
        </w:tc>
      </w:tr>
    </w:tbl>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2026-10-02T14:00:46Z</dcterms:created>
  <dcterms:modified xsi:type="dcterms:W3CDTF">2026-10-02T14:00:46Z</dcterms:modified>
</cp:coreProperties>
</file>

<file path=docProps/custom.xml><?xml version="1.0" encoding="utf-8"?>
<Properties xmlns="http://schemas.openxmlformats.org/officeDocument/2006/custom-properties" xmlns:vt="http://schemas.openxmlformats.org/officeDocument/2006/docPropsVTypes"/>
</file>