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65c360aff461ea689485b51b4e98f4acb870a5"/>
    <w:p>
      <w:pPr>
        <w:pStyle w:val="Heading1"/>
      </w:pPr>
      <w:r>
        <w:t xml:space="preserve">ESVA Summer Symposium Poster — Content &amp; Layout Specification</w:t>
      </w:r>
    </w:p>
    <w:p>
      <w:pPr>
        <w:pStyle w:val="BlockText"/>
      </w:pPr>
      <w:r>
        <w:rPr>
          <w:b/>
          <w:bCs/>
        </w:rPr>
        <w:t xml:space="preserve">October 2026 review note.</w:t>
      </w:r>
      <w:r>
        <w:t xml:space="preserve"> </w:t>
      </w:r>
      <w:r>
        <w:t xml:space="preserve">Two corrections were made to the poster after it was presented.</w:t>
      </w:r>
    </w:p>
    <w:p>
      <w:pPr>
        <w:pStyle w:val="Compact"/>
        <w:numPr>
          <w:ilvl w:val="0"/>
          <w:numId w:val="1001"/>
        </w:numPr>
      </w:pPr>
      <w:r>
        <w:rPr>
          <w:b/>
          <w:bCs/>
        </w:rPr>
        <w:t xml:space="preserve">The seven-town list was misattributed.</w:t>
      </w:r>
      <w:r>
        <w:t xml:space="preserve"> </w:t>
      </w:r>
      <w:r>
        <w:t xml:space="preserve">The poster credited a list of</w:t>
      </w:r>
      <w:r>
        <w:t xml:space="preserve"> </w:t>
      </w:r>
      <w:r>
        <w:t xml:space="preserve">“exposed”</w:t>
      </w:r>
      <w:r>
        <w:t xml:space="preserve"> </w:t>
      </w:r>
      <w:r>
        <w:t xml:space="preserve">communities (Oyster, Willis Wharf, Quinby, Wachapreague, Saxis, Chincoteague, Cape Charles) to RD883 (2021).</w:t>
      </w:r>
      <w:r>
        <w:t xml:space="preserve"> </w:t>
      </w:r>
      <w:r>
        <w:rPr>
          <w:b/>
          <w:bCs/>
        </w:rPr>
        <w:t xml:space="preserve">RD883 does not name any of these towns</w:t>
      </w:r>
      <w:r>
        <w:t xml:space="preserve"> </w:t>
      </w:r>
      <w:r>
        <w:t xml:space="preserve">(checked against the full text, Oct 2026). Cape Charles is also sewered. The HTML poster line now reads:</w:t>
      </w:r>
      <w:r>
        <w:t xml:space="preserve"> </w:t>
      </w:r>
      <w:r>
        <w:t xml:space="preserve">“Low-lying shoreline communities that rely on septic are logical monitoring priorities… a Tidewater-wide study found only one septic/water-quality overlap and urged</w:t>
      </w:r>
      <w:r>
        <w:t xml:space="preserve"> </w:t>
      </w:r>
      <w:r>
        <w:t xml:space="preserve">‘extreme caution’</w:t>
      </w:r>
      <w:r>
        <w:t xml:space="preserve"> </w:t>
      </w:r>
      <w:r>
        <w:t xml:space="preserve">(Mitchell et al. 2021).”</w:t>
      </w:r>
      <w:r>
        <w:t xml:space="preserve"> </w:t>
      </w:r>
      <w:r>
        <w:t xml:space="preserve">The RD883 reference was dropped.</w:t>
      </w:r>
    </w:p>
    <w:p>
      <w:pPr>
        <w:pStyle w:val="Compact"/>
        <w:numPr>
          <w:ilvl w:val="0"/>
          <w:numId w:val="1001"/>
        </w:numPr>
      </w:pPr>
      <w:r>
        <w:rPr>
          <w:b/>
          <w:bCs/>
        </w:rPr>
        <w:t xml:space="preserve">The body sections below are partly out of date.</w:t>
      </w:r>
      <w:r>
        <w:t xml:space="preserve"> </w:t>
      </w:r>
      <w:r>
        <w:t xml:space="preserve">They predate the v6–v8 revision log in §12, and the HTML poster is the authoritative version. Where they conflict, follow the HTML and the revision log.</w:t>
      </w:r>
    </w:p>
    <w:p>
      <w:pPr>
        <w:pStyle w:val="BlockText"/>
      </w:pPr>
      <w:r>
        <w:t xml:space="preserve">See</w:t>
      </w:r>
      <w:r>
        <w:t xml:space="preserve"> </w:t>
      </w:r>
      <w:r>
        <w:rPr>
          <w:rStyle w:val="VerbatimChar"/>
        </w:rPr>
        <w:t xml:space="preserve">ECOLOGICAL_EFFECTS_SYNTHESIS.md</w:t>
      </w:r>
      <w:r>
        <w:t xml:space="preserve"> </w:t>
      </w:r>
      <w:r>
        <w:t xml:space="preserve">(October 2026 evidence review) and</w:t>
      </w:r>
      <w:r>
        <w:t xml:space="preserve"> </w:t>
      </w:r>
      <w:r>
        <w:rPr>
          <w:rStyle w:val="VerbatimChar"/>
        </w:rPr>
        <w:t xml:space="preserve">OUTREACH_MESSAGING_REVIEW.md</w:t>
      </w:r>
      <w:r>
        <w:t xml:space="preserve">.</w:t>
      </w:r>
    </w:p>
    <w:p>
      <w:pPr>
        <w:pStyle w:val="FirstParagraph"/>
      </w:pPr>
      <w:r>
        <w:rPr>
          <w:b/>
          <w:bCs/>
        </w:rPr>
        <w:t xml:space="preserve">Companion to</w:t>
      </w:r>
      <w:r>
        <w:rPr>
          <w:b/>
          <w:bCs/>
        </w:rPr>
        <w:t xml:space="preserve"> </w:t>
      </w:r>
      <w:r>
        <w:rPr>
          <w:rStyle w:val="VerbatimChar"/>
          <w:b/>
          <w:bCs/>
        </w:rPr>
        <w:t xml:space="preserve">ESVA_Symposium_Poster.html</w:t>
      </w:r>
      <w:r>
        <w:rPr>
          <w:b/>
          <w:bCs/>
        </w:rPr>
        <w:t xml:space="preserve">.</w:t>
      </w:r>
      <w:r>
        <w:t xml:space="preserve"> </w:t>
      </w:r>
      <w:r>
        <w:t xml:space="preserve">Use this to rebuild the poster in PowerPoint, Illustrator, or Canva, or to edit text before printing from the HTML.</w:t>
      </w:r>
    </w:p>
    <w:p>
      <w:pPr>
        <w:pStyle w:val="BodyText"/>
      </w:pPr>
      <w:r>
        <w:rPr>
          <w:b/>
          <w:bCs/>
        </w:rPr>
        <w:t xml:space="preserve">Format:</w:t>
      </w:r>
      <w:r>
        <w:t xml:space="preserve"> </w:t>
      </w:r>
      <w:r>
        <w:t xml:space="preserve">36 in wide × 24 in tall (landscape)</w:t>
      </w:r>
      <w:r>
        <w:t xml:space="preserve"> </w:t>
      </w:r>
      <w:r>
        <w:rPr>
          <w:b/>
          <w:bCs/>
        </w:rPr>
        <w:t xml:space="preserve">Audience:</w:t>
      </w:r>
      <w:r>
        <w:t xml:space="preserve"> </w:t>
      </w:r>
      <w:r>
        <w:t xml:space="preserve">Mixed — general public, agency staff, potential research partners</w:t>
      </w:r>
      <w:r>
        <w:t xml:space="preserve"> </w:t>
      </w:r>
      <w:r>
        <w:rPr>
          <w:b/>
          <w:bCs/>
        </w:rPr>
        <w:t xml:space="preserve">Emphasis:</w:t>
      </w:r>
      <w:r>
        <w:t xml:space="preserve"> </w:t>
      </w:r>
      <w:r>
        <w:t xml:space="preserve">Scope of problem → mechanism → ecological consequences → what’s at stake → gaps, implications, partnerships</w:t>
      </w:r>
    </w:p>
    <w:p>
      <w:r>
        <w:pict>
          <v:rect style="width:0;height:1.5pt" o:hralign="center" o:hrstd="t" o:hr="t"/>
        </w:pict>
      </w:r>
    </w:p>
    <w:bookmarkStart w:id="12" w:name="design-specification"/>
    <w:p>
      <w:pPr>
        <w:pStyle w:val="Heading2"/>
      </w:pPr>
      <w:r>
        <w:t xml:space="preserve">1. Design specification</w:t>
      </w:r>
    </w:p>
    <w:bookmarkStart w:id="9" w:name="canvas-and-grid"/>
    <w:p>
      <w:pPr>
        <w:pStyle w:val="Heading3"/>
      </w:pPr>
      <w:r>
        <w:t xml:space="preserve">Canvas and grid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w:t>
            </w:r>
          </w:p>
        </w:tc>
      </w:tr>
      <w:tr>
        <w:tc>
          <w:tcPr/>
          <w:p>
            <w:pPr>
              <w:pStyle w:val="Compact"/>
            </w:pPr>
            <w:r>
              <w:t xml:space="preserve">Canvas</w:t>
            </w:r>
          </w:p>
        </w:tc>
        <w:tc>
          <w:tcPr/>
          <w:p>
            <w:pPr>
              <w:pStyle w:val="Compact"/>
            </w:pPr>
            <w:r>
              <w:t xml:space="preserve">36 in × 24 in, landscape</w:t>
            </w:r>
          </w:p>
        </w:tc>
      </w:tr>
      <w:tr>
        <w:tc>
          <w:tcPr/>
          <w:p>
            <w:pPr>
              <w:pStyle w:val="Compact"/>
            </w:pPr>
            <w:r>
              <w:t xml:space="preserve">Outer margin</w:t>
            </w:r>
          </w:p>
        </w:tc>
        <w:tc>
          <w:tcPr/>
          <w:p>
            <w:pPr>
              <w:pStyle w:val="Compact"/>
            </w:pPr>
            <w:r>
              <w:t xml:space="preserve">0.30 in</w:t>
            </w:r>
          </w:p>
        </w:tc>
      </w:tr>
      <w:tr>
        <w:tc>
          <w:tcPr/>
          <w:p>
            <w:pPr>
              <w:pStyle w:val="Compact"/>
            </w:pPr>
            <w:r>
              <w:t xml:space="preserve">Gutter between blocks</w:t>
            </w:r>
          </w:p>
        </w:tc>
        <w:tc>
          <w:tcPr/>
          <w:p>
            <w:pPr>
              <w:pStyle w:val="Compact"/>
            </w:pPr>
            <w:r>
              <w:t xml:space="preserve">0.20 in</w:t>
            </w:r>
          </w:p>
        </w:tc>
      </w:tr>
      <w:tr>
        <w:tc>
          <w:tcPr/>
          <w:p>
            <w:pPr>
              <w:pStyle w:val="Compact"/>
            </w:pPr>
            <w:r>
              <w:t xml:space="preserve">Header band</w:t>
            </w:r>
          </w:p>
        </w:tc>
        <w:tc>
          <w:tcPr/>
          <w:p>
            <w:pPr>
              <w:pStyle w:val="Compact"/>
            </w:pPr>
            <w:r>
              <w:t xml:space="preserve">Full width, ~3.2 in tall</w:t>
            </w:r>
          </w:p>
        </w:tc>
      </w:tr>
      <w:tr>
        <w:tc>
          <w:tcPr/>
          <w:p>
            <w:pPr>
              <w:pStyle w:val="Compact"/>
            </w:pPr>
            <w:r>
              <w:t xml:space="preserve">Body</w:t>
            </w:r>
          </w:p>
        </w:tc>
        <w:tc>
          <w:tcPr/>
          <w:p>
            <w:pPr>
              <w:pStyle w:val="Compact"/>
            </w:pPr>
            <w:r>
              <w:t xml:space="preserve">4 equal columns, ~8.5 in wide each, ~13 in tall</w:t>
            </w:r>
          </w:p>
        </w:tc>
      </w:tr>
      <w:tr>
        <w:tc>
          <w:tcPr/>
          <w:p>
            <w:pPr>
              <w:pStyle w:val="Compact"/>
            </w:pPr>
            <w:r>
              <w:t xml:space="preserve">Gaps/implications band</w:t>
            </w:r>
          </w:p>
        </w:tc>
        <w:tc>
          <w:tcPr/>
          <w:p>
            <w:pPr>
              <w:pStyle w:val="Compact"/>
            </w:pPr>
            <w:r>
              <w:t xml:space="preserve">Full width, ~4.3 in tall, 3 sub-columns (1.55 : 1 : 1)</w:t>
            </w:r>
          </w:p>
        </w:tc>
      </w:tr>
      <w:tr>
        <w:tc>
          <w:tcPr/>
          <w:p>
            <w:pPr>
              <w:pStyle w:val="Compact"/>
            </w:pPr>
            <w:r>
              <w:t xml:space="preserve">Footer</w:t>
            </w:r>
          </w:p>
        </w:tc>
        <w:tc>
          <w:tcPr/>
          <w:p>
            <w:pPr>
              <w:pStyle w:val="Compact"/>
            </w:pPr>
            <w:r>
              <w:t xml:space="preserve">Full width, ~2 in tall, 2 sub-columns (2.6 : 1)</w:t>
            </w:r>
          </w:p>
        </w:tc>
      </w:tr>
    </w:tbl>
    <w:bookmarkEnd w:id="9"/>
    <w:bookmarkStart w:id="10" w:name="color-palette"/>
    <w:p>
      <w:pPr>
        <w:pStyle w:val="Heading3"/>
      </w:pPr>
      <w:r>
        <w:t xml:space="preserve">Color palette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Hex</w:t>
            </w:r>
          </w:p>
        </w:tc>
        <w:tc>
          <w:tcPr/>
          <w:p>
            <w:pPr>
              <w:pStyle w:val="Compact"/>
            </w:pPr>
            <w:r>
              <w:t xml:space="preserve">Use</w:t>
            </w:r>
          </w:p>
        </w:tc>
      </w:tr>
      <w:tr>
        <w:tc>
          <w:tcPr/>
          <w:p>
            <w:pPr>
              <w:pStyle w:val="Compact"/>
            </w:pPr>
            <w:r>
              <w:t xml:space="preserve">Deep bay blue</w:t>
            </w:r>
          </w:p>
        </w:tc>
        <w:tc>
          <w:tcPr/>
          <w:p>
            <w:pPr>
              <w:pStyle w:val="Compact"/>
            </w:pPr>
            <w:r>
              <w:rPr>
                <w:rStyle w:val="VerbatimChar"/>
              </w:rPr>
              <w:t xml:space="preserve">#0b3c5d</w:t>
            </w:r>
          </w:p>
        </w:tc>
        <w:tc>
          <w:tcPr/>
          <w:p>
            <w:pPr>
              <w:pStyle w:val="Compact"/>
            </w:pPr>
            <w:r>
              <w:t xml:space="preserve">Headings, header gradient start, callout background</w:t>
            </w:r>
          </w:p>
        </w:tc>
      </w:tr>
      <w:tr>
        <w:tc>
          <w:tcPr/>
          <w:p>
            <w:pPr>
              <w:pStyle w:val="Compact"/>
            </w:pPr>
            <w:r>
              <w:t xml:space="preserve">Mid water</w:t>
            </w:r>
          </w:p>
        </w:tc>
        <w:tc>
          <w:tcPr/>
          <w:p>
            <w:pPr>
              <w:pStyle w:val="Compact"/>
            </w:pPr>
            <w:r>
              <w:rPr>
                <w:rStyle w:val="VerbatimChar"/>
              </w:rPr>
              <w:t xml:space="preserve">#1d6a8c</w:t>
            </w:r>
          </w:p>
        </w:tc>
        <w:tc>
          <w:tcPr/>
          <w:p>
            <w:pPr>
              <w:pStyle w:val="Compact"/>
            </w:pPr>
            <w:r>
              <w:t xml:space="preserve">Subheadings, column 2 accent</w:t>
            </w:r>
          </w:p>
        </w:tc>
      </w:tr>
      <w:tr>
        <w:tc>
          <w:tcPr/>
          <w:p>
            <w:pPr>
              <w:pStyle w:val="Compact"/>
            </w:pPr>
            <w:r>
              <w:t xml:space="preserve">Seagrass teal</w:t>
            </w:r>
          </w:p>
        </w:tc>
        <w:tc>
          <w:tcPr/>
          <w:p>
            <w:pPr>
              <w:pStyle w:val="Compact"/>
            </w:pPr>
            <w:r>
              <w:rPr>
                <w:rStyle w:val="VerbatimChar"/>
              </w:rPr>
              <w:t xml:space="preserve">#2e8b83</w:t>
            </w:r>
          </w:p>
        </w:tc>
        <w:tc>
          <w:tcPr/>
          <w:p>
            <w:pPr>
              <w:pStyle w:val="Compact"/>
            </w:pPr>
            <w:r>
              <w:t xml:space="preserve">Column 3 accent, table headers, ecological stats</w:t>
            </w:r>
          </w:p>
        </w:tc>
      </w:tr>
      <w:tr>
        <w:tc>
          <w:tcPr/>
          <w:p>
            <w:pPr>
              <w:pStyle w:val="Compact"/>
            </w:pPr>
            <w:r>
              <w:t xml:space="preserve">Marsh green</w:t>
            </w:r>
          </w:p>
        </w:tc>
        <w:tc>
          <w:tcPr/>
          <w:p>
            <w:pPr>
              <w:pStyle w:val="Compact"/>
            </w:pPr>
            <w:r>
              <w:rPr>
                <w:rStyle w:val="VerbatimChar"/>
              </w:rPr>
              <w:t xml:space="preserve">#4a7c4e</w:t>
            </w:r>
          </w:p>
        </w:tc>
        <w:tc>
          <w:tcPr/>
          <w:p>
            <w:pPr>
              <w:pStyle w:val="Compact"/>
            </w:pPr>
            <w:r>
              <w:t xml:space="preserve">Column 4 accent, economic stats</w:t>
            </w:r>
          </w:p>
        </w:tc>
      </w:tr>
      <w:tr>
        <w:tc>
          <w:tcPr/>
          <w:p>
            <w:pPr>
              <w:pStyle w:val="Compact"/>
            </w:pPr>
            <w:r>
              <w:t xml:space="preserve">Rust</w:t>
            </w:r>
          </w:p>
        </w:tc>
        <w:tc>
          <w:tcPr/>
          <w:p>
            <w:pPr>
              <w:pStyle w:val="Compact"/>
            </w:pPr>
            <w:r>
              <w:rPr>
                <w:rStyle w:val="VerbatimChar"/>
              </w:rPr>
              <w:t xml:space="preserve">#a8452a</w:t>
            </w:r>
          </w:p>
        </w:tc>
        <w:tc>
          <w:tcPr/>
          <w:p>
            <w:pPr>
              <w:pStyle w:val="Compact"/>
            </w:pPr>
            <w:r>
              <w:t xml:space="preserve">Risk/alert stats, column 1 accent,</w:t>
            </w:r>
            <w:r>
              <w:t xml:space="preserve"> </w:t>
            </w:r>
            <w:r>
              <w:t xml:space="preserve">“3 ft”</w:t>
            </w:r>
            <w:r>
              <w:t xml:space="preserve"> </w:t>
            </w:r>
            <w:r>
              <w:t xml:space="preserve">annotation</w:t>
            </w:r>
          </w:p>
        </w:tc>
      </w:tr>
      <w:tr>
        <w:tc>
          <w:tcPr/>
          <w:p>
            <w:pPr>
              <w:pStyle w:val="Compact"/>
            </w:pPr>
            <w:r>
              <w:t xml:space="preserve">Amber</w:t>
            </w:r>
          </w:p>
        </w:tc>
        <w:tc>
          <w:tcPr/>
          <w:p>
            <w:pPr>
              <w:pStyle w:val="Compact"/>
            </w:pPr>
            <w:r>
              <w:rPr>
                <w:rStyle w:val="VerbatimChar"/>
              </w:rPr>
              <w:t xml:space="preserve">#c88a2e</w:t>
            </w:r>
          </w:p>
        </w:tc>
        <w:tc>
          <w:tcPr/>
          <w:p>
            <w:pPr>
              <w:pStyle w:val="Compact"/>
            </w:pPr>
            <w:r>
              <w:t xml:space="preserve">Data-gaps band accent, key-finding boxes</w:t>
            </w:r>
          </w:p>
        </w:tc>
      </w:tr>
      <w:tr>
        <w:tc>
          <w:tcPr/>
          <w:p>
            <w:pPr>
              <w:pStyle w:val="Compact"/>
            </w:pPr>
            <w:r>
              <w:t xml:space="preserve">Sand</w:t>
            </w:r>
          </w:p>
        </w:tc>
        <w:tc>
          <w:tcPr/>
          <w:p>
            <w:pPr>
              <w:pStyle w:val="Compact"/>
            </w:pPr>
            <w:r>
              <w:rPr>
                <w:rStyle w:val="VerbatimChar"/>
              </w:rPr>
              <w:t xml:space="preserve">#f4efe4</w:t>
            </w:r>
          </w:p>
        </w:tc>
        <w:tc>
          <w:tcPr/>
          <w:p>
            <w:pPr>
              <w:pStyle w:val="Compact"/>
            </w:pPr>
            <w:r>
              <w:t xml:space="preserve">Poster background, stat block fill</w:t>
            </w:r>
          </w:p>
        </w:tc>
      </w:tr>
      <w:tr>
        <w:tc>
          <w:tcPr/>
          <w:p>
            <w:pPr>
              <w:pStyle w:val="Compact"/>
            </w:pPr>
            <w:r>
              <w:t xml:space="preserve">Sand accent</w:t>
            </w:r>
          </w:p>
        </w:tc>
        <w:tc>
          <w:tcPr/>
          <w:p>
            <w:pPr>
              <w:pStyle w:val="Compact"/>
            </w:pPr>
            <w:r>
              <w:rPr>
                <w:rStyle w:val="VerbatimChar"/>
              </w:rPr>
              <w:t xml:space="preserve">#e3d9c4</w:t>
            </w:r>
          </w:p>
        </w:tc>
        <w:tc>
          <w:tcPr/>
          <w:p>
            <w:pPr>
              <w:pStyle w:val="Compact"/>
            </w:pPr>
            <w:r>
              <w:t xml:space="preserve">Rules, tags</w:t>
            </w:r>
          </w:p>
        </w:tc>
      </w:tr>
      <w:tr>
        <w:tc>
          <w:tcPr/>
          <w:p>
            <w:pPr>
              <w:pStyle w:val="Compact"/>
            </w:pPr>
            <w:r>
              <w:t xml:space="preserve">Ink</w:t>
            </w:r>
          </w:p>
        </w:tc>
        <w:tc>
          <w:tcPr/>
          <w:p>
            <w:pPr>
              <w:pStyle w:val="Compact"/>
            </w:pPr>
            <w:r>
              <w:rPr>
                <w:rStyle w:val="VerbatimChar"/>
              </w:rPr>
              <w:t xml:space="preserve">#17242e</w:t>
            </w:r>
          </w:p>
        </w:tc>
        <w:tc>
          <w:tcPr/>
          <w:p>
            <w:pPr>
              <w:pStyle w:val="Compact"/>
            </w:pPr>
            <w:r>
              <w:t xml:space="preserve">Body text</w:t>
            </w:r>
          </w:p>
        </w:tc>
      </w:tr>
    </w:tbl>
    <w:bookmarkEnd w:id="10"/>
    <w:bookmarkStart w:id="11" w:name="typography"/>
    <w:p>
      <w:pPr>
        <w:pStyle w:val="Heading3"/>
      </w:pPr>
      <w:r>
        <w:t xml:space="preserve">Typography</w:t>
      </w:r>
    </w:p>
    <w:p>
      <w:pPr>
        <w:pStyle w:val="FirstParagraph"/>
      </w:pPr>
      <w:r>
        <w:t xml:space="preserve">Sans-serif throughout (Source Sans Pro, Segoe UI, Calibri, or Arial).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Size</w:t>
            </w:r>
          </w:p>
        </w:tc>
        <w:tc>
          <w:tcPr/>
          <w:p>
            <w:pPr>
              <w:pStyle w:val="Compact"/>
            </w:pPr>
            <w:r>
              <w:t xml:space="preserve">Weight</w:t>
            </w:r>
          </w:p>
        </w:tc>
      </w:tr>
      <w:tr>
        <w:tc>
          <w:tcPr/>
          <w:p>
            <w:pPr>
              <w:pStyle w:val="Compact"/>
            </w:pPr>
            <w:r>
              <w:t xml:space="preserve">Title</w:t>
            </w:r>
          </w:p>
        </w:tc>
        <w:tc>
          <w:tcPr/>
          <w:p>
            <w:pPr>
              <w:pStyle w:val="Compact"/>
            </w:pPr>
            <w:r>
              <w:t xml:space="preserve">62 pt</w:t>
            </w:r>
          </w:p>
        </w:tc>
        <w:tc>
          <w:tcPr/>
          <w:p>
            <w:pPr>
              <w:pStyle w:val="Compact"/>
            </w:pPr>
            <w:r>
              <w:t xml:space="preserve">Bold</w:t>
            </w:r>
          </w:p>
        </w:tc>
      </w:tr>
      <w:tr>
        <w:tc>
          <w:tcPr/>
          <w:p>
            <w:pPr>
              <w:pStyle w:val="Compact"/>
            </w:pPr>
            <w:r>
              <w:t xml:space="preserve">Subtitle</w:t>
            </w:r>
          </w:p>
        </w:tc>
        <w:tc>
          <w:tcPr/>
          <w:p>
            <w:pPr>
              <w:pStyle w:val="Compact"/>
            </w:pPr>
            <w:r>
              <w:t xml:space="preserve">27 pt</w:t>
            </w:r>
          </w:p>
        </w:tc>
        <w:tc>
          <w:tcPr/>
          <w:p>
            <w:pPr>
              <w:pStyle w:val="Compact"/>
            </w:pPr>
            <w:r>
              <w:t xml:space="preserve">Regular</w:t>
            </w:r>
          </w:p>
        </w:tc>
      </w:tr>
      <w:tr>
        <w:tc>
          <w:tcPr/>
          <w:p>
            <w:pPr>
              <w:pStyle w:val="Compact"/>
            </w:pPr>
            <w:r>
              <w:t xml:space="preserve">Authors</w:t>
            </w:r>
          </w:p>
        </w:tc>
        <w:tc>
          <w:tcPr/>
          <w:p>
            <w:pPr>
              <w:pStyle w:val="Compact"/>
            </w:pPr>
            <w:r>
              <w:t xml:space="preserve">20 pt</w:t>
            </w:r>
          </w:p>
        </w:tc>
        <w:tc>
          <w:tcPr/>
          <w:p>
            <w:pPr>
              <w:pStyle w:val="Compact"/>
            </w:pPr>
            <w:r>
              <w:t xml:space="preserve">Mixed</w:t>
            </w:r>
          </w:p>
        </w:tc>
      </w:tr>
      <w:tr>
        <w:tc>
          <w:tcPr/>
          <w:p>
            <w:pPr>
              <w:pStyle w:val="Compact"/>
            </w:pPr>
            <w:r>
              <w:t xml:space="preserve">Affiliations</w:t>
            </w:r>
          </w:p>
        </w:tc>
        <w:tc>
          <w:tcPr/>
          <w:p>
            <w:pPr>
              <w:pStyle w:val="Compact"/>
            </w:pPr>
            <w:r>
              <w:t xml:space="preserve">15 pt</w:t>
            </w:r>
          </w:p>
        </w:tc>
        <w:tc>
          <w:tcPr/>
          <w:p>
            <w:pPr>
              <w:pStyle w:val="Compact"/>
            </w:pPr>
            <w:r>
              <w:t xml:space="preserve">Regular</w:t>
            </w:r>
          </w:p>
        </w:tc>
      </w:tr>
      <w:tr>
        <w:tc>
          <w:tcPr/>
          <w:p>
            <w:pPr>
              <w:pStyle w:val="Compact"/>
            </w:pPr>
            <w:r>
              <w:t xml:space="preserve">Section headings (H2)</w:t>
            </w:r>
          </w:p>
        </w:tc>
        <w:tc>
          <w:tcPr/>
          <w:p>
            <w:pPr>
              <w:pStyle w:val="Compact"/>
            </w:pPr>
            <w:r>
              <w:t xml:space="preserve">25 pt</w:t>
            </w:r>
          </w:p>
        </w:tc>
        <w:tc>
          <w:tcPr/>
          <w:p>
            <w:pPr>
              <w:pStyle w:val="Compact"/>
            </w:pPr>
            <w:r>
              <w:t xml:space="preserve">Bold, deep blue</w:t>
            </w:r>
          </w:p>
        </w:tc>
      </w:tr>
      <w:tr>
        <w:tc>
          <w:tcPr/>
          <w:p>
            <w:pPr>
              <w:pStyle w:val="Compact"/>
            </w:pPr>
            <w:r>
              <w:t xml:space="preserve">Subheadings (H3)</w:t>
            </w:r>
          </w:p>
        </w:tc>
        <w:tc>
          <w:tcPr/>
          <w:p>
            <w:pPr>
              <w:pStyle w:val="Compact"/>
            </w:pPr>
            <w:r>
              <w:t xml:space="preserve">16.5 pt</w:t>
            </w:r>
          </w:p>
        </w:tc>
        <w:tc>
          <w:tcPr/>
          <w:p>
            <w:pPr>
              <w:pStyle w:val="Compact"/>
            </w:pPr>
            <w:r>
              <w:t xml:space="preserve">Bold, mid blue</w:t>
            </w:r>
          </w:p>
        </w:tc>
      </w:tr>
      <w:tr>
        <w:tc>
          <w:tcPr/>
          <w:p>
            <w:pPr>
              <w:pStyle w:val="Compact"/>
            </w:pPr>
            <w:r>
              <w:t xml:space="preserve">Body text</w:t>
            </w:r>
          </w:p>
        </w:tc>
        <w:tc>
          <w:tcPr/>
          <w:p>
            <w:pPr>
              <w:pStyle w:val="Compact"/>
            </w:pPr>
            <w:r>
              <w:t xml:space="preserve">15 pt</w:t>
            </w:r>
          </w:p>
        </w:tc>
        <w:tc>
          <w:tcPr/>
          <w:p>
            <w:pPr>
              <w:pStyle w:val="Compact"/>
            </w:pPr>
            <w:r>
              <w:t xml:space="preserve">Regular</w:t>
            </w:r>
          </w:p>
        </w:tc>
      </w:tr>
      <w:tr>
        <w:tc>
          <w:tcPr/>
          <w:p>
            <w:pPr>
              <w:pStyle w:val="Compact"/>
            </w:pPr>
            <w:r>
              <w:t xml:space="preserve">Big stat numbers</w:t>
            </w:r>
          </w:p>
        </w:tc>
        <w:tc>
          <w:tcPr/>
          <w:p>
            <w:pPr>
              <w:pStyle w:val="Compact"/>
            </w:pPr>
            <w:r>
              <w:t xml:space="preserve">30–40 pt</w:t>
            </w:r>
          </w:p>
        </w:tc>
        <w:tc>
          <w:tcPr/>
          <w:p>
            <w:pPr>
              <w:pStyle w:val="Compact"/>
            </w:pPr>
            <w:r>
              <w:t xml:space="preserve">Bold, colored</w:t>
            </w:r>
          </w:p>
        </w:tc>
      </w:tr>
      <w:tr>
        <w:tc>
          <w:tcPr/>
          <w:p>
            <w:pPr>
              <w:pStyle w:val="Compact"/>
            </w:pPr>
            <w:r>
              <w:t xml:space="preserve">Stat labels</w:t>
            </w:r>
          </w:p>
        </w:tc>
        <w:tc>
          <w:tcPr/>
          <w:p>
            <w:pPr>
              <w:pStyle w:val="Compact"/>
            </w:pPr>
            <w:r>
              <w:t xml:space="preserve">13.5 pt</w:t>
            </w:r>
          </w:p>
        </w:tc>
        <w:tc>
          <w:tcPr/>
          <w:p>
            <w:pPr>
              <w:pStyle w:val="Compact"/>
            </w:pPr>
            <w:r>
              <w:t xml:space="preserve">Regular</w:t>
            </w:r>
          </w:p>
        </w:tc>
      </w:tr>
      <w:tr>
        <w:tc>
          <w:tcPr/>
          <w:p>
            <w:pPr>
              <w:pStyle w:val="Compact"/>
            </w:pPr>
            <w:r>
              <w:t xml:space="preserve">Table body</w:t>
            </w:r>
          </w:p>
        </w:tc>
        <w:tc>
          <w:tcPr/>
          <w:p>
            <w:pPr>
              <w:pStyle w:val="Compact"/>
            </w:pPr>
            <w:r>
              <w:t xml:space="preserve">12.5 pt</w:t>
            </w:r>
          </w:p>
        </w:tc>
        <w:tc>
          <w:tcPr/>
          <w:p>
            <w:pPr>
              <w:pStyle w:val="Compact"/>
            </w:pPr>
            <w:r>
              <w:t xml:space="preserve">Regular</w:t>
            </w:r>
          </w:p>
        </w:tc>
      </w:tr>
      <w:tr>
        <w:tc>
          <w:tcPr/>
          <w:p>
            <w:pPr>
              <w:pStyle w:val="Compact"/>
            </w:pPr>
            <w:r>
              <w:t xml:space="preserve">Captions</w:t>
            </w:r>
          </w:p>
        </w:tc>
        <w:tc>
          <w:tcPr/>
          <w:p>
            <w:pPr>
              <w:pStyle w:val="Compact"/>
            </w:pPr>
            <w:r>
              <w:t xml:space="preserve">11.5 pt</w:t>
            </w:r>
          </w:p>
        </w:tc>
        <w:tc>
          <w:tcPr/>
          <w:p>
            <w:pPr>
              <w:pStyle w:val="Compact"/>
            </w:pPr>
            <w:r>
              <w:t xml:space="preserve">Italic, gray</w:t>
            </w:r>
          </w:p>
        </w:tc>
      </w:tr>
      <w:tr>
        <w:tc>
          <w:tcPr/>
          <w:p>
            <w:pPr>
              <w:pStyle w:val="Compact"/>
            </w:pPr>
            <w:r>
              <w:t xml:space="preserve">References</w:t>
            </w:r>
          </w:p>
        </w:tc>
        <w:tc>
          <w:tcPr/>
          <w:p>
            <w:pPr>
              <w:pStyle w:val="Compact"/>
            </w:pPr>
            <w:r>
              <w:t xml:space="preserve">10.5 pt</w:t>
            </w:r>
          </w:p>
        </w:tc>
        <w:tc>
          <w:tcPr/>
          <w:p>
            <w:pPr>
              <w:pStyle w:val="Compact"/>
            </w:pPr>
            <w:r>
              <w:t xml:space="preserve">Regular</w:t>
            </w:r>
          </w:p>
        </w:tc>
      </w:tr>
    </w:tbl>
    <w:p>
      <w:pPr>
        <w:pStyle w:val="BlockText"/>
      </w:pPr>
      <w:r>
        <w:rPr>
          <w:b/>
          <w:bCs/>
        </w:rPr>
        <w:t xml:space="preserve">Legibility check (v7):</w:t>
      </w:r>
      <w:r>
        <w:t xml:space="preserve"> </w:t>
      </w:r>
      <w:r>
        <w:t xml:space="preserve">body text raised to</w:t>
      </w:r>
      <w:r>
        <w:t xml:space="preserve"> </w:t>
      </w:r>
      <w:r>
        <w:rPr>
          <w:b/>
          <w:bCs/>
        </w:rPr>
        <w:t xml:space="preserve">15 pt</w:t>
      </w:r>
      <w:r>
        <w:t xml:space="preserve"> </w:t>
      </w:r>
      <w:r>
        <w:t xml:space="preserve">after review flagged the poster as too dense. Do not go below 14 pt for body copy or 10 pt for references. Column 2 widened to 1.28fr so the cross-section reads as the dominant visual.</w:t>
      </w:r>
    </w:p>
    <w:p>
      <w:r>
        <w:pict>
          <v:rect style="width:0;height:1.5pt" o:hralign="center" o:hrstd="t" o:hr="t"/>
        </w:pict>
      </w:r>
    </w:p>
    <w:bookmarkEnd w:id="11"/>
    <w:bookmarkEnd w:id="12"/>
    <w:bookmarkStart w:id="14" w:name="header"/>
    <w:p>
      <w:pPr>
        <w:pStyle w:val="Heading2"/>
      </w:pPr>
      <w:r>
        <w:t xml:space="preserve">2. Header</w:t>
      </w:r>
    </w:p>
    <w:p>
      <w:pPr>
        <w:pStyle w:val="FirstParagraph"/>
      </w:pPr>
      <w:r>
        <w:rPr>
          <w:b/>
          <w:bCs/>
        </w:rPr>
        <w:t xml:space="preserve">Title:</w:t>
      </w:r>
      <w:r>
        <w:t xml:space="preserve"> </w:t>
      </w:r>
      <w:r>
        <w:t xml:space="preserve">&gt; When the Water Table Comes Up to Meet the Drainfield</w:t>
      </w:r>
    </w:p>
    <w:p>
      <w:pPr>
        <w:pStyle w:val="BodyText"/>
      </w:pPr>
      <w:r>
        <w:rPr>
          <w:b/>
          <w:bCs/>
        </w:rPr>
        <w:t xml:space="preserve">Subtitle:</w:t>
      </w:r>
      <w:r>
        <w:t xml:space="preserve"> </w:t>
      </w:r>
      <w:r>
        <w:t xml:space="preserve">&gt; Ecological consequences of failing septic systems on Virginia’s Eastern Shore</w:t>
      </w:r>
    </w:p>
    <w:p>
      <w:pPr>
        <w:pStyle w:val="BodyText"/>
      </w:pPr>
      <w:r>
        <w:rPr>
          <w:b/>
          <w:bCs/>
        </w:rPr>
        <w:t xml:space="preserve">Authors:</w:t>
      </w:r>
      <w:r>
        <w:t xml:space="preserve"> </w:t>
      </w:r>
      <w:r>
        <w:t xml:space="preserve">&gt;</w:t>
      </w:r>
      <w:r>
        <w:t xml:space="preserve"> </w:t>
      </w:r>
      <w:r>
        <w:rPr>
          <w:b/>
          <w:bCs/>
        </w:rPr>
        <w:t xml:space="preserve">[Student Name]</w:t>
      </w:r>
      <w:r>
        <w:t xml:space="preserve">¹ · W. Alex Foxworthy, Ph.D.¹</w:t>
      </w:r>
    </w:p>
    <w:p>
      <w:pPr>
        <w:pStyle w:val="BodyText"/>
      </w:pPr>
      <w:r>
        <w:rPr>
          <w:b/>
          <w:bCs/>
        </w:rPr>
        <w:t xml:space="preserve">Affiliation:</w:t>
      </w:r>
      <w:r>
        <w:t xml:space="preserve"> </w:t>
      </w:r>
      <w:r>
        <w:t xml:space="preserve">&gt; ¹Eastern Shore Community College, Melfa, VA | In partnership with the UVA Environmental Institute Climate Collaborative</w:t>
      </w:r>
      <w:r>
        <w:t xml:space="preserve"> </w:t>
      </w:r>
      <w:r>
        <w:t xml:space="preserve">“Co-Producing Equitable Solutions to Septic System Failures”</w:t>
      </w:r>
      <w:r>
        <w:t xml:space="preserve"> </w:t>
      </w:r>
      <w:r>
        <w:t xml:space="preserve">(2026–2028)</w:t>
      </w:r>
    </w:p>
    <w:p>
      <w:pPr>
        <w:pStyle w:val="BodyText"/>
      </w:pPr>
      <w:r>
        <w:rPr>
          <w:b/>
          <w:bCs/>
        </w:rPr>
        <w:t xml:space="preserve">Right block:</w:t>
      </w:r>
      <w:r>
        <w:t xml:space="preserve"> </w:t>
      </w:r>
      <w:r>
        <w:t xml:space="preserve">ESVA Summer Symposium 2026 + logo placeholders (ESCC, UVA EI, partners)</w:t>
      </w:r>
    </w:p>
    <w:bookmarkStart w:id="13" w:name="Xf02a5288e2dae16daa785a564ef982390bd3db9"/>
    <w:p>
      <w:pPr>
        <w:pStyle w:val="Heading3"/>
      </w:pPr>
      <w:r>
        <w:t xml:space="preserve">Alternate titles if you want a different tone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Style</w:t>
            </w:r>
          </w:p>
        </w:tc>
        <w:tc>
          <w:tcPr/>
          <w:p>
            <w:pPr>
              <w:pStyle w:val="Compact"/>
            </w:pPr>
            <w:r>
              <w:t xml:space="preserve">Title</w:t>
            </w:r>
          </w:p>
        </w:tc>
      </w:tr>
      <w:tr>
        <w:tc>
          <w:tcPr/>
          <w:p>
            <w:pPr>
              <w:pStyle w:val="Compact"/>
            </w:pPr>
            <w:r>
              <w:t xml:space="preserve">Plainer</w:t>
            </w:r>
          </w:p>
        </w:tc>
        <w:tc>
          <w:tcPr/>
          <w:p>
            <w:pPr>
              <w:pStyle w:val="Compact"/>
            </w:pPr>
            <w:r>
              <w:t xml:space="preserve">The Shore’s Septic Systems Are Failing — Here’s Where It Goes</w:t>
            </w:r>
          </w:p>
        </w:tc>
      </w:tr>
      <w:tr>
        <w:tc>
          <w:tcPr/>
          <w:p>
            <w:pPr>
              <w:pStyle w:val="Compact"/>
            </w:pPr>
            <w:r>
              <w:t xml:space="preserve">Asset-forward</w:t>
            </w:r>
          </w:p>
        </w:tc>
        <w:tc>
          <w:tcPr/>
          <w:p>
            <w:pPr>
              <w:pStyle w:val="Compact"/>
            </w:pPr>
            <w:r>
              <w:t xml:space="preserve">18,000 Septic Systems Upstream of the World’s Largest Seagrass Restoration</w:t>
            </w:r>
          </w:p>
        </w:tc>
      </w:tr>
      <w:tr>
        <w:tc>
          <w:tcPr/>
          <w:p>
            <w:pPr>
              <w:pStyle w:val="Compact"/>
            </w:pPr>
            <w:r>
              <w:t xml:space="preserve">Question</w:t>
            </w:r>
          </w:p>
        </w:tc>
        <w:tc>
          <w:tcPr/>
          <w:p>
            <w:pPr>
              <w:pStyle w:val="Compact"/>
            </w:pPr>
            <w:r>
              <w:t xml:space="preserve">What Happens Underground on the Eastern Shore?</w:t>
            </w:r>
          </w:p>
        </w:tc>
      </w:tr>
      <w:tr>
        <w:tc>
          <w:tcPr/>
          <w:p>
            <w:pPr>
              <w:pStyle w:val="Compact"/>
            </w:pPr>
            <w:r>
              <w:t xml:space="preserve">Current (recommended)</w:t>
            </w:r>
          </w:p>
        </w:tc>
        <w:tc>
          <w:tcPr/>
          <w:p>
            <w:pPr>
              <w:pStyle w:val="Compact"/>
            </w:pPr>
            <w:r>
              <w:t xml:space="preserve">When the Water Table Comes Up to Meet the Drainfield</w:t>
            </w:r>
          </w:p>
        </w:tc>
      </w:tr>
    </w:tbl>
    <w:p>
      <w:r>
        <w:pict>
          <v:rect style="width:0;height:1.5pt" o:hralign="center" o:hrstd="t" o:hr="t"/>
        </w:pict>
      </w:r>
    </w:p>
    <w:bookmarkEnd w:id="13"/>
    <w:bookmarkEnd w:id="14"/>
    <w:bookmarkStart w:id="15" w:name="column-1-scope-of-the-problem"/>
    <w:p>
      <w:pPr>
        <w:pStyle w:val="Heading2"/>
      </w:pPr>
      <w:r>
        <w:t xml:space="preserve">3. Column 1 — Scope of the Problem</w:t>
      </w:r>
    </w:p>
    <w:p>
      <w:pPr>
        <w:pStyle w:val="FirstParagraph"/>
      </w:pPr>
      <w:r>
        <w:rPr>
          <w:i/>
          <w:iCs/>
        </w:rPr>
        <w:t xml:space="preserve">Accent color: rust</w:t>
      </w:r>
      <w:r>
        <w:rPr>
          <w:i/>
          <w:iCs/>
        </w:rPr>
        <w:t xml:space="preserve"> </w:t>
      </w:r>
      <w:r>
        <w:rPr>
          <w:rStyle w:val="VerbatimChar"/>
          <w:i/>
          <w:iCs/>
        </w:rPr>
        <w:t xml:space="preserve">#a8452a</w:t>
      </w:r>
    </w:p>
    <w:p>
      <w:pPr>
        <w:pStyle w:val="BodyText"/>
      </w:pPr>
      <w:r>
        <w:rPr>
          <w:b/>
          <w:bCs/>
        </w:rPr>
        <w:t xml:space="preserve">Intro:</w:t>
      </w:r>
      <w:r>
        <w:t xml:space="preserve"> </w:t>
      </w:r>
      <w:r>
        <w:t xml:space="preserve">The Eastern Shore is a narrow peninsula where nearly every household treats its own wastewater on its own land — directly above the groundwater that supplies every well on the Shore.</w:t>
      </w:r>
    </w:p>
    <w:p>
      <w:pPr>
        <w:pStyle w:val="BodyText"/>
      </w:pPr>
      <w:r>
        <w:rPr>
          <w:b/>
          <w:bCs/>
        </w:rPr>
        <w:t xml:space="preserve">Stat block A (rust):</w:t>
      </w:r>
      <w:r>
        <w:t xml:space="preserve"> </w:t>
      </w:r>
      <w:r>
        <w:t xml:space="preserve">&gt;</w:t>
      </w:r>
      <w:r>
        <w:t xml:space="preserve"> </w:t>
      </w:r>
      <w:r>
        <w:rPr>
          <w:b/>
          <w:bCs/>
        </w:rPr>
        <w:t xml:space="preserve">18,000+</w:t>
      </w:r>
      <w:r>
        <w:t xml:space="preserve"> </w:t>
      </w:r>
      <w:r>
        <w:t xml:space="preserve">&gt; households in Accomack &amp; Northampton counties on decentralized septic systems</w:t>
      </w:r>
    </w:p>
    <w:p>
      <w:pPr>
        <w:pStyle w:val="BodyText"/>
      </w:pPr>
      <w:r>
        <w:rPr>
          <w:b/>
          <w:bCs/>
        </w:rPr>
        <w:t xml:space="preserve">Stat block B (blue):</w:t>
      </w:r>
      <w:r>
        <w:t xml:space="preserve"> </w:t>
      </w:r>
      <w:r>
        <w:t xml:space="preserve">&gt;</w:t>
      </w:r>
      <w:r>
        <w:t xml:space="preserve"> </w:t>
      </w:r>
      <w:r>
        <w:rPr>
          <w:b/>
          <w:bCs/>
        </w:rPr>
        <w:t xml:space="preserve">1997</w:t>
      </w:r>
      <w:r>
        <w:t xml:space="preserve"> </w:t>
      </w:r>
      <w:r>
        <w:t xml:space="preserve">&gt; EPA designated the Shore’s groundwater a</w:t>
      </w:r>
      <w:r>
        <w:t xml:space="preserve"> </w:t>
      </w:r>
      <w:r>
        <w:rPr>
          <w:b/>
          <w:bCs/>
        </w:rPr>
        <w:t xml:space="preserve">sole-source aquifer</w:t>
      </w:r>
      <w:r>
        <w:t xml:space="preserve"> </w:t>
      </w:r>
      <w:r>
        <w:t xml:space="preserve">— the</w:t>
      </w:r>
      <w:r>
        <w:t xml:space="preserve"> </w:t>
      </w:r>
      <w:r>
        <w:rPr>
          <w:b/>
          <w:bCs/>
        </w:rPr>
        <w:t xml:space="preserve">Columbia</w:t>
      </w:r>
      <w:r>
        <w:t xml:space="preserve"> </w:t>
      </w:r>
      <w:r>
        <w:t xml:space="preserve">(shallow, unconfined) and</w:t>
      </w:r>
      <w:r>
        <w:t xml:space="preserve"> </w:t>
      </w:r>
      <w:r>
        <w:rPr>
          <w:b/>
          <w:bCs/>
        </w:rPr>
        <w:t xml:space="preserve">Yorktown–Eastover</w:t>
      </w:r>
      <w:r>
        <w:t xml:space="preserve"> </w:t>
      </w:r>
      <w:r>
        <w:t xml:space="preserve">(deeper, confined) systems together. There is no alternative supply.</w:t>
      </w:r>
    </w:p>
    <w:p>
      <w:pPr>
        <w:pStyle w:val="BodyText"/>
      </w:pPr>
      <w:r>
        <w:rPr>
          <w:b/>
          <w:bCs/>
        </w:rPr>
        <w:t xml:space="preserve">Paragraph (with health mention, rust emphasis on final sentence):</w:t>
      </w:r>
      <w:r>
        <w:t xml:space="preserve"> </w:t>
      </w:r>
      <w:r>
        <w:t xml:space="preserve">&gt;</w:t>
      </w:r>
      <w:r>
        <w:t xml:space="preserve"> </w:t>
      </w:r>
      <w:r>
        <w:rPr>
          <w:b/>
          <w:bCs/>
        </w:rPr>
        <w:t xml:space="preserve">Septic effluent enters the shallow Columbia</w:t>
      </w:r>
      <w:r>
        <w:t xml:space="preserve"> </w:t>
      </w:r>
      <w:r>
        <w:t xml:space="preserve">— the same layer that feeds tidal creeks</w:t>
      </w:r>
      <w:r>
        <w:t xml:space="preserve"> </w:t>
      </w:r>
      <w:r>
        <w:rPr>
          <w:i/>
          <w:iCs/>
        </w:rPr>
        <w:t xml:space="preserve">and</w:t>
      </w:r>
      <w:r>
        <w:t xml:space="preserve"> </w:t>
      </w:r>
      <w:r>
        <w:t xml:space="preserve">many older private wells. Most public-supply wells draw from the deeper, better-protected Yorktown–Eastover.</w:t>
      </w:r>
      <w:r>
        <w:t xml:space="preserve"> </w:t>
      </w:r>
      <w:r>
        <w:rPr>
          <w:b/>
          <w:bCs/>
        </w:rPr>
        <w:t xml:space="preserve">Human health risk from nitrate and pathogens in shallow private wells is real and is addressed in companion project work; this poster follows the ecological pathway.</w:t>
      </w:r>
    </w:p>
    <w:p>
      <w:pPr>
        <w:pStyle w:val="BodyText"/>
      </w:pPr>
      <w:r>
        <w:rPr>
          <w:b/>
          <w:bCs/>
        </w:rPr>
        <w:t xml:space="preserve">Subhead: Why systems that once worked are failing</w:t>
      </w:r>
    </w:p>
    <w:p>
      <w:pPr>
        <w:pStyle w:val="BodyText"/>
      </w:pPr>
      <w:r>
        <w:t xml:space="preserve">A conventional drainfield needs roughly</w:t>
      </w:r>
      <w:r>
        <w:t xml:space="preserve"> </w:t>
      </w:r>
      <w:r>
        <w:rPr>
          <w:b/>
          <w:bCs/>
        </w:rPr>
        <w:t xml:space="preserve">3 feet of unsaturated soil</w:t>
      </w:r>
      <w:r>
        <w:t xml:space="preserve"> </w:t>
      </w:r>
      <w:r>
        <w:t xml:space="preserve">between the trench and the water table to treat effluent. Relative sea level on the Shore is rising among the fastest rates on the U.S. East Coast, lifting the water table into that treatment zone.</w:t>
      </w:r>
    </w:p>
    <w:p>
      <w:pPr>
        <w:pStyle w:val="BodyText"/>
      </w:pPr>
      <w:r>
        <w:rPr>
          <w:b/>
          <w:bCs/>
        </w:rPr>
        <w:t xml:space="preserve">Key-finding box (amber border):</w:t>
      </w:r>
      <w:r>
        <w:t xml:space="preserve"> </w:t>
      </w:r>
      <w:r>
        <w:t xml:space="preserve">&gt;</w:t>
      </w:r>
      <w:r>
        <w:t xml:space="preserve"> </w:t>
      </w:r>
      <w:r>
        <w:rPr>
          <w:b/>
          <w:bCs/>
        </w:rPr>
        <w:t xml:space="preserve">Central finding:</w:t>
      </w:r>
      <w:r>
        <w:t xml:space="preserve"> </w:t>
      </w:r>
      <w:r>
        <w:t xml:space="preserve">These systems are not failing because anything about them changed. They are failing because</w:t>
      </w:r>
      <w:r>
        <w:t xml:space="preserve"> </w:t>
      </w:r>
      <w:r>
        <w:rPr>
          <w:i/>
          <w:iCs/>
        </w:rPr>
        <w:t xml:space="preserve">the water table came up to meet them.</w:t>
      </w:r>
      <w:r>
        <w:t xml:space="preserve"> </w:t>
      </w:r>
      <w:r>
        <w:t xml:space="preserve">A drainfield fully compliant in 1985 can be marginal today and non-functional by 2040 — with no action, error, or neglect by the homeowner.</w:t>
      </w:r>
    </w:p>
    <w:p>
      <w:pPr>
        <w:pStyle w:val="BodyText"/>
      </w:pPr>
      <w:r>
        <w:rPr>
          <w:b/>
          <w:bCs/>
        </w:rPr>
        <w:t xml:space="preserve">Subhead: Three things compound it</w:t>
      </w:r>
    </w:p>
    <w:p>
      <w:pPr>
        <w:pStyle w:val="Compact"/>
        <w:numPr>
          <w:ilvl w:val="0"/>
          <w:numId w:val="1002"/>
        </w:numPr>
      </w:pPr>
      <w:r>
        <w:rPr>
          <w:b/>
          <w:bCs/>
        </w:rPr>
        <w:t xml:space="preserve">Age.</w:t>
      </w:r>
      <w:r>
        <w:t xml:space="preserve"> </w:t>
      </w:r>
      <w:r>
        <w:t xml:space="preserve">Many Shore systems date to the 1970s–80s. Installers report age and what gets flushed as the leading causes of failure they see.</w:t>
      </w:r>
    </w:p>
    <w:p>
      <w:pPr>
        <w:pStyle w:val="Compact"/>
        <w:numPr>
          <w:ilvl w:val="0"/>
          <w:numId w:val="1002"/>
        </w:numPr>
      </w:pPr>
      <w:r>
        <w:rPr>
          <w:b/>
          <w:bCs/>
        </w:rPr>
        <w:t xml:space="preserve">No reliable inventory.</w:t>
      </w:r>
      <w:r>
        <w:t xml:space="preserve"> </w:t>
      </w:r>
      <w:r>
        <w:t xml:space="preserve">Virginia has no complete record of where septic systems are, how old they are, or what condition they are in. State databases are sparsely populated for the Shore, so neither agencies nor owners can target maintenance.</w:t>
      </w:r>
    </w:p>
    <w:p>
      <w:pPr>
        <w:pStyle w:val="Compact"/>
        <w:numPr>
          <w:ilvl w:val="0"/>
          <w:numId w:val="1002"/>
        </w:numPr>
      </w:pPr>
      <w:r>
        <w:rPr>
          <w:b/>
          <w:bCs/>
        </w:rPr>
        <w:t xml:space="preserve">Information and cost barriers.</w:t>
      </w:r>
      <w:r>
        <w:t xml:space="preserve"> </w:t>
      </w:r>
      <w:r>
        <w:t xml:space="preserve">Nationally only</w:t>
      </w:r>
      <w:r>
        <w:t xml:space="preserve"> </w:t>
      </w:r>
      <w:r>
        <w:rPr>
          <w:b/>
          <w:bCs/>
        </w:rPr>
        <w:t xml:space="preserve">~32%</w:t>
      </w:r>
      <w:r>
        <w:t xml:space="preserve"> </w:t>
      </w:r>
      <w:r>
        <w:t xml:space="preserve">of owners meet recommended inspection intervals, and</w:t>
      </w:r>
      <w:r>
        <w:t xml:space="preserve"> </w:t>
      </w:r>
      <w:r>
        <w:rPr>
          <w:b/>
          <w:bCs/>
        </w:rPr>
        <w:t xml:space="preserve">~60%</w:t>
      </w:r>
      <w:r>
        <w:t xml:space="preserve"> </w:t>
      </w:r>
      <w:r>
        <w:t xml:space="preserve">of systems over 20 years old have</w:t>
      </w:r>
      <w:r>
        <w:t xml:space="preserve"> </w:t>
      </w:r>
      <w:r>
        <w:rPr>
          <w:b/>
          <w:bCs/>
        </w:rPr>
        <w:t xml:space="preserve">never been inspected</w:t>
      </w:r>
      <w:r>
        <w:t xml:space="preserve">. A pump-out runs $250–500 — a genuine barrier at Shore incomes, and assistance programs are under-used.</w:t>
      </w:r>
    </w:p>
    <w:p>
      <w:pPr>
        <w:pStyle w:val="FirstParagraph"/>
      </w:pPr>
      <w:r>
        <w:rPr>
          <w:b/>
          <w:bCs/>
        </w:rPr>
        <w:t xml:space="preserve">Caption:</w:t>
      </w:r>
      <w:r>
        <w:t xml:space="preserve"> </w:t>
      </w:r>
      <w:r>
        <w:t xml:space="preserve">Rising groundwater makes failure</w:t>
      </w:r>
      <w:r>
        <w:t xml:space="preserve"> </w:t>
      </w:r>
      <w:r>
        <w:rPr>
          <w:i/>
          <w:iCs/>
        </w:rPr>
        <w:t xml:space="preserve">progressive and unavoidable</w:t>
      </w:r>
      <w:r>
        <w:t xml:space="preserve">; age, records and maintenance determine</w:t>
      </w:r>
      <w:r>
        <w:t xml:space="preserve"> </w:t>
      </w:r>
      <w:r>
        <w:rPr>
          <w:i/>
          <w:iCs/>
        </w:rPr>
        <w:t xml:space="preserve">which systems fail first</w:t>
      </w:r>
      <w:r>
        <w:t xml:space="preserve">. Both are systemic, not individual, failings.</w:t>
      </w:r>
    </w:p>
    <w:p>
      <w:pPr>
        <w:pStyle w:val="BodyText"/>
      </w:pPr>
      <w:r>
        <w:rPr>
          <w:b/>
          <w:bCs/>
        </w:rPr>
        <w:t xml:space="preserve">Paired stat blocks:</w:t>
      </w:r>
      <w:r>
        <w:t xml:space="preserve"> </w:t>
      </w:r>
      <w:r>
        <w:t xml:space="preserve">&gt;</w:t>
      </w:r>
      <w:r>
        <w:t xml:space="preserve"> </w:t>
      </w:r>
      <w:r>
        <w:rPr>
          <w:b/>
          <w:bCs/>
        </w:rPr>
        <w:t xml:space="preserve">7,800</w:t>
      </w:r>
      <w:r>
        <w:t xml:space="preserve"> </w:t>
      </w:r>
      <w:r>
        <w:t xml:space="preserve">— ESVA systems projected to sit above &lt;3 ft groundwater by 2040†</w:t>
      </w:r>
      <w:r>
        <w:t xml:space="preserve"> </w:t>
      </w:r>
      <w:r>
        <w:t xml:space="preserve">&gt;</w:t>
      </w:r>
      <w:r>
        <w:t xml:space="preserve"> </w:t>
      </w:r>
      <w:r>
        <w:rPr>
          <w:b/>
          <w:bCs/>
        </w:rPr>
        <w:t xml:space="preserve">$156M</w:t>
      </w:r>
      <w:r>
        <w:t xml:space="preserve"> </w:t>
      </w:r>
      <w:r>
        <w:t xml:space="preserve">— estimated replacement cost at that scale†</w:t>
      </w:r>
    </w:p>
    <w:p>
      <w:pPr>
        <w:pStyle w:val="BodyText"/>
      </w:pPr>
      <w:r>
        <w:rPr>
          <w:b/>
          <w:bCs/>
        </w:rPr>
        <w:t xml:space="preserve">Footnote:</w:t>
      </w:r>
      <w:r>
        <w:t xml:space="preserve"> </w:t>
      </w:r>
      <w:r>
        <w:t xml:space="preserve">†Project modeling (ESVA Climate Equity StoryMap, 2025; Hesamfar et al., in review), not independent peer review.</w:t>
      </w:r>
    </w:p>
    <w:p>
      <w:r>
        <w:pict>
          <v:rect style="width:0;height:1.5pt" o:hralign="center" o:hrstd="t" o:hr="t"/>
        </w:pict>
      </w:r>
    </w:p>
    <w:bookmarkEnd w:id="15"/>
    <w:bookmarkStart w:id="16" w:name="column-2-how-it-travels"/>
    <w:p>
      <w:pPr>
        <w:pStyle w:val="Heading2"/>
      </w:pPr>
      <w:r>
        <w:t xml:space="preserve">4. Column 2 — How It Travels</w:t>
      </w:r>
    </w:p>
    <w:p>
      <w:pPr>
        <w:pStyle w:val="FirstParagraph"/>
      </w:pPr>
      <w:r>
        <w:rPr>
          <w:i/>
          <w:iCs/>
        </w:rPr>
        <w:t xml:space="preserve">Accent color: mid blue</w:t>
      </w:r>
      <w:r>
        <w:rPr>
          <w:i/>
          <w:iCs/>
        </w:rPr>
        <w:t xml:space="preserve"> </w:t>
      </w:r>
      <w:r>
        <w:rPr>
          <w:rStyle w:val="VerbatimChar"/>
          <w:i/>
          <w:iCs/>
        </w:rPr>
        <w:t xml:space="preserve">#1d6a8c</w:t>
      </w:r>
    </w:p>
    <w:p>
      <w:pPr>
        <w:pStyle w:val="BodyText"/>
      </w:pPr>
      <w:r>
        <w:rPr>
          <w:b/>
          <w:bCs/>
        </w:rPr>
        <w:t xml:space="preserve">Intro:</w:t>
      </w:r>
      <w:r>
        <w:t xml:space="preserve"> </w:t>
      </w:r>
      <w:r>
        <w:t xml:space="preserve">Septic effluent is released</w:t>
      </w:r>
      <w:r>
        <w:t xml:space="preserve"> </w:t>
      </w:r>
      <w:r>
        <w:rPr>
          <w:i/>
          <w:iCs/>
        </w:rPr>
        <w:t xml:space="preserve">below</w:t>
      </w:r>
      <w:r>
        <w:t xml:space="preserve"> </w:t>
      </w:r>
      <w:r>
        <w:t xml:space="preserve">ground. It therefore enters the</w:t>
      </w:r>
      <w:r>
        <w:t xml:space="preserve"> </w:t>
      </w:r>
      <w:r>
        <w:rPr>
          <w:b/>
          <w:bCs/>
        </w:rPr>
        <w:t xml:space="preserve">groundwater</w:t>
      </w:r>
      <w:r>
        <w:t xml:space="preserve"> </w:t>
      </w:r>
      <w:r>
        <w:t xml:space="preserve">system, not the surface-water system — and on the Shore, the groundwater essentially</w:t>
      </w:r>
      <w:r>
        <w:t xml:space="preserve"> </w:t>
      </w:r>
      <w:r>
        <w:rPr>
          <w:i/>
          <w:iCs/>
        </w:rPr>
        <w:t xml:space="preserve">is</w:t>
      </w:r>
      <w:r>
        <w:t xml:space="preserve"> </w:t>
      </w:r>
      <w:r>
        <w:t xml:space="preserve">the creek water.</w:t>
      </w:r>
    </w:p>
    <w:p>
      <w:pPr>
        <w:pStyle w:val="BodyText"/>
      </w:pPr>
      <w:r>
        <w:rPr>
          <w:b/>
          <w:bCs/>
        </w:rPr>
        <w:t xml:space="preserve">Stat block (blue):</w:t>
      </w:r>
      <w:r>
        <w:t xml:space="preserve"> </w:t>
      </w:r>
      <w:r>
        <w:t xml:space="preserve">&gt;</w:t>
      </w:r>
      <w:r>
        <w:t xml:space="preserve"> </w:t>
      </w:r>
      <w:r>
        <w:rPr>
          <w:b/>
          <w:bCs/>
        </w:rPr>
        <w:t xml:space="preserve">~80%</w:t>
      </w:r>
      <w:r>
        <w:t xml:space="preserve"> </w:t>
      </w:r>
      <w:r>
        <w:t xml:space="preserve">&gt; of the water supplying</w:t>
      </w:r>
      <w:r>
        <w:t xml:space="preserve"> </w:t>
      </w:r>
      <w:r>
        <w:rPr>
          <w:b/>
          <w:bCs/>
        </w:rPr>
        <w:t xml:space="preserve">Accomack County’s 30 tidal creeks</w:t>
      </w:r>
      <w:r>
        <w:t xml:space="preserve"> </w:t>
      </w:r>
      <w:r>
        <w:t xml:space="preserve">comes from</w:t>
      </w:r>
      <w:r>
        <w:t xml:space="preserve"> </w:t>
      </w:r>
      <w:r>
        <w:rPr>
          <w:b/>
          <w:bCs/>
        </w:rPr>
        <w:t xml:space="preserve">groundwater discharge</w:t>
      </w:r>
      <w:r>
        <w:t xml:space="preserve"> </w:t>
      </w:r>
      <w:r>
        <w:t xml:space="preserve">(Accomack County Regional Water Supply Plan, 2010). Shore-wide there are no significant surface streams — a fact EPA cited in the sole-source designation.</w:t>
      </w:r>
    </w:p>
    <w:p>
      <w:pPr>
        <w:pStyle w:val="BodyText"/>
      </w:pPr>
      <w:r>
        <w:rPr>
          <w:b/>
          <w:bCs/>
        </w:rPr>
        <w:t xml:space="preserve">Paragraph:</w:t>
      </w:r>
      <w:r>
        <w:t xml:space="preserve"> </w:t>
      </w:r>
      <w:r>
        <w:t xml:space="preserve">If these creeks were fed mainly by rain running over the land, septic effluent would have no route into them. Because they are groundwater-fed, subsurface disposal becomes a surface-water problem — and agricultural runoff is</w:t>
      </w:r>
      <w:r>
        <w:t xml:space="preserve"> </w:t>
      </w:r>
      <w:r>
        <w:rPr>
          <w:i/>
          <w:iCs/>
        </w:rPr>
        <w:t xml:space="preserve">not</w:t>
      </w:r>
      <w:r>
        <w:t xml:space="preserve"> </w:t>
      </w:r>
      <w:r>
        <w:t xml:space="preserve">the only thing reaching the water.</w:t>
      </w:r>
    </w:p>
    <w:p>
      <w:pPr>
        <w:pStyle w:val="BlockText"/>
      </w:pPr>
      <w:r>
        <w:rPr>
          <w:b/>
          <w:bCs/>
        </w:rPr>
        <w:t xml:space="preserve">✅ Source resolved in v4 — see §11.</w:t>
      </w:r>
      <w:r>
        <w:t xml:space="preserve"> </w:t>
      </w:r>
      <w:r>
        <w:t xml:space="preserve">The 80% figure traces to the</w:t>
      </w:r>
      <w:r>
        <w:t xml:space="preserve"> </w:t>
      </w:r>
      <w:r>
        <w:rPr>
          <w:i/>
          <w:iCs/>
        </w:rPr>
        <w:t xml:space="preserve">Accomack County Regional Water Supply Plan</w:t>
      </w:r>
      <w:r>
        <w:t xml:space="preserve"> </w:t>
      </w:r>
      <w:r>
        <w:t xml:space="preserve">(April 2010):</w:t>
      </w:r>
      <w:r>
        <w:t xml:space="preserve"> </w:t>
      </w:r>
      <w:r>
        <w:rPr>
          <w:i/>
          <w:iCs/>
        </w:rPr>
        <w:t xml:space="preserve">“There are a total of thirty tidal creeks in Accomack County, which are largely supplied from groundwater discharge (approximately 80%).”</w:t>
      </w:r>
      <w:r>
        <w:t xml:space="preserve"> </w:t>
      </w:r>
      <w:r>
        <w:t xml:space="preserve">Two things changed from the earlier draft: the figure is now attributed to its actual primary source rather than to sources that were never checked, and it is described as a share of the creeks’</w:t>
      </w:r>
      <w:r>
        <w:t xml:space="preserve"> </w:t>
      </w:r>
      <w:r>
        <w:rPr>
          <w:b/>
          <w:bCs/>
        </w:rPr>
        <w:t xml:space="preserve">supply/flow</w:t>
      </w:r>
      <w:r>
        <w:t xml:space="preserve"> </w:t>
      </w:r>
      <w:r>
        <w:t xml:space="preserve">rather than of</w:t>
      </w:r>
      <w:r>
        <w:t xml:space="preserve"> </w:t>
      </w:r>
      <w:r>
        <w:rPr>
          <w:b/>
          <w:bCs/>
        </w:rPr>
        <w:t xml:space="preserve">baseflow</w:t>
      </w:r>
      <w:r>
        <w:t xml:space="preserve"> </w:t>
      </w:r>
      <w:r>
        <w:t xml:space="preserve">(the earlier phrasing was near-tautological).</w:t>
      </w:r>
      <w:r>
        <w:t xml:space="preserve"> </w:t>
      </w:r>
      <w:r>
        <w:rPr>
          <w:b/>
          <w:bCs/>
        </w:rPr>
        <w:t xml:space="preserve">Scope note: this is an Accomack County figure. Do not present it as Shore-wide.</w:t>
      </w:r>
      <w:r>
        <w:t xml:space="preserve"> </w:t>
      </w:r>
      <w:r>
        <w:t xml:space="preserve">Northampton’s hydrogeologic setting is broadly similar, but no equivalent published figure has been located for it.</w:t>
      </w:r>
    </w:p>
    <w:p>
      <w:pPr>
        <w:pStyle w:val="FirstParagraph"/>
      </w:pPr>
      <w:r>
        <w:rPr>
          <w:b/>
          <w:bCs/>
        </w:rPr>
        <w:t xml:space="preserve">DIAGRAM</w:t>
      </w:r>
      <w:r>
        <w:t xml:space="preserve"> </w:t>
      </w:r>
      <w:r>
        <w:t xml:space="preserve">(see Section 8)</w:t>
      </w:r>
    </w:p>
    <w:p>
      <w:pPr>
        <w:pStyle w:val="BodyText"/>
      </w:pPr>
      <w:r>
        <w:rPr>
          <w:b/>
          <w:bCs/>
        </w:rPr>
        <w:t xml:space="preserve">Caption:</w:t>
      </w:r>
      <w:r>
        <w:t xml:space="preserve"> </w:t>
      </w:r>
      <w:r>
        <w:t xml:space="preserve">Effluent meets a rising water table and travels laterally to tidal water. The confining clay gives the deeper aquifer real protection; the shallow Columbia has none.</w:t>
      </w:r>
    </w:p>
    <w:p>
      <w:pPr>
        <w:pStyle w:val="BodyText"/>
      </w:pPr>
      <w:r>
        <w:rPr>
          <w:b/>
          <w:bCs/>
        </w:rPr>
        <w:t xml:space="preserve">Subhead: What the soil actually does — and doesn’t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Constituent</w:t>
            </w:r>
          </w:p>
        </w:tc>
        <w:tc>
          <w:tcPr/>
          <w:p>
            <w:pPr>
              <w:pStyle w:val="Compact"/>
            </w:pPr>
            <w:r>
              <w:t xml:space="preserve">Fate in a working drainfield</w:t>
            </w:r>
          </w:p>
        </w:tc>
        <w:tc>
          <w:tcPr/>
          <w:p>
            <w:pPr>
              <w:pStyle w:val="Compact"/>
            </w:pPr>
            <w:r>
              <w:t xml:space="preserve">What increases it</w:t>
            </w:r>
          </w:p>
        </w:tc>
      </w:tr>
      <w:tr>
        <w:tc>
          <w:tcPr/>
          <w:p>
            <w:pPr>
              <w:pStyle w:val="Compact"/>
            </w:pPr>
            <w:r>
              <w:rPr>
                <w:b/>
                <w:bCs/>
              </w:rPr>
              <w:t xml:space="preserve">Pathogens</w:t>
            </w:r>
            <w:r>
              <w:t xml:space="preserve"> </w:t>
            </w:r>
            <w:r>
              <w:t xml:space="preserve">(bacteria, viruses)</w:t>
            </w:r>
          </w:p>
        </w:tc>
        <w:tc>
          <w:tcPr/>
          <w:p>
            <w:pPr>
              <w:pStyle w:val="Compact"/>
            </w:pPr>
            <w:r>
              <w:t xml:space="preserve">Removed by filtration, adsorption and die-off in unsaturated soil</w:t>
            </w:r>
          </w:p>
        </w:tc>
        <w:tc>
          <w:tcPr/>
          <w:p>
            <w:pPr>
              <w:pStyle w:val="Compact"/>
            </w:pPr>
            <w:r>
              <w:rPr>
                <w:b/>
                <w:bCs/>
              </w:rPr>
              <w:t xml:space="preserve">Hydraulic failure</w:t>
            </w:r>
            <w:r>
              <w:t xml:space="preserve"> </w:t>
            </w:r>
            <w:r>
              <w:t xml:space="preserve">(rust)</w:t>
            </w:r>
          </w:p>
        </w:tc>
      </w:tr>
      <w:tr>
        <w:tc>
          <w:tcPr/>
          <w:p>
            <w:pPr>
              <w:pStyle w:val="Compact"/>
            </w:pPr>
            <w:r>
              <w:rPr>
                <w:b/>
                <w:bCs/>
              </w:rPr>
              <w:t xml:space="preserve">Nitrogen</w:t>
            </w:r>
          </w:p>
        </w:tc>
        <w:tc>
          <w:tcPr/>
          <w:p>
            <w:pPr>
              <w:pStyle w:val="Compact"/>
            </w:pPr>
            <w:r>
              <w:rPr>
                <w:i/>
                <w:iCs/>
              </w:rPr>
              <w:t xml:space="preserve">Converted</w:t>
            </w:r>
            <w:r>
              <w:t xml:space="preserve"> </w:t>
            </w:r>
            <w:r>
              <w:t xml:space="preserve">to nitrate, not removed — conventional systems retain only ~10–30%</w:t>
            </w:r>
          </w:p>
        </w:tc>
        <w:tc>
          <w:tcPr/>
          <w:p>
            <w:pPr>
              <w:pStyle w:val="Compact"/>
            </w:pPr>
            <w:r>
              <w:rPr>
                <w:b/>
                <w:bCs/>
              </w:rPr>
              <w:t xml:space="preserve">Always — worse on failure</w:t>
            </w:r>
            <w:r>
              <w:t xml:space="preserve"> </w:t>
            </w:r>
            <w:r>
              <w:t xml:space="preserve">(amber)</w:t>
            </w:r>
          </w:p>
        </w:tc>
      </w:tr>
      <w:tr>
        <w:tc>
          <w:tcPr/>
          <w:p>
            <w:pPr>
              <w:pStyle w:val="Compact"/>
            </w:pPr>
            <w:r>
              <w:rPr>
                <w:b/>
                <w:bCs/>
              </w:rPr>
              <w:t xml:space="preserve">Phosphorus</w:t>
            </w:r>
          </w:p>
        </w:tc>
        <w:tc>
          <w:tcPr/>
          <w:p>
            <w:pPr>
              <w:pStyle w:val="Compact"/>
            </w:pPr>
            <w:r>
              <w:t xml:space="preserve">Held by the soil until</w:t>
            </w:r>
            <w:r>
              <w:t xml:space="preserve"> </w:t>
            </w:r>
            <w:r>
              <w:rPr>
                <w:i/>
                <w:iCs/>
              </w:rPr>
              <w:t xml:space="preserve">that system’s own</w:t>
            </w:r>
            <w:r>
              <w:t xml:space="preserve"> </w:t>
            </w:r>
            <w:r>
              <w:t xml:space="preserve">binding capacity is used up after years to decades of operation — then breaks through</w:t>
            </w:r>
          </w:p>
        </w:tc>
        <w:tc>
          <w:tcPr/>
          <w:p>
            <w:pPr>
              <w:pStyle w:val="Compact"/>
            </w:pPr>
            <w:r>
              <w:rPr>
                <w:b/>
                <w:bCs/>
              </w:rPr>
              <w:t xml:space="preserve">System age; saturation can remobilise</w:t>
            </w:r>
            <w:r>
              <w:t xml:space="preserve"> </w:t>
            </w:r>
            <w:r>
              <w:t xml:space="preserve">(amber)</w:t>
            </w:r>
          </w:p>
        </w:tc>
      </w:tr>
      <w:tr>
        <w:tc>
          <w:tcPr/>
          <w:p>
            <w:pPr>
              <w:pStyle w:val="Compact"/>
            </w:pPr>
            <w:r>
              <w:rPr>
                <w:b/>
                <w:bCs/>
              </w:rPr>
              <w:t xml:space="preserve">PFAS &amp; pharmaceuticals</w:t>
            </w:r>
          </w:p>
        </w:tc>
        <w:tc>
          <w:tcPr/>
          <w:p>
            <w:pPr>
              <w:pStyle w:val="Compact"/>
            </w:pPr>
            <w:r>
              <w:t xml:space="preserve">Incompletely removed; mobility varies by compound. None measured beneath ESVA septic clusters</w:t>
            </w:r>
          </w:p>
        </w:tc>
        <w:tc>
          <w:tcPr/>
          <w:p>
            <w:pPr>
              <w:pStyle w:val="Compact"/>
            </w:pPr>
            <w:r>
              <w:rPr>
                <w:b/>
                <w:bCs/>
              </w:rPr>
              <w:t xml:space="preserve">Always, regardless of condition</w:t>
            </w:r>
            <w:r>
              <w:t xml:space="preserve"> </w:t>
            </w:r>
            <w:r>
              <w:t xml:space="preserve">(gray)</w:t>
            </w:r>
          </w:p>
        </w:tc>
      </w:tr>
    </w:tbl>
    <w:p>
      <w:pPr>
        <w:pStyle w:val="BlockText"/>
      </w:pPr>
      <w:r>
        <w:rPr>
          <w:b/>
          <w:bCs/>
        </w:rPr>
        <w:t xml:space="preserve">v7 change.</w:t>
      </w:r>
      <w:r>
        <w:t xml:space="preserve"> </w:t>
      </w:r>
      <w:r>
        <w:t xml:space="preserve">The column header was a binary</w:t>
      </w:r>
      <w:r>
        <w:t xml:space="preserve"> </w:t>
      </w:r>
      <w:r>
        <w:t xml:space="preserve">“Failure-driven?”</w:t>
      </w:r>
      <w:r>
        <w:t xml:space="preserve">, which forced a yes/no onto processes that are not binary. Phosphorus in particular is use-driven but</w:t>
      </w:r>
      <w:r>
        <w:t xml:space="preserve"> </w:t>
      </w:r>
      <w:r>
        <w:rPr>
          <w:i/>
          <w:iCs/>
        </w:rPr>
        <w:t xml:space="preserve">can</w:t>
      </w:r>
      <w:r>
        <w:t xml:space="preserve"> </w:t>
      </w:r>
      <w:r>
        <w:t xml:space="preserve">be remobilised by saturation and reducing conditions. Reframing the column as</w:t>
      </w:r>
      <w:r>
        <w:t xml:space="preserve"> </w:t>
      </w:r>
      <w:r>
        <w:rPr>
          <w:b/>
          <w:bCs/>
        </w:rPr>
        <w:t xml:space="preserve">“What increases it”</w:t>
      </w:r>
      <w:r>
        <w:t xml:space="preserve"> </w:t>
      </w:r>
      <w:r>
        <w:t xml:space="preserve">resolves the tension between the two review comments without hedging the pathogens-vs-PFAS contrast that makes the table useful.</w:t>
      </w:r>
    </w:p>
    <w:p>
      <w:pPr>
        <w:pStyle w:val="FirstParagraph"/>
      </w:pPr>
      <w:r>
        <w:rPr>
          <w:b/>
          <w:bCs/>
        </w:rPr>
        <w:t xml:space="preserve">Caption under the table:</w:t>
      </w:r>
      <w:r>
        <w:t xml:space="preserve"> </w:t>
      </w:r>
      <w:r>
        <w:t xml:space="preserve">Phosphorus is the exception that proves the rule: it is limited by</w:t>
      </w:r>
      <w:r>
        <w:t xml:space="preserve"> </w:t>
      </w:r>
      <w:r>
        <w:rPr>
          <w:i/>
          <w:iCs/>
        </w:rPr>
        <w:t xml:space="preserve">cumulative use</w:t>
      </w:r>
      <w:r>
        <w:t xml:space="preserve">, not by condition. One failure link does exist — when a rising water table saturates the soil, iron oxides dissolve and can release phosphorus they had been holding for years.</w:t>
      </w:r>
    </w:p>
    <w:p>
      <w:pPr>
        <w:pStyle w:val="BodyText"/>
      </w:pPr>
      <w:r>
        <w:rPr>
          <w:b/>
          <w:bCs/>
        </w:rPr>
        <w:t xml:space="preserve">Callout box (deep blue, white text):</w:t>
      </w:r>
      <w:r>
        <w:t xml:space="preserve"> </w:t>
      </w:r>
      <w:r>
        <w:t xml:space="preserve">&gt;</w:t>
      </w:r>
      <w:r>
        <w:t xml:space="preserve"> </w:t>
      </w:r>
      <w:r>
        <w:rPr>
          <w:b/>
          <w:bCs/>
        </w:rPr>
        <w:t xml:space="preserve">Nitrate travels</w:t>
      </w:r>
      <w:r>
        <w:rPr>
          <w:b/>
          <w:bCs/>
        </w:rPr>
        <w:t xml:space="preserve"> </w:t>
      </w:r>
      <w:r>
        <w:rPr>
          <w:b/>
          <w:bCs/>
        </w:rPr>
        <w:t xml:space="preserve">“conservatively”</w:t>
      </w:r>
      <w:r>
        <w:t xml:space="preserve"> </w:t>
      </w:r>
      <w:r>
        <w:t xml:space="preserve">— it does not stick to sand and is barely consumed, because denitrifying bacteria need low oxygen and a carbon source that these oxygen-rich, carbon-poor sands do not provide. What enters the groundwater arrives at the creek.</w:t>
      </w:r>
    </w:p>
    <w:p>
      <w:r>
        <w:pict>
          <v:rect style="width:0;height:1.5pt" o:hralign="center" o:hrstd="t" o:hr="t"/>
        </w:pict>
      </w:r>
    </w:p>
    <w:bookmarkEnd w:id="16"/>
    <w:bookmarkStart w:id="18" w:name="column-3-six-ecological-pathways"/>
    <w:p>
      <w:pPr>
        <w:pStyle w:val="Heading2"/>
      </w:pPr>
      <w:r>
        <w:t xml:space="preserve">5. Column 3 — Six Ecological Pathways</w:t>
      </w:r>
    </w:p>
    <w:p>
      <w:pPr>
        <w:pStyle w:val="FirstParagraph"/>
      </w:pPr>
      <w:r>
        <w:rPr>
          <w:i/>
          <w:iCs/>
        </w:rPr>
        <w:t xml:space="preserve">Accent color: seagrass teal</w:t>
      </w:r>
      <w:r>
        <w:rPr>
          <w:i/>
          <w:iCs/>
        </w:rPr>
        <w:t xml:space="preserve"> </w:t>
      </w:r>
      <w:r>
        <w:rPr>
          <w:rStyle w:val="VerbatimChar"/>
          <w:i/>
          <w:iCs/>
        </w:rPr>
        <w:t xml:space="preserve">#2e8b83</w:t>
      </w:r>
    </w:p>
    <w:p>
      <w:pPr>
        <w:pStyle w:val="BodyText"/>
      </w:pPr>
      <w:r>
        <w:rPr>
          <w:b/>
          <w:bCs/>
        </w:rPr>
        <w:t xml:space="preserve">Intro:</w:t>
      </w:r>
      <w:r>
        <w:t xml:space="preserve"> </w:t>
      </w:r>
      <w:r>
        <w:t xml:space="preserve">We synthesized the peer-reviewed and agency literature into six pathways, each labeled by how strong the evidence actually is for</w:t>
      </w:r>
      <w:r>
        <w:t xml:space="preserve"> </w:t>
      </w:r>
      <w:r>
        <w:rPr>
          <w:i/>
          <w:iCs/>
        </w:rPr>
        <w:t xml:space="preserve">the Eastern Shore specifically</w:t>
      </w:r>
      <w:r>
        <w:t xml:space="preserve">.</w:t>
      </w:r>
    </w:p>
    <w:bookmarkStart w:id="17" w:name="pathway-table"/>
    <w:p>
      <w:pPr>
        <w:pStyle w:val="Heading3"/>
      </w:pPr>
      <w:r>
        <w:t xml:space="preserve">Pathway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Pathway</w:t>
            </w:r>
          </w:p>
        </w:tc>
        <w:tc>
          <w:tcPr/>
          <w:p>
            <w:pPr>
              <w:pStyle w:val="Compact"/>
            </w:pPr>
            <w:r>
              <w:t xml:space="preserve">Consequence</w:t>
            </w:r>
          </w:p>
        </w:tc>
        <w:tc>
          <w:tcPr/>
          <w:p>
            <w:pPr>
              <w:pStyle w:val="Compact"/>
            </w:pPr>
            <w:r>
              <w:t xml:space="preserve">ESVA evidence</w:t>
            </w:r>
          </w:p>
        </w:tc>
      </w:tr>
      <w:tr>
        <w:tc>
          <w:tcPr/>
          <w:p>
            <w:pPr>
              <w:pStyle w:val="Compact"/>
            </w:pPr>
            <w:r>
              <w:rPr>
                <w:b/>
                <w:bCs/>
              </w:rPr>
              <w:t xml:space="preserve">1 · Groundwater &amp; aquifer</w:t>
            </w:r>
          </w:p>
        </w:tc>
        <w:tc>
          <w:tcPr/>
          <w:p>
            <w:pPr>
              <w:pStyle w:val="Compact"/>
            </w:pPr>
            <w:r>
              <w:t xml:space="preserve">Nitrate reaches the shallow aquifer largely untreated.</w:t>
            </w:r>
            <w:r>
              <w:t xml:space="preserve"> </w:t>
            </w:r>
            <w:r>
              <w:rPr>
                <w:b/>
                <w:bCs/>
              </w:rPr>
              <w:t xml:space="preserve">The aquifer is the delivery system</w:t>
            </w:r>
            <w:r>
              <w:t xml:space="preserve"> </w:t>
            </w:r>
            <w:r>
              <w:t xml:space="preserve">— what enters here arrives in the creeks, where nitrogen is the nutrient that drives coastal algal growth</w:t>
            </w:r>
          </w:p>
        </w:tc>
        <w:tc>
          <w:tcPr/>
          <w:p>
            <w:pPr>
              <w:pStyle w:val="Compact"/>
            </w:pPr>
            <w:r>
              <w:t xml:space="preserve">STRONGLY SUPPORTED</w:t>
            </w:r>
          </w:p>
        </w:tc>
      </w:tr>
      <w:tr>
        <w:tc>
          <w:tcPr/>
          <w:p>
            <w:pPr>
              <w:pStyle w:val="Compact"/>
            </w:pPr>
            <w:r>
              <w:rPr>
                <w:b/>
                <w:bCs/>
              </w:rPr>
              <w:t xml:space="preserve">2 · Tidal creeks &amp; salt marsh</w:t>
            </w:r>
          </w:p>
        </w:tc>
        <w:tc>
          <w:tcPr/>
          <w:p>
            <w:pPr>
              <w:pStyle w:val="Compact"/>
            </w:pPr>
            <w:r>
              <w:t xml:space="preserve">Algal mats; and — counter-intuitively —</w:t>
            </w:r>
            <w:r>
              <w:t xml:space="preserve"> </w:t>
            </w:r>
            <w:r>
              <w:rPr>
                <w:b/>
                <w:bCs/>
              </w:rPr>
              <w:t xml:space="preserve">marsh loss</w:t>
            </w:r>
            <w:r>
              <w:t xml:space="preserve">: enrichment grows more leaf but</w:t>
            </w:r>
            <w:r>
              <w:t xml:space="preserve"> </w:t>
            </w:r>
            <w:r>
              <w:rPr>
                <w:i/>
                <w:iCs/>
              </w:rPr>
              <w:t xml:space="preserve">fewer</w:t>
            </w:r>
            <w:r>
              <w:t xml:space="preserve"> </w:t>
            </w:r>
            <w:r>
              <w:t xml:space="preserve">bank-holding roots, so creek banks slump into the channel</w:t>
            </w:r>
          </w:p>
        </w:tc>
        <w:tc>
          <w:tcPr/>
          <w:p>
            <w:pPr>
              <w:pStyle w:val="Compact"/>
            </w:pPr>
            <w:r>
              <w:t xml:space="preserve">PLAUSIBLE</w:t>
            </w:r>
          </w:p>
        </w:tc>
      </w:tr>
      <w:tr>
        <w:tc>
          <w:tcPr/>
          <w:p>
            <w:pPr>
              <w:pStyle w:val="Compact"/>
            </w:pPr>
            <w:r>
              <w:rPr>
                <w:b/>
                <w:bCs/>
              </w:rPr>
              <w:t xml:space="preserve">3a · Chesapeake Bay (Bayside)</w:t>
            </w:r>
          </w:p>
        </w:tc>
        <w:tc>
          <w:tcPr/>
          <w:p>
            <w:pPr>
              <w:pStyle w:val="Compact"/>
            </w:pPr>
            <w:r>
              <w:t xml:space="preserve">Adds to Bay-wide nutrient enrichment, low-oxygen zones and underwater-grass loss</w:t>
            </w:r>
          </w:p>
        </w:tc>
        <w:tc>
          <w:tcPr/>
          <w:p>
            <w:pPr>
              <w:pStyle w:val="Compact"/>
            </w:pPr>
            <w:r>
              <w:t xml:space="preserve">STRONGLY SUPPORTED</w:t>
            </w:r>
          </w:p>
        </w:tc>
      </w:tr>
      <w:tr>
        <w:tc>
          <w:tcPr/>
          <w:p>
            <w:pPr>
              <w:pStyle w:val="Compact"/>
            </w:pPr>
            <w:r>
              <w:rPr>
                <w:b/>
                <w:bCs/>
              </w:rPr>
              <w:t xml:space="preserve">3b · Seaside lagoons</w:t>
            </w:r>
          </w:p>
        </w:tc>
        <w:tc>
          <w:tcPr/>
          <w:p>
            <w:pPr>
              <w:pStyle w:val="Compact"/>
            </w:pPr>
            <w:r>
              <w:t xml:space="preserve">Shallow bays behind the barrier islands are slow to exchange water, so nutrients accumulate rather than disperse</w:t>
            </w:r>
          </w:p>
        </w:tc>
        <w:tc>
          <w:tcPr/>
          <w:p>
            <w:pPr>
              <w:pStyle w:val="Compact"/>
            </w:pPr>
            <w:r>
              <w:t xml:space="preserve">STRONGLY SUPPORTED</w:t>
            </w:r>
          </w:p>
        </w:tc>
      </w:tr>
      <w:tr>
        <w:tc>
          <w:tcPr/>
          <w:p>
            <w:pPr>
              <w:pStyle w:val="Compact"/>
            </w:pPr>
            <w:r>
              <w:rPr>
                <w:b/>
                <w:bCs/>
              </w:rPr>
              <w:t xml:space="preserve">4 · Shellfish &amp; aquaculture</w:t>
            </w:r>
          </w:p>
        </w:tc>
        <w:tc>
          <w:tcPr/>
          <w:p>
            <w:pPr>
              <w:pStyle w:val="Compact"/>
            </w:pPr>
            <w:r>
              <w:t xml:space="preserve">Bacteria and viruses from failing systems trigger harvest closures</w:t>
            </w:r>
          </w:p>
        </w:tc>
        <w:tc>
          <w:tcPr/>
          <w:p>
            <w:pPr>
              <w:pStyle w:val="Compact"/>
            </w:pPr>
            <w:r>
              <w:t xml:space="preserve">STRONGLY SUPPORTED</w:t>
            </w:r>
          </w:p>
        </w:tc>
      </w:tr>
      <w:tr>
        <w:tc>
          <w:tcPr/>
          <w:p>
            <w:pPr>
              <w:pStyle w:val="Compact"/>
            </w:pPr>
            <w:r>
              <w:rPr>
                <w:b/>
                <w:bCs/>
              </w:rPr>
              <w:t xml:space="preserve">5 · Species &amp; habitat</w:t>
            </w:r>
          </w:p>
        </w:tc>
        <w:tc>
          <w:tcPr/>
          <w:p>
            <w:pPr>
              <w:pStyle w:val="Compact"/>
            </w:pPr>
            <w:r>
              <w:t xml:space="preserve">Bay scallop, blue crab, terrapin — indirect effects through loss of grass and marsh habitat</w:t>
            </w:r>
          </w:p>
        </w:tc>
        <w:tc>
          <w:tcPr/>
          <w:p>
            <w:pPr>
              <w:pStyle w:val="Compact"/>
            </w:pPr>
            <w:r>
              <w:t xml:space="preserve">PLAUSIBLE</w:t>
            </w:r>
          </w:p>
        </w:tc>
      </w:tr>
      <w:tr>
        <w:tc>
          <w:tcPr/>
          <w:p>
            <w:pPr>
              <w:pStyle w:val="Compact"/>
            </w:pPr>
            <w:r>
              <w:rPr>
                <w:b/>
                <w:bCs/>
              </w:rPr>
              <w:t xml:space="preserve">6 · Drainfield footprint</w:t>
            </w:r>
          </w:p>
        </w:tc>
        <w:tc>
          <w:tcPr/>
          <w:p>
            <w:pPr>
              <w:pStyle w:val="Compact"/>
            </w:pPr>
            <w:r>
              <w:t xml:space="preserve">Waterlogged soils, vegetation die-off,</w:t>
            </w:r>
            <w:r>
              <w:t xml:space="preserve"> </w:t>
            </w:r>
            <w:r>
              <w:rPr>
                <w:i/>
                <w:iCs/>
              </w:rPr>
              <w:t xml:space="preserve">Phragmites</w:t>
            </w:r>
            <w:r>
              <w:t xml:space="preserve"> </w:t>
            </w:r>
            <w:r>
              <w:t xml:space="preserve">spread, mosquito habitat</w:t>
            </w:r>
          </w:p>
        </w:tc>
        <w:tc>
          <w:tcPr/>
          <w:p>
            <w:pPr>
              <w:pStyle w:val="Compact"/>
            </w:pPr>
            <w:r>
              <w:t xml:space="preserve">PLAUSIBLE</w:t>
            </w:r>
          </w:p>
        </w:tc>
      </w:tr>
    </w:tbl>
    <w:p>
      <w:pPr>
        <w:pStyle w:val="BodyText"/>
      </w:pPr>
      <w:r>
        <w:rPr>
          <w:b/>
          <w:bCs/>
        </w:rPr>
        <w:t xml:space="preserve">Evidence key</w:t>
      </w:r>
      <w:r>
        <w:t xml:space="preserve"> </w:t>
      </w:r>
      <w:r>
        <w:t xml:space="preserve">(colored chips): ESTABLISHED</w:t>
      </w:r>
      <w:r>
        <w:t xml:space="preserve"> </w:t>
      </w:r>
      <w:r>
        <w:rPr>
          <w:rStyle w:val="VerbatimChar"/>
        </w:rPr>
        <w:t xml:space="preserve">#1f6f4a</w:t>
      </w:r>
      <w:r>
        <w:t xml:space="preserve"> </w:t>
      </w:r>
      <w:r>
        <w:t xml:space="preserve">· STRONGLY SUPPORTED</w:t>
      </w:r>
      <w:r>
        <w:t xml:space="preserve"> </w:t>
      </w:r>
      <w:r>
        <w:rPr>
          <w:rStyle w:val="VerbatimChar"/>
        </w:rPr>
        <w:t xml:space="preserve">#2e8b83</w:t>
      </w:r>
      <w:r>
        <w:t xml:space="preserve"> </w:t>
      </w:r>
      <w:r>
        <w:t xml:space="preserve">· PLAUSIBLE</w:t>
      </w:r>
      <w:r>
        <w:t xml:space="preserve"> </w:t>
      </w:r>
      <w:r>
        <w:rPr>
          <w:rStyle w:val="VerbatimChar"/>
        </w:rPr>
        <w:t xml:space="preserve">#c88a2e</w:t>
      </w:r>
      <w:r>
        <w:t xml:space="preserve"> </w:t>
      </w:r>
      <w:r>
        <w:t xml:space="preserve">· SPECULATIVE</w:t>
      </w:r>
      <w:r>
        <w:t xml:space="preserve"> </w:t>
      </w:r>
      <w:r>
        <w:rPr>
          <w:rStyle w:val="VerbatimChar"/>
        </w:rPr>
        <w:t xml:space="preserve">#8b8b8b</w:t>
      </w:r>
    </w:p>
    <w:p>
      <w:pPr>
        <w:pStyle w:val="BodyText"/>
      </w:pPr>
      <w:r>
        <w:rPr>
          <w:b/>
          <w:bCs/>
        </w:rPr>
        <w:t xml:space="preserve">Key caption:</w:t>
      </w:r>
      <w:r>
        <w:t xml:space="preserve"> </w:t>
      </w:r>
      <w:r>
        <w:t xml:space="preserve">Labels describe</w:t>
      </w:r>
      <w:r>
        <w:t xml:space="preserve"> </w:t>
      </w:r>
      <w:r>
        <w:rPr>
          <w:i/>
          <w:iCs/>
        </w:rPr>
        <w:t xml:space="preserve">ESVA-specific attribution</w:t>
      </w:r>
      <w:r>
        <w:t xml:space="preserve">, not whether the mechanism is real. Nearly all of these mechanisms are firmly established in the general literature.</w:t>
      </w:r>
    </w:p>
    <w:p>
      <w:pPr>
        <w:pStyle w:val="BodyText"/>
      </w:pPr>
      <w:r>
        <w:rPr>
          <w:b/>
          <w:bCs/>
        </w:rPr>
        <w:t xml:space="preserve">Note:</w:t>
      </w:r>
      <w:r>
        <w:t xml:space="preserve"> </w:t>
      </w:r>
      <w:r>
        <w:t xml:space="preserve">“SAV”</w:t>
      </w:r>
      <w:r>
        <w:t xml:space="preserve"> </w:t>
      </w:r>
      <w:r>
        <w:t xml:space="preserve">(submerged aquatic vegetation) has been replaced throughout with plain-language</w:t>
      </w:r>
      <w:r>
        <w:t xml:space="preserve"> </w:t>
      </w:r>
      <w:r>
        <w:rPr>
          <w:b/>
          <w:bCs/>
        </w:rPr>
        <w:t xml:space="preserve">“underwater grasses”</w:t>
      </w:r>
      <w:r>
        <w:t xml:space="preserve"> </w:t>
      </w:r>
      <w:r>
        <w:t xml:space="preserve">— the term the Chesapeake Bay Program itself uses for public communication.</w:t>
      </w:r>
    </w:p>
    <w:p>
      <w:pPr>
        <w:pStyle w:val="BodyText"/>
      </w:pPr>
      <w:r>
        <w:rPr>
          <w:b/>
          <w:bCs/>
        </w:rPr>
        <w:t xml:space="preserve">Subhead: Why the seaside lagoons are the sensitive case</w:t>
      </w:r>
    </w:p>
    <w:p>
      <w:pPr>
        <w:pStyle w:val="BodyText"/>
      </w:pPr>
      <w:r>
        <w:t xml:space="preserve">The Bay is large, deep and exchanges water freely, so added nutrients disperse. The seaside lagoons sit behind barrier islands and exchange water only through narrow inlets, so</w:t>
      </w:r>
      <w:r>
        <w:t xml:space="preserve"> </w:t>
      </w:r>
      <w:r>
        <w:rPr>
          <w:b/>
          <w:bCs/>
        </w:rPr>
        <w:t xml:space="preserve">nutrients accumulate</w:t>
      </w:r>
      <w:r>
        <w:t xml:space="preserve">. The same pound of nitrogen does more there.</w:t>
      </w:r>
    </w:p>
    <w:p>
      <w:pPr>
        <w:pStyle w:val="BodyText"/>
      </w:pPr>
      <w:r>
        <w:t xml:space="preserve">Shallow bays like these do not degrade gradually. They absorb nutrients for years with little visible change, then</w:t>
      </w:r>
      <w:r>
        <w:t xml:space="preserve"> </w:t>
      </w:r>
      <w:r>
        <w:rPr>
          <w:b/>
          <w:bCs/>
        </w:rPr>
        <w:t xml:space="preserve">flip</w:t>
      </w:r>
      <w:r>
        <w:t xml:space="preserve"> </w:t>
      </w:r>
      <w:r>
        <w:t xml:space="preserve">— from clear water with grass on the bottom to cloudy water dominated by algae.</w:t>
      </w:r>
    </w:p>
    <w:p>
      <w:pPr>
        <w:pStyle w:val="BodyText"/>
      </w:pPr>
      <w:r>
        <w:rPr>
          <w:b/>
          <w:bCs/>
        </w:rPr>
        <w:t xml:space="preserve">Subhead: Why marshes collapse when fertilised</w:t>
      </w:r>
    </w:p>
    <w:p>
      <w:pPr>
        <w:pStyle w:val="BodyText"/>
      </w:pPr>
      <w:r>
        <w:t xml:space="preserve">A creek bank is held together not by the stems you can see but by the dense mat of</w:t>
      </w:r>
      <w:r>
        <w:t xml:space="preserve"> </w:t>
      </w:r>
      <w:r>
        <w:rPr>
          <w:b/>
          <w:bCs/>
        </w:rPr>
        <w:t xml:space="preserve">roots and rhizomes</w:t>
      </w:r>
      <w:r>
        <w:t xml:space="preserve"> </w:t>
      </w:r>
      <w:r>
        <w:t xml:space="preserve">beneath it. Given abundant nitrogen, marsh grass stops investing in deep roots and puts growth into leaves instead — while the extra nitrogen also speeds microbial</w:t>
      </w:r>
      <w:r>
        <w:t xml:space="preserve"> </w:t>
      </w:r>
      <w:r>
        <w:rPr>
          <w:b/>
          <w:bCs/>
        </w:rPr>
        <w:t xml:space="preserve">decay of the peat</w:t>
      </w:r>
      <w:r>
        <w:t xml:space="preserve"> </w:t>
      </w:r>
      <w:r>
        <w:t xml:space="preserve">itself. The marsh looks greener above while losing its structure below, and banks crack and slump into the channel (Deegan et al. 2012).</w:t>
      </w:r>
    </w:p>
    <w:p>
      <w:pPr>
        <w:pStyle w:val="BodyText"/>
      </w:pPr>
      <w:r>
        <w:rPr>
          <w:i/>
          <w:iCs/>
        </w:rPr>
        <w:t xml:space="preserve">(Place this after the callout box below.)</w:t>
      </w:r>
    </w:p>
    <w:p>
      <w:pPr>
        <w:pStyle w:val="BodyText"/>
      </w:pPr>
      <w:r>
        <w:rPr>
          <w:b/>
          <w:bCs/>
        </w:rPr>
        <w:t xml:space="preserve">Callout box (deep blue, white text):</w:t>
      </w:r>
      <w:r>
        <w:t xml:space="preserve"> </w:t>
      </w:r>
      <w:r>
        <w:t xml:space="preserve">&gt;</w:t>
      </w:r>
      <w:r>
        <w:t xml:space="preserve"> </w:t>
      </w:r>
      <w:r>
        <w:rPr>
          <w:b/>
          <w:bCs/>
        </w:rPr>
        <w:t xml:space="preserve">And the flip is hard to undo.</w:t>
      </w:r>
      <w:r>
        <w:t xml:space="preserve"> </w:t>
      </w:r>
      <w:r>
        <w:t xml:space="preserve">Once the grass is gone the water stays cloudy, so light cannot reach the bottom, so grass cannot re-establish — even if nutrients fall back to where they started. That is the argument for</w:t>
      </w:r>
      <w:r>
        <w:t xml:space="preserve"> </w:t>
      </w:r>
      <w:r>
        <w:rPr>
          <w:i/>
          <w:iCs/>
        </w:rPr>
        <w:t xml:space="preserve">prevention</w:t>
      </w:r>
      <w:r>
        <w:t xml:space="preserve"> </w:t>
      </w:r>
      <w:r>
        <w:t xml:space="preserve">over restoration.</w:t>
      </w:r>
    </w:p>
    <w:p>
      <w:r>
        <w:pict>
          <v:rect style="width:0;height:1.5pt" o:hralign="center" o:hrstd="t" o:hr="t"/>
        </w:pict>
      </w:r>
    </w:p>
    <w:bookmarkEnd w:id="17"/>
    <w:bookmarkEnd w:id="18"/>
    <w:bookmarkStart w:id="19" w:name="column-4-what-sits-downstream"/>
    <w:p>
      <w:pPr>
        <w:pStyle w:val="Heading2"/>
      </w:pPr>
      <w:r>
        <w:t xml:space="preserve">6. Column 4 — What Sits Downstream</w:t>
      </w:r>
    </w:p>
    <w:p>
      <w:pPr>
        <w:pStyle w:val="FirstParagraph"/>
      </w:pPr>
      <w:r>
        <w:rPr>
          <w:i/>
          <w:iCs/>
        </w:rPr>
        <w:t xml:space="preserve">Accent color: marsh green</w:t>
      </w:r>
      <w:r>
        <w:rPr>
          <w:i/>
          <w:iCs/>
        </w:rPr>
        <w:t xml:space="preserve"> </w:t>
      </w:r>
      <w:r>
        <w:rPr>
          <w:rStyle w:val="VerbatimChar"/>
          <w:i/>
          <w:iCs/>
        </w:rPr>
        <w:t xml:space="preserve">#4a7c4e</w:t>
      </w:r>
    </w:p>
    <w:p>
      <w:pPr>
        <w:pStyle w:val="BlockText"/>
      </w:pPr>
      <w:r>
        <w:rPr>
          <w:b/>
          <w:bCs/>
        </w:rPr>
        <w:t xml:space="preserve">Reframed from the first draft.</w:t>
      </w:r>
      <w:r>
        <w:t xml:space="preserve"> </w:t>
      </w:r>
      <w:r>
        <w:t xml:space="preserve">The original version implied that failing septic systems are currently threatening the seagrass restoration and the aquaculture economy. That overstates the evidence. This version presents the assets, establishes that the system has limited buffer capacity, and states plainly what has not been measured.</w:t>
      </w:r>
    </w:p>
    <w:p>
      <w:pPr>
        <w:pStyle w:val="FirstParagraph"/>
      </w:pPr>
      <w:r>
        <w:rPr>
          <w:b/>
          <w:bCs/>
        </w:rPr>
        <w:t xml:space="preserve">Intro:</w:t>
      </w:r>
      <w:r>
        <w:t xml:space="preserve"> </w:t>
      </w:r>
      <w:r>
        <w:t xml:space="preserve">The Shore has recovered ecological assets that most of the Atlantic coast lost permanently. They sit downstream of 18,000 septic systems.</w:t>
      </w:r>
    </w:p>
    <w:p>
      <w:pPr>
        <w:pStyle w:val="BodyText"/>
      </w:pPr>
      <w:r>
        <w:rPr>
          <w:b/>
          <w:bCs/>
        </w:rPr>
        <w:t xml:space="preserve">Stat block (teal):</w:t>
      </w:r>
      <w:r>
        <w:t xml:space="preserve"> </w:t>
      </w:r>
      <w:r>
        <w:t xml:space="preserve">&gt;</w:t>
      </w:r>
      <w:r>
        <w:t xml:space="preserve"> </w:t>
      </w:r>
      <w:r>
        <w:rPr>
          <w:b/>
          <w:bCs/>
        </w:rPr>
        <w:t xml:space="preserve">3,612 ha</w:t>
      </w:r>
      <w:r>
        <w:t xml:space="preserve"> </w:t>
      </w:r>
      <w:r>
        <w:t xml:space="preserve">&gt; (~8,900 acres) of eelgrass restored from</w:t>
      </w:r>
      <w:r>
        <w:t xml:space="preserve"> </w:t>
      </w:r>
      <w:r>
        <w:rPr>
          <w:b/>
          <w:bCs/>
        </w:rPr>
        <w:t xml:space="preserve">70+ million seeds</w:t>
      </w:r>
      <w:r>
        <w:t xml:space="preserve"> </w:t>
      </w:r>
      <w:r>
        <w:t xml:space="preserve">since 1999 — the</w:t>
      </w:r>
      <w:r>
        <w:t xml:space="preserve"> </w:t>
      </w:r>
      <w:r>
        <w:rPr>
          <w:b/>
          <w:bCs/>
        </w:rPr>
        <w:t xml:space="preserve">largest successful seagrass restoration in the world</w:t>
      </w:r>
      <w:r>
        <w:t xml:space="preserve"> </w:t>
      </w:r>
      <w:r>
        <w:t xml:space="preserve">and the largest eelgrass habitat between North Carolina and Long Island Sound (Orth et al. 2020)</w:t>
      </w:r>
    </w:p>
    <w:p>
      <w:pPr>
        <w:pStyle w:val="BodyText"/>
      </w:pPr>
      <w:r>
        <w:rPr>
          <w:b/>
          <w:bCs/>
        </w:rPr>
        <w:t xml:space="preserve">Stat block (teal):</w:t>
      </w:r>
      <w:r>
        <w:t xml:space="preserve"> </w:t>
      </w:r>
      <w:r>
        <w:t xml:space="preserve">&gt;</w:t>
      </w:r>
      <w:r>
        <w:t xml:space="preserve"> </w:t>
      </w:r>
      <w:r>
        <w:rPr>
          <w:b/>
          <w:bCs/>
        </w:rPr>
        <w:t xml:space="preserve">~90 yrs</w:t>
      </w:r>
      <w:r>
        <w:t xml:space="preserve"> </w:t>
      </w:r>
      <w:r>
        <w:t xml:space="preserve">&gt; the bay scallop was absent before reintroduction succeeded in that restored meadow — the only recovery of its kind</w:t>
      </w:r>
    </w:p>
    <w:p>
      <w:pPr>
        <w:pStyle w:val="BodyText"/>
      </w:pPr>
      <w:r>
        <w:rPr>
          <w:b/>
          <w:bCs/>
        </w:rPr>
        <w:t xml:space="preserve">Paired stat blocks (green):</w:t>
      </w:r>
      <w:r>
        <w:t xml:space="preserve"> </w:t>
      </w:r>
      <w:r>
        <w:t xml:space="preserve">&gt;</w:t>
      </w:r>
      <w:r>
        <w:t xml:space="preserve"> </w:t>
      </w:r>
      <w:r>
        <w:rPr>
          <w:b/>
          <w:bCs/>
        </w:rPr>
        <w:t xml:space="preserve">$81M</w:t>
      </w:r>
      <w:r>
        <w:t xml:space="preserve"> </w:t>
      </w:r>
      <w:r>
        <w:t xml:space="preserve">— Virginia shellfish aquaculture direct sales, 2024 — up</w:t>
      </w:r>
      <w:r>
        <w:t xml:space="preserve"> </w:t>
      </w:r>
      <w:r>
        <w:rPr>
          <w:b/>
          <w:bCs/>
        </w:rPr>
        <w:t xml:space="preserve">52%</w:t>
      </w:r>
      <w:r>
        <w:t xml:space="preserve"> </w:t>
      </w:r>
      <w:r>
        <w:t xml:space="preserve">from $53M in 2018</w:t>
      </w:r>
      <w:r>
        <w:t xml:space="preserve"> </w:t>
      </w:r>
      <w:r>
        <w:t xml:space="preserve">&gt;</w:t>
      </w:r>
      <w:r>
        <w:t xml:space="preserve"> </w:t>
      </w:r>
      <w:r>
        <w:rPr>
          <w:b/>
          <w:bCs/>
        </w:rPr>
        <w:t xml:space="preserve">700+</w:t>
      </w:r>
      <w:r>
        <w:t xml:space="preserve"> </w:t>
      </w:r>
      <w:r>
        <w:t xml:space="preserve">— industry jobs, up from ~480 in 2018 (Hudson/VIMS 2025)</w:t>
      </w:r>
    </w:p>
    <w:p>
      <w:pPr>
        <w:pStyle w:val="BodyText"/>
      </w:pPr>
      <w:r>
        <w:rPr>
          <w:b/>
          <w:bCs/>
        </w:rPr>
        <w:t xml:space="preserve">Subhead: Why the margin is thin</w:t>
      </w:r>
    </w:p>
    <w:p>
      <w:pPr>
        <w:pStyle w:val="BodyText"/>
      </w:pPr>
      <w:r>
        <w:t xml:space="preserve">These systems are not currently degraded by septic pollution. They are, however, demonstrably</w:t>
      </w:r>
      <w:r>
        <w:t xml:space="preserve"> </w:t>
      </w:r>
      <w:r>
        <w:rPr>
          <w:i/>
          <w:iCs/>
        </w:rPr>
        <w:t xml:space="preserve">perturbable</w:t>
      </w:r>
      <w:r>
        <w:t xml:space="preserve"> </w:t>
      </w:r>
      <w:r>
        <w:t xml:space="preserve">— which is what makes an additional and growing stressor consequential.</w:t>
      </w:r>
    </w:p>
    <w:p>
      <w:pPr>
        <w:pStyle w:val="Compact"/>
        <w:numPr>
          <w:ilvl w:val="0"/>
          <w:numId w:val="1003"/>
        </w:numPr>
      </w:pPr>
      <w:r>
        <w:t xml:space="preserve">The 2015 marine heat wave caused</w:t>
      </w:r>
      <w:r>
        <w:t xml:space="preserve"> </w:t>
      </w:r>
      <w:r>
        <w:rPr>
          <w:b/>
          <w:bCs/>
        </w:rPr>
        <w:t xml:space="preserve">~50% areal eelgrass loss</w:t>
      </w:r>
      <w:r>
        <w:t xml:space="preserve"> </w:t>
      </w:r>
      <w:r>
        <w:t xml:space="preserve">in South and Hog Island Bays; recovery is still incomplete.</w:t>
      </w:r>
    </w:p>
    <w:p>
      <w:pPr>
        <w:pStyle w:val="Compact"/>
        <w:numPr>
          <w:ilvl w:val="0"/>
          <w:numId w:val="1003"/>
        </w:numPr>
      </w:pPr>
      <w:r>
        <w:t xml:space="preserve">Warming</w:t>
      </w:r>
      <w:r>
        <w:t xml:space="preserve"> </w:t>
      </w:r>
      <w:r>
        <w:rPr>
          <w:b/>
          <w:bCs/>
        </w:rPr>
        <w:t xml:space="preserve">lowers eelgrass tolerance for nutrients</w:t>
      </w:r>
      <w:r>
        <w:t xml:space="preserve"> </w:t>
      </w:r>
      <w:r>
        <w:t xml:space="preserve">(Lefcheck et al. 2017). The link is</w:t>
      </w:r>
      <w:r>
        <w:t xml:space="preserve"> </w:t>
      </w:r>
      <w:r>
        <w:rPr>
          <w:b/>
          <w:bCs/>
        </w:rPr>
        <w:t xml:space="preserve">light</w:t>
      </w:r>
      <w:r>
        <w:t xml:space="preserve">: warm water forces the plant to respire faster, so it needs</w:t>
      </w:r>
      <w:r>
        <w:t xml:space="preserve"> </w:t>
      </w:r>
      <w:r>
        <w:rPr>
          <w:i/>
          <w:iCs/>
        </w:rPr>
        <w:t xml:space="preserve">more</w:t>
      </w:r>
      <w:r>
        <w:t xml:space="preserve"> </w:t>
      </w:r>
      <w:r>
        <w:t xml:space="preserve">light to break even — while nutrients feed a film of algae on the blades and in the water that delivers</w:t>
      </w:r>
      <w:r>
        <w:t xml:space="preserve"> </w:t>
      </w:r>
      <w:r>
        <w:rPr>
          <w:i/>
          <w:iCs/>
        </w:rPr>
        <w:t xml:space="preserve">less</w:t>
      </w:r>
      <w:r>
        <w:t xml:space="preserve">. The two stressors squeeze from opposite sides.</w:t>
      </w:r>
    </w:p>
    <w:p>
      <w:pPr>
        <w:pStyle w:val="Compact"/>
        <w:numPr>
          <w:ilvl w:val="0"/>
          <w:numId w:val="1003"/>
        </w:numPr>
      </w:pPr>
      <w:r>
        <w:t xml:space="preserve">Fecal-indicator exceedance in tidal waters rises from</w:t>
      </w:r>
      <w:r>
        <w:t xml:space="preserve"> </w:t>
      </w:r>
      <w:r>
        <w:rPr>
          <w:b/>
          <w:bCs/>
        </w:rPr>
        <w:t xml:space="preserve">~7% on dry days to ~37%</w:t>
      </w:r>
      <w:r>
        <w:t xml:space="preserve"> </w:t>
      </w:r>
      <w:r>
        <w:t xml:space="preserve">after ≥1 inch of rain (Leight &amp; Hood 2018).</w:t>
      </w:r>
    </w:p>
    <w:p>
      <w:pPr>
        <w:pStyle w:val="Compact"/>
        <w:numPr>
          <w:ilvl w:val="0"/>
          <w:numId w:val="1003"/>
        </w:numPr>
      </w:pPr>
      <w:r>
        <w:rPr>
          <w:b/>
          <w:bCs/>
        </w:rPr>
        <w:t xml:space="preserve">[Oct 2026, corrected]</w:t>
      </w:r>
      <w:r>
        <w:t xml:space="preserve"> </w:t>
      </w:r>
      <w:r>
        <w:t xml:space="preserve">Septic vulnerability under sea-level rise is greatest in low-lying shoreline parcels, which are logical monitoring priorities. No published analysis shows septic hot spots explain ESVA shellfish closures. Mitchell et al. (2021) found only one septic/water-quality overlap Tidewater-wide. (An earlier version named seven towns and attributed the list to RD883; RD883 does not contain it.)</w:t>
      </w:r>
    </w:p>
    <w:p>
      <w:pPr>
        <w:pStyle w:val="FirstParagraph"/>
      </w:pPr>
      <w:r>
        <w:rPr>
          <w:b/>
          <w:bCs/>
        </w:rPr>
        <w:t xml:space="preserve">Limits box (light blue fill, dashed blue border) —</w:t>
      </w:r>
      <w:r>
        <w:rPr>
          <w:b/>
          <w:bCs/>
        </w:rPr>
        <w:t xml:space="preserve"> </w:t>
      </w:r>
      <w:r>
        <w:rPr>
          <w:b/>
          <w:bCs/>
        </w:rPr>
        <w:t xml:space="preserve">“What we cannot yet say”</w:t>
      </w:r>
      <w:r>
        <w:rPr>
          <w:b/>
          <w:bCs/>
        </w:rPr>
        <w:t xml:space="preserve">:</w:t>
      </w:r>
      <w:r>
        <w:t xml:space="preserve"> </w:t>
      </w:r>
      <w:r>
        <w:t xml:space="preserve">- No ESVA study has apportioned creek or lagoon nitrogen among</w:t>
      </w:r>
      <w:r>
        <w:t xml:space="preserve"> </w:t>
      </w:r>
      <w:r>
        <w:rPr>
          <w:b/>
          <w:bCs/>
        </w:rPr>
        <w:t xml:space="preserve">septic, agriculture and atmospheric</w:t>
      </w:r>
      <w:r>
        <w:t xml:space="preserve"> </w:t>
      </w:r>
      <w:r>
        <w:t xml:space="preserve">sources.</w:t>
      </w:r>
      <w:r>
        <w:t xml:space="preserve"> </w:t>
      </w:r>
      <w:r>
        <w:t xml:space="preserve">- No ESVA study has traced shellfish closures to</w:t>
      </w:r>
      <w:r>
        <w:t xml:space="preserve"> </w:t>
      </w:r>
      <w:r>
        <w:rPr>
          <w:b/>
          <w:bCs/>
        </w:rPr>
        <w:t xml:space="preserve">human</w:t>
      </w:r>
      <w:r>
        <w:t xml:space="preserve"> </w:t>
      </w:r>
      <w:r>
        <w:t xml:space="preserve">versus wildlife or livestock sources.</w:t>
      </w:r>
      <w:r>
        <w:t xml:space="preserve"> </w:t>
      </w:r>
      <w:r>
        <w:t xml:space="preserve">- Seaside nutrient concentrations remain</w:t>
      </w:r>
      <w:r>
        <w:t xml:space="preserve"> </w:t>
      </w:r>
      <w:r>
        <w:rPr>
          <w:b/>
          <w:bCs/>
        </w:rPr>
        <w:t xml:space="preserve">low</w:t>
      </w:r>
      <w:r>
        <w:t xml:space="preserve"> </w:t>
      </w:r>
      <w:r>
        <w:t xml:space="preserve">by global standards; the documented eelgrass threat to date has been</w:t>
      </w:r>
      <w:r>
        <w:t xml:space="preserve"> </w:t>
      </w:r>
      <w:r>
        <w:rPr>
          <w:b/>
          <w:bCs/>
        </w:rPr>
        <w:t xml:space="preserve">thermal</w:t>
      </w:r>
      <w:r>
        <w:t xml:space="preserve">, not nutrient.</w:t>
      </w:r>
    </w:p>
    <w:p>
      <w:pPr>
        <w:pStyle w:val="BlockText"/>
      </w:pPr>
      <w:r>
        <w:rPr>
          <w:b/>
          <w:bCs/>
        </w:rPr>
        <w:t xml:space="preserve">The defensible claim is precautionary, not diagnostic:</w:t>
      </w:r>
      <w:r>
        <w:t xml:space="preserve"> </w:t>
      </w:r>
      <w:r>
        <w:t xml:space="preserve">a globally significant, inherently sensitive, hard-to-restore system sits downstream of a stressor that is</w:t>
      </w:r>
      <w:r>
        <w:t xml:space="preserve"> </w:t>
      </w:r>
      <w:r>
        <w:rPr>
          <w:i/>
          <w:iCs/>
        </w:rPr>
        <w:t xml:space="preserve">growing</w:t>
      </w:r>
      <w:r>
        <w:t xml:space="preserve"> </w:t>
      </w:r>
      <w:r>
        <w:t xml:space="preserve">— and nobody has measured its contribution.</w:t>
      </w:r>
    </w:p>
    <w:p>
      <w:r>
        <w:pict>
          <v:rect style="width:0;height:1.5pt" o:hralign="center" o:hrstd="t" o:hr="t"/>
        </w:pict>
      </w:r>
    </w:p>
    <w:bookmarkEnd w:id="19"/>
    <w:bookmarkStart w:id="23" w:name="X910ecf06761379a41d75416985db00eef95403c"/>
    <w:p>
      <w:pPr>
        <w:pStyle w:val="Heading2"/>
      </w:pPr>
      <w:r>
        <w:t xml:space="preserve">7. Bottom band — Gaps, Implications, Partnerships</w:t>
      </w:r>
    </w:p>
    <w:p>
      <w:pPr>
        <w:pStyle w:val="FirstParagraph"/>
      </w:pPr>
      <w:r>
        <w:rPr>
          <w:i/>
          <w:iCs/>
        </w:rPr>
        <w:t xml:space="preserve">Accent color: amber</w:t>
      </w:r>
      <w:r>
        <w:rPr>
          <w:i/>
          <w:iCs/>
        </w:rPr>
        <w:t xml:space="preserve"> </w:t>
      </w:r>
      <w:r>
        <w:rPr>
          <w:rStyle w:val="VerbatimChar"/>
          <w:i/>
          <w:iCs/>
        </w:rPr>
        <w:t xml:space="preserve">#c88a2e</w:t>
      </w:r>
      <w:r>
        <w:rPr>
          <w:i/>
          <w:iCs/>
        </w:rPr>
        <w:t xml:space="preserve">. Three sub-columns.</w:t>
      </w:r>
    </w:p>
    <w:bookmarkStart w:id="20" w:name="X0487330309822e6a956296f118f2807e1ed1994"/>
    <w:p>
      <w:pPr>
        <w:pStyle w:val="Heading3"/>
      </w:pPr>
      <w:r>
        <w:t xml:space="preserve">7a. Priority Data Gaps — Where Help Is Needed (widest sub-column)</w:t>
      </w:r>
    </w:p>
    <w:p>
      <w:pPr>
        <w:pStyle w:val="Compact"/>
        <w:numPr>
          <w:ilvl w:val="0"/>
          <w:numId w:val="1004"/>
        </w:numPr>
      </w:pPr>
      <w:r>
        <w:rPr>
          <w:b/>
          <w:bCs/>
        </w:rPr>
        <w:t xml:space="preserve">Source attribution for nitrogen in ESVA creeks and lagoons.</w:t>
      </w:r>
      <w:r>
        <w:t xml:space="preserve"> </w:t>
      </w:r>
      <w:r>
        <w:t xml:space="preserve">Stable isotopes (δ¹⁵N–δ¹⁸O of NO₃⁻) plus wastewater co-tracers (sucralose, acesulfame, caffeine) across a septic-density gradient.</w:t>
      </w:r>
      <w:r>
        <w:t xml:space="preserve"> </w:t>
      </w:r>
      <w:r>
        <w:rPr>
          <w:i/>
          <w:iCs/>
        </w:rPr>
        <w:t xml:space="preserve">One study design would inform five of six pathways — and it is the single measurement that would convert this poster’s argument from precautionary to quantitative.</w:t>
      </w:r>
    </w:p>
    <w:p>
      <w:pPr>
        <w:pStyle w:val="Compact"/>
        <w:numPr>
          <w:ilvl w:val="0"/>
          <w:numId w:val="1004"/>
        </w:numPr>
      </w:pPr>
      <w:r>
        <w:rPr>
          <w:b/>
          <w:bCs/>
        </w:rPr>
        <w:t xml:space="preserve">Microbial source tracking for shellfish closures.</w:t>
      </w:r>
      <w:r>
        <w:t xml:space="preserve"> </w:t>
      </w:r>
      <w:r>
        <w:t xml:space="preserve">HF183, crAssphage and enteric-virus panels to apportion closure days among human, wildlife, livestock and stormwater sources — never quantitatively closed for ESVA.</w:t>
      </w:r>
    </w:p>
    <w:p>
      <w:pPr>
        <w:pStyle w:val="Compact"/>
        <w:numPr>
          <w:ilvl w:val="0"/>
          <w:numId w:val="1004"/>
        </w:numPr>
      </w:pPr>
      <w:r>
        <w:rPr>
          <w:b/>
          <w:bCs/>
        </w:rPr>
        <w:t xml:space="preserve">Direct groundwater monitoring around septic clusters.</w:t>
      </w:r>
      <w:r>
        <w:t xml:space="preserve"> </w:t>
      </w:r>
      <w:r>
        <w:t xml:space="preserve">Paired up/downgradient wells with a full analyte suite. Current ESVA work is exposure</w:t>
      </w:r>
      <w:r>
        <w:t xml:space="preserve"> </w:t>
      </w:r>
      <w:r>
        <w:rPr>
          <w:i/>
          <w:iCs/>
        </w:rPr>
        <w:t xml:space="preserve">modeling</w:t>
      </w:r>
      <w:r>
        <w:t xml:space="preserve">, not effects measurement.</w:t>
      </w:r>
    </w:p>
    <w:p>
      <w:pPr>
        <w:pStyle w:val="Compact"/>
        <w:numPr>
          <w:ilvl w:val="0"/>
          <w:numId w:val="1004"/>
        </w:numPr>
      </w:pPr>
      <w:r>
        <w:rPr>
          <w:b/>
          <w:bCs/>
        </w:rPr>
        <w:t xml:space="preserve">Sub-basin nitrogen mass balance</w:t>
      </w:r>
      <w:r>
        <w:t xml:space="preserve"> </w:t>
      </w:r>
      <w:r>
        <w:t xml:space="preserve">calibrated to Columbia-aquifer conditions rather than watershed-average coefficients.</w:t>
      </w:r>
    </w:p>
    <w:p>
      <w:pPr>
        <w:pStyle w:val="Compact"/>
        <w:numPr>
          <w:ilvl w:val="0"/>
          <w:numId w:val="1004"/>
        </w:numPr>
      </w:pPr>
      <w:r>
        <w:rPr>
          <w:b/>
          <w:bCs/>
        </w:rPr>
        <w:t xml:space="preserve">Nutrient safety-margin modeling</w:t>
      </w:r>
      <w:r>
        <w:t xml:space="preserve"> </w:t>
      </w:r>
      <w:r>
        <w:t xml:space="preserve">coupling groundwater nitrogen delivery to eelgrass condition and bay scallop recruitment under warming.</w:t>
      </w:r>
    </w:p>
    <w:p>
      <w:pPr>
        <w:pStyle w:val="Compact"/>
        <w:numPr>
          <w:ilvl w:val="0"/>
          <w:numId w:val="1004"/>
        </w:numPr>
      </w:pPr>
      <w:r>
        <w:rPr>
          <w:b/>
          <w:bCs/>
        </w:rPr>
        <w:t xml:space="preserve">Field ecology of ESVA drainfield footprints</w:t>
      </w:r>
      <w:r>
        <w:t xml:space="preserve"> </w:t>
      </w:r>
      <w:r>
        <w:t xml:space="preserve">— no vegetation, soil-microbial or adjacent-habitat surveys have been published.</w:t>
      </w:r>
    </w:p>
    <w:bookmarkEnd w:id="20"/>
    <w:bookmarkStart w:id="21" w:name="b.-management-implications"/>
    <w:p>
      <w:pPr>
        <w:pStyle w:val="Heading3"/>
      </w:pPr>
      <w:r>
        <w:t xml:space="preserve">7b. Management Implications</w:t>
      </w:r>
    </w:p>
    <w:p>
      <w:pPr>
        <w:pStyle w:val="Compact"/>
        <w:numPr>
          <w:ilvl w:val="0"/>
          <w:numId w:val="1005"/>
        </w:numPr>
      </w:pPr>
      <w:r>
        <w:t xml:space="preserve">Failure risk is</w:t>
      </w:r>
      <w:r>
        <w:t xml:space="preserve"> </w:t>
      </w:r>
      <w:r>
        <w:rPr>
          <w:b/>
          <w:bCs/>
        </w:rPr>
        <w:t xml:space="preserve">climate-driven and progressive</w:t>
      </w:r>
      <w:r>
        <w:t xml:space="preserve"> </w:t>
      </w:r>
      <w:r>
        <w:t xml:space="preserve">— sustained infrastructure investment, not a one-time retrofit.</w:t>
      </w:r>
    </w:p>
    <w:p>
      <w:pPr>
        <w:pStyle w:val="Compact"/>
        <w:numPr>
          <w:ilvl w:val="0"/>
          <w:numId w:val="1005"/>
        </w:numPr>
      </w:pPr>
      <w:r>
        <w:t xml:space="preserve">Monitor</w:t>
      </w:r>
      <w:r>
        <w:t xml:space="preserve"> </w:t>
      </w:r>
      <w:r>
        <w:rPr>
          <w:b/>
          <w:bCs/>
        </w:rPr>
        <w:t xml:space="preserve">precursors</w:t>
      </w:r>
      <w:r>
        <w:t xml:space="preserve"> </w:t>
      </w:r>
      <w:r>
        <w:t xml:space="preserve">(unsaturated-zone thickness, saturation frequency), not failure events.</w:t>
      </w:r>
    </w:p>
    <w:p>
      <w:pPr>
        <w:pStyle w:val="Compact"/>
        <w:numPr>
          <w:ilvl w:val="0"/>
          <w:numId w:val="1005"/>
        </w:numPr>
      </w:pPr>
      <w:r>
        <w:t xml:space="preserve">Conventional systems remove little nitrogen even when working —</w:t>
      </w:r>
      <w:r>
        <w:t xml:space="preserve"> </w:t>
      </w:r>
      <w:r>
        <w:rPr>
          <w:b/>
          <w:bCs/>
        </w:rPr>
        <w:t xml:space="preserve">nitrogen reduction requires advanced systems or sewer</w:t>
      </w:r>
      <w:r>
        <w:t xml:space="preserve">, not just repair.</w:t>
      </w:r>
    </w:p>
    <w:p>
      <w:pPr>
        <w:pStyle w:val="Compact"/>
        <w:numPr>
          <w:ilvl w:val="0"/>
          <w:numId w:val="1005"/>
        </w:numPr>
      </w:pPr>
      <w:r>
        <w:t xml:space="preserve">PFAS and pharmaceutical loading is</w:t>
      </w:r>
      <w:r>
        <w:t xml:space="preserve"> </w:t>
      </w:r>
      <w:r>
        <w:rPr>
          <w:b/>
          <w:bCs/>
        </w:rPr>
        <w:t xml:space="preserve">not</w:t>
      </w:r>
      <w:r>
        <w:t xml:space="preserve"> </w:t>
      </w:r>
      <w:r>
        <w:t xml:space="preserve">addressed by septic repair or mound systems.</w:t>
      </w:r>
    </w:p>
    <w:p>
      <w:pPr>
        <w:pStyle w:val="Compact"/>
        <w:numPr>
          <w:ilvl w:val="0"/>
          <w:numId w:val="1005"/>
        </w:numPr>
      </w:pPr>
      <w:r>
        <w:t xml:space="preserve">Target cost-share to</w:t>
      </w:r>
      <w:r>
        <w:t xml:space="preserve"> </w:t>
      </w:r>
      <w:r>
        <w:rPr>
          <w:b/>
          <w:bCs/>
        </w:rPr>
        <w:t xml:space="preserve">sub-basins</w:t>
      </w:r>
      <w:r>
        <w:t xml:space="preserve"> </w:t>
      </w:r>
      <w:r>
        <w:t xml:space="preserve">where septic density and shellfish closures overlap.</w:t>
      </w:r>
    </w:p>
    <w:p>
      <w:pPr>
        <w:pStyle w:val="Compact"/>
        <w:numPr>
          <w:ilvl w:val="0"/>
          <w:numId w:val="1005"/>
        </w:numPr>
      </w:pPr>
      <w:r>
        <w:t xml:space="preserve">Cross-reference</w:t>
      </w:r>
      <w:r>
        <w:t xml:space="preserve"> </w:t>
      </w:r>
      <w:r>
        <w:rPr>
          <w:b/>
          <w:bCs/>
        </w:rPr>
        <w:t xml:space="preserve">new subdivision approvals</w:t>
      </w:r>
      <w:r>
        <w:t xml:space="preserve"> </w:t>
      </w:r>
      <w:r>
        <w:t xml:space="preserve">against projected 2040 groundwater depth.</w:t>
      </w:r>
    </w:p>
    <w:bookmarkEnd w:id="21"/>
    <w:bookmarkStart w:id="22" w:name="c.-partnership-opportunities"/>
    <w:p>
      <w:pPr>
        <w:pStyle w:val="Heading3"/>
      </w:pPr>
      <w:r>
        <w:t xml:space="preserve">7c. Partnership Opportunities</w:t>
      </w:r>
    </w:p>
    <w:p>
      <w:pPr>
        <w:pStyle w:val="FirstParagraph"/>
      </w:pPr>
      <w:r>
        <w:t xml:space="preserve">We are actively seeking collaborators for field sampling, data sharing and student placements.</w:t>
      </w:r>
    </w:p>
    <w:p>
      <w:pPr>
        <w:pStyle w:val="BodyText"/>
      </w:pPr>
      <w:r>
        <w:t xml:space="preserve">Tags: VDH — Eastern Shore Health District · VDH Div. of Shellfish Safety · A-NPDC · Virginia DEQ · VIMS · Virginia Coast Reserve LTER · The Nature Conservancy · Accomack &amp; Northampton counties · Virginia Cooperative Extension · Shellfish growers &amp; watermen</w:t>
      </w:r>
    </w:p>
    <w:p>
      <w:pPr>
        <w:pStyle w:val="BodyText"/>
      </w:pPr>
      <w:r>
        <w:rPr>
          <w:b/>
          <w:bCs/>
        </w:rPr>
        <w:t xml:space="preserve">ESCC students</w:t>
      </w:r>
      <w:r>
        <w:t xml:space="preserve"> </w:t>
      </w:r>
      <w:r>
        <w:t xml:space="preserve">are available for capstone and internship projects on any of the gaps at left — several are achievable within a single semester using public data.</w:t>
      </w:r>
    </w:p>
    <w:p>
      <w:pPr>
        <w:pStyle w:val="BodyText"/>
      </w:pPr>
      <w:r>
        <w:rPr>
          <w:b/>
          <w:bCs/>
        </w:rPr>
        <w:t xml:space="preserve">Contact:</w:t>
      </w:r>
      <w:r>
        <w:t xml:space="preserve"> </w:t>
      </w:r>
      <w:r>
        <w:t xml:space="preserve">[email] · [phone]</w:t>
      </w:r>
    </w:p>
    <w:p>
      <w:r>
        <w:pict>
          <v:rect style="width:0;height:1.5pt" o:hralign="center" o:hrstd="t" o:hr="t"/>
        </w:pict>
      </w:r>
    </w:p>
    <w:bookmarkEnd w:id="22"/>
    <w:bookmarkEnd w:id="23"/>
    <w:bookmarkStart w:id="24" w:name="rebuilding-the-diagram-in-powerpoint"/>
    <w:p>
      <w:pPr>
        <w:pStyle w:val="Heading2"/>
      </w:pPr>
      <w:r>
        <w:t xml:space="preserve">8. Rebuilding the diagram in PowerPoint</w:t>
      </w:r>
    </w:p>
    <w:p>
      <w:pPr>
        <w:pStyle w:val="FirstParagraph"/>
      </w:pPr>
      <w:r>
        <w:t xml:space="preserve">The HTML uses an inline SVG cross-section. To rebuild manually:</w:t>
      </w:r>
    </w:p>
    <w:p>
      <w:pPr>
        <w:pStyle w:val="BodyText"/>
      </w:pPr>
      <w:r>
        <w:rPr>
          <w:b/>
          <w:bCs/>
        </w:rPr>
        <w:t xml:space="preserve">Layers, top to bottom:</w:t>
      </w:r>
      <w:r>
        <w:t xml:space="preserve"> </w:t>
      </w:r>
      <w:r>
        <w:t xml:space="preserve">1.</w:t>
      </w:r>
      <w:r>
        <w:t xml:space="preserve"> </w:t>
      </w:r>
      <w:r>
        <w:rPr>
          <w:b/>
          <w:bCs/>
        </w:rPr>
        <w:t xml:space="preserve">Sky band</w:t>
      </w:r>
      <w:r>
        <w:t xml:space="preserve"> </w:t>
      </w:r>
      <w:r>
        <w:t xml:space="preserve">—</w:t>
      </w:r>
      <w:r>
        <w:t xml:space="preserve"> </w:t>
      </w:r>
      <w:r>
        <w:rPr>
          <w:rStyle w:val="VerbatimChar"/>
        </w:rPr>
        <w:t xml:space="preserve">#dbeaf2</w:t>
      </w:r>
      <w:r>
        <w:t xml:space="preserve"> </w:t>
      </w:r>
      <w:r>
        <w:t xml:space="preserve">2.</w:t>
      </w:r>
      <w:r>
        <w:t xml:space="preserve"> </w:t>
      </w:r>
      <w:r>
        <w:rPr>
          <w:b/>
          <w:bCs/>
        </w:rPr>
        <w:t xml:space="preserve">Unsaturated soil band</w:t>
      </w:r>
      <w:r>
        <w:t xml:space="preserve"> </w:t>
      </w:r>
      <w:r>
        <w:t xml:space="preserve">—</w:t>
      </w:r>
      <w:r>
        <w:t xml:space="preserve"> </w:t>
      </w:r>
      <w:r>
        <w:rPr>
          <w:rStyle w:val="VerbatimChar"/>
        </w:rPr>
        <w:t xml:space="preserve">#e0cfa8</w:t>
      </w:r>
      <w:r>
        <w:t xml:space="preserve"> </w:t>
      </w:r>
      <w:r>
        <w:t xml:space="preserve">3.</w:t>
      </w:r>
      <w:r>
        <w:t xml:space="preserve"> </w:t>
      </w:r>
      <w:r>
        <w:rPr>
          <w:b/>
          <w:bCs/>
        </w:rPr>
        <w:t xml:space="preserve">Columbia aquifer</w:t>
      </w:r>
      <w:r>
        <w:t xml:space="preserve"> </w:t>
      </w:r>
      <w:r>
        <w:t xml:space="preserve">(saturated, shallow) —</w:t>
      </w:r>
      <w:r>
        <w:t xml:space="preserve"> </w:t>
      </w:r>
      <w:r>
        <w:rPr>
          <w:rStyle w:val="VerbatimChar"/>
        </w:rPr>
        <w:t xml:space="preserve">#8fc3d8</w:t>
      </w:r>
      <w:r>
        <w:t xml:space="preserve"> </w:t>
      </w:r>
      <w:r>
        <w:t xml:space="preserve">— label</w:t>
      </w:r>
      <w:r>
        <w:t xml:space="preserve"> </w:t>
      </w:r>
      <w:r>
        <w:rPr>
          <w:i/>
          <w:iCs/>
        </w:rPr>
        <w:t xml:space="preserve">COLUMBIA aquifer (shallow, unconfined)</w:t>
      </w:r>
      <w:r>
        <w:t xml:space="preserve"> </w:t>
      </w:r>
      <w:r>
        <w:t xml:space="preserve">4.</w:t>
      </w:r>
      <w:r>
        <w:t xml:space="preserve"> </w:t>
      </w:r>
      <w:r>
        <w:rPr>
          <w:b/>
          <w:bCs/>
        </w:rPr>
        <w:t xml:space="preserve">Confining clay</w:t>
      </w:r>
      <w:r>
        <w:t xml:space="preserve"> </w:t>
      </w:r>
      <w:r>
        <w:t xml:space="preserve">(thin band) —</w:t>
      </w:r>
      <w:r>
        <w:t xml:space="preserve"> </w:t>
      </w:r>
      <w:r>
        <w:rPr>
          <w:rStyle w:val="VerbatimChar"/>
        </w:rPr>
        <w:t xml:space="preserve">#9c8f7a</w:t>
      </w:r>
      <w:r>
        <w:t xml:space="preserve"> </w:t>
      </w:r>
      <w:r>
        <w:t xml:space="preserve">— label</w:t>
      </w:r>
      <w:r>
        <w:t xml:space="preserve"> </w:t>
      </w:r>
      <w:r>
        <w:rPr>
          <w:i/>
          <w:iCs/>
        </w:rPr>
        <w:t xml:space="preserve">confining clay</w:t>
      </w:r>
      <w:r>
        <w:t xml:space="preserve"> </w:t>
      </w:r>
      <w:r>
        <w:t xml:space="preserve">5.</w:t>
      </w:r>
      <w:r>
        <w:t xml:space="preserve"> </w:t>
      </w:r>
      <w:r>
        <w:rPr>
          <w:b/>
          <w:bCs/>
        </w:rPr>
        <w:t xml:space="preserve">Yorktown–Eastover aquifer</w:t>
      </w:r>
      <w:r>
        <w:t xml:space="preserve"> </w:t>
      </w:r>
      <w:r>
        <w:t xml:space="preserve">(deeper) —</w:t>
      </w:r>
      <w:r>
        <w:t xml:space="preserve"> </w:t>
      </w:r>
      <w:r>
        <w:rPr>
          <w:rStyle w:val="VerbatimChar"/>
        </w:rPr>
        <w:t xml:space="preserve">#6fa8c4</w:t>
      </w:r>
      <w:r>
        <w:t xml:space="preserve"> </w:t>
      </w:r>
      <w:r>
        <w:t xml:space="preserve">— label</w:t>
      </w:r>
      <w:r>
        <w:t xml:space="preserve"> </w:t>
      </w:r>
      <w:r>
        <w:rPr>
          <w:i/>
          <w:iCs/>
        </w:rPr>
        <w:t xml:space="preserve">YORKTOWN–EASTOVER (deeper, confined — most public supply)</w:t>
      </w:r>
      <w:r>
        <w:t xml:space="preserve"> </w:t>
      </w:r>
      <w:r>
        <w:t xml:space="preserve">6.</w:t>
      </w:r>
      <w:r>
        <w:t xml:space="preserve"> </w:t>
      </w:r>
      <w:r>
        <w:rPr>
          <w:b/>
          <w:bCs/>
        </w:rPr>
        <w:t xml:space="preserve">Tidal creek</w:t>
      </w:r>
      <w:r>
        <w:t xml:space="preserve"> </w:t>
      </w:r>
      <w:r>
        <w:t xml:space="preserve">— right ~25% of frame, water</w:t>
      </w:r>
      <w:r>
        <w:t xml:space="preserve"> </w:t>
      </w:r>
      <w:r>
        <w:rPr>
          <w:rStyle w:val="VerbatimChar"/>
        </w:rPr>
        <w:t xml:space="preserve">#4f9dbd</w:t>
      </w:r>
      <w:r>
        <w:t xml:space="preserve">, wavy top edge</w:t>
      </w:r>
    </w:p>
    <w:p>
      <w:pPr>
        <w:pStyle w:val="BlockText"/>
      </w:pPr>
      <w:r>
        <w:t xml:space="preserve">The two-aquifer stack is a</w:t>
      </w:r>
      <w:r>
        <w:t xml:space="preserve"> </w:t>
      </w:r>
      <w:r>
        <w:rPr>
          <w:b/>
          <w:bCs/>
        </w:rPr>
        <w:t xml:space="preserve">deliberate addition</w:t>
      </w:r>
      <w:r>
        <w:t xml:space="preserve"> </w:t>
      </w:r>
      <w:r>
        <w:t xml:space="preserve">in v2. It shows why septic contamination is primarily a</w:t>
      </w:r>
      <w:r>
        <w:t xml:space="preserve"> </w:t>
      </w:r>
      <w:r>
        <w:rPr>
          <w:i/>
          <w:iCs/>
        </w:rPr>
        <w:t xml:space="preserve">shallow</w:t>
      </w:r>
      <w:r>
        <w:t xml:space="preserve"> </w:t>
      </w:r>
      <w:r>
        <w:t xml:space="preserve">aquifer problem, why shallow private wells are more exposed than deep public-supply wells, and why the confining clay matters. It carries the drinking-water point without needing extra text.</w:t>
      </w:r>
    </w:p>
    <w:p>
      <w:pPr>
        <w:pStyle w:val="FirstParagraph"/>
      </w:pPr>
      <w:r>
        <w:rPr>
          <w:b/>
          <w:bCs/>
        </w:rPr>
        <w:t xml:space="preserve">Objects, left to right:</w:t>
      </w:r>
      <w:r>
        <w:t xml:space="preserve"> </w:t>
      </w:r>
      <w:r>
        <w:t xml:space="preserve">-</w:t>
      </w:r>
      <w:r>
        <w:t xml:space="preserve"> </w:t>
      </w:r>
      <w:r>
        <w:rPr>
          <w:b/>
          <w:bCs/>
        </w:rPr>
        <w:t xml:space="preserve">House</w:t>
      </w:r>
      <w:r>
        <w:t xml:space="preserve"> </w:t>
      </w:r>
      <w:r>
        <w:t xml:space="preserve">— white rectangle, rust</w:t>
      </w:r>
      <w:r>
        <w:t xml:space="preserve"> </w:t>
      </w:r>
      <w:r>
        <w:rPr>
          <w:rStyle w:val="VerbatimChar"/>
        </w:rPr>
        <w:t xml:space="preserve">#a8452a</w:t>
      </w:r>
      <w:r>
        <w:t xml:space="preserve"> </w:t>
      </w:r>
      <w:r>
        <w:t xml:space="preserve">roof, black outline; pipe line down to tank</w:t>
      </w:r>
      <w:r>
        <w:t xml:space="preserve"> </w:t>
      </w:r>
      <w:r>
        <w:t xml:space="preserve">-</w:t>
      </w:r>
      <w:r>
        <w:t xml:space="preserve"> </w:t>
      </w:r>
      <w:r>
        <w:rPr>
          <w:b/>
          <w:bCs/>
        </w:rPr>
        <w:t xml:space="preserve">Septic tank</w:t>
      </w:r>
      <w:r>
        <w:t xml:space="preserve"> </w:t>
      </w:r>
      <w:r>
        <w:t xml:space="preserve">— gray rounded rectangle labeled</w:t>
      </w:r>
      <w:r>
        <w:t xml:space="preserve"> </w:t>
      </w:r>
      <w:r>
        <w:t xml:space="preserve">“tank,”</w:t>
      </w:r>
      <w:r>
        <w:t xml:space="preserve"> </w:t>
      </w:r>
      <w:r>
        <w:t xml:space="preserve">sitting in the unsaturated band</w:t>
      </w:r>
      <w:r>
        <w:t xml:space="preserve"> </w:t>
      </w:r>
      <w:r>
        <w:t xml:space="preserve">-</w:t>
      </w:r>
      <w:r>
        <w:t xml:space="preserve"> </w:t>
      </w:r>
      <w:r>
        <w:rPr>
          <w:b/>
          <w:bCs/>
        </w:rPr>
        <w:t xml:space="preserve">Drainfield</w:t>
      </w:r>
      <w:r>
        <w:t xml:space="preserve"> </w:t>
      </w:r>
      <w:r>
        <w:t xml:space="preserve">— tan horizontal bar labeled</w:t>
      </w:r>
      <w:r>
        <w:t xml:space="preserve"> </w:t>
      </w:r>
      <w:r>
        <w:t xml:space="preserve">“drainfield,”</w:t>
      </w:r>
      <w:r>
        <w:t xml:space="preserve"> </w:t>
      </w:r>
      <w:r>
        <w:t xml:space="preserve">with small green dots beneath it (effluent)</w:t>
      </w:r>
      <w:r>
        <w:t xml:space="preserve"> </w:t>
      </w:r>
      <w:r>
        <w:t xml:space="preserve">-</w:t>
      </w:r>
      <w:r>
        <w:t xml:space="preserve"> </w:t>
      </w:r>
      <w:r>
        <w:rPr>
          <w:b/>
          <w:bCs/>
        </w:rPr>
        <w:t xml:space="preserve">Separation bracket</w:t>
      </w:r>
      <w:r>
        <w:t xml:space="preserve"> </w:t>
      </w:r>
      <w:r>
        <w:t xml:space="preserve">— rust vertical bracket between drainfield bottom and water table, labeled</w:t>
      </w:r>
      <w:r>
        <w:t xml:space="preserve"> </w:t>
      </w:r>
      <w:r>
        <w:rPr>
          <w:b/>
          <w:bCs/>
        </w:rPr>
        <w:t xml:space="preserve">“need ≥3 ft / treatment zone”</w:t>
      </w:r>
      <w:r>
        <w:t xml:space="preserve"> </w:t>
      </w:r>
      <w:r>
        <w:t xml:space="preserve">-</w:t>
      </w:r>
      <w:r>
        <w:t xml:space="preserve"> </w:t>
      </w:r>
      <w:r>
        <w:rPr>
          <w:b/>
          <w:bCs/>
        </w:rPr>
        <w:t xml:space="preserve">Water table</w:t>
      </w:r>
      <w:r>
        <w:t xml:space="preserve"> </w:t>
      </w:r>
      <w:r>
        <w:t xml:space="preserve">— thick dashed deep-blue horizontal line labeled</w:t>
      </w:r>
      <w:r>
        <w:t xml:space="preserve"> </w:t>
      </w:r>
      <w:r>
        <w:t xml:space="preserve">“water table”</w:t>
      </w:r>
      <w:r>
        <w:t xml:space="preserve"> </w:t>
      </w:r>
      <w:r>
        <w:t xml:space="preserve">-</w:t>
      </w:r>
      <w:r>
        <w:t xml:space="preserve"> </w:t>
      </w:r>
      <w:r>
        <w:rPr>
          <w:b/>
          <w:bCs/>
        </w:rPr>
        <w:t xml:space="preserve">Rising arrow</w:t>
      </w:r>
      <w:r>
        <w:t xml:space="preserve"> </w:t>
      </w:r>
      <w:r>
        <w:t xml:space="preserve">— rust upward arrow near the water table labeled</w:t>
      </w:r>
      <w:r>
        <w:t xml:space="preserve"> </w:t>
      </w:r>
      <w:r>
        <w:t xml:space="preserve">“rising”</w:t>
      </w:r>
      <w:r>
        <w:t xml:space="preserve"> </w:t>
      </w:r>
      <w:r>
        <w:t xml:space="preserve">-</w:t>
      </w:r>
      <w:r>
        <w:t xml:space="preserve"> </w:t>
      </w:r>
      <w:r>
        <w:rPr>
          <w:b/>
          <w:bCs/>
        </w:rPr>
        <w:t xml:space="preserve">Flow arrows</w:t>
      </w:r>
      <w:r>
        <w:t xml:space="preserve"> </w:t>
      </w:r>
      <w:r>
        <w:t xml:space="preserve">— two curved deep-blue arrows sweeping from beneath the drainfield rightward into the creek, labeled</w:t>
      </w:r>
      <w:r>
        <w:t xml:space="preserve"> </w:t>
      </w:r>
      <w:r>
        <w:rPr>
          <w:b/>
          <w:bCs/>
        </w:rPr>
        <w:t xml:space="preserve">“nitrate + pathogens move with the groundwater”</w:t>
      </w:r>
      <w:r>
        <w:t xml:space="preserve"> </w:t>
      </w:r>
      <w:r>
        <w:t xml:space="preserve">-</w:t>
      </w:r>
      <w:r>
        <w:t xml:space="preserve"> </w:t>
      </w:r>
      <w:r>
        <w:rPr>
          <w:b/>
          <w:bCs/>
        </w:rPr>
        <w:t xml:space="preserve">Creek label</w:t>
      </w:r>
      <w:r>
        <w:t xml:space="preserve"> </w:t>
      </w:r>
      <w:r>
        <w:t xml:space="preserve">— white</w:t>
      </w:r>
      <w:r>
        <w:t xml:space="preserve"> </w:t>
      </w:r>
      <w:r>
        <w:t xml:space="preserve">“tidal creek”</w:t>
      </w:r>
      <w:r>
        <w:t xml:space="preserve"> </w:t>
      </w:r>
      <w:r>
        <w:t xml:space="preserve">text over the water</w:t>
      </w:r>
      <w:r>
        <w:t xml:space="preserve"> </w:t>
      </w:r>
      <w:r>
        <w:t xml:space="preserve">-</w:t>
      </w:r>
      <w:r>
        <w:t xml:space="preserve"> </w:t>
      </w:r>
      <w:r>
        <w:rPr>
          <w:b/>
          <w:bCs/>
        </w:rPr>
        <w:t xml:space="preserve">Seagrass</w:t>
      </w:r>
      <w:r>
        <w:t xml:space="preserve"> </w:t>
      </w:r>
      <w:r>
        <w:t xml:space="preserve">— small teal blade shapes at the creek bottom</w:t>
      </w:r>
    </w:p>
    <w:p>
      <w:pPr>
        <w:pStyle w:val="BodyText"/>
      </w:pPr>
      <w:r>
        <w:rPr>
          <w:b/>
          <w:bCs/>
        </w:rPr>
        <w:t xml:space="preserve">The single most important visual idea:</w:t>
      </w:r>
      <w:r>
        <w:t xml:space="preserve"> </w:t>
      </w:r>
      <w:r>
        <w:t xml:space="preserve">the rust bracket (required 3 ft) and the rising water table arrow should read together at a glance, so a viewer standing 6 feet away immediately understands that the gap is closing.</w:t>
      </w:r>
    </w:p>
    <w:p>
      <w:r>
        <w:pict>
          <v:rect style="width:0;height:1.5pt" o:hralign="center" o:hrstd="t" o:hr="t"/>
        </w:pict>
      </w:r>
    </w:p>
    <w:bookmarkEnd w:id="24"/>
    <w:bookmarkStart w:id="25" w:name="printing-from-the-html"/>
    <w:p>
      <w:pPr>
        <w:pStyle w:val="Heading2"/>
      </w:pPr>
      <w:r>
        <w:t xml:space="preserve">9. Printing from the HTML</w:t>
      </w:r>
    </w:p>
    <w:p>
      <w:pPr>
        <w:pStyle w:val="Compact"/>
        <w:numPr>
          <w:ilvl w:val="0"/>
          <w:numId w:val="1006"/>
        </w:numPr>
      </w:pPr>
      <w:r>
        <w:t xml:space="preserve">Open</w:t>
      </w:r>
      <w:r>
        <w:t xml:space="preserve"> </w:t>
      </w:r>
      <w:r>
        <w:rPr>
          <w:rStyle w:val="VerbatimChar"/>
        </w:rPr>
        <w:t xml:space="preserve">ESVA_Symposium_Poster.html</w:t>
      </w:r>
      <w:r>
        <w:t xml:space="preserve"> </w:t>
      </w:r>
      <w:r>
        <w:t xml:space="preserve">in</w:t>
      </w:r>
      <w:r>
        <w:t xml:space="preserve"> </w:t>
      </w:r>
      <w:r>
        <w:rPr>
          <w:b/>
          <w:bCs/>
        </w:rPr>
        <w:t xml:space="preserve">Chrome or Edge</w:t>
      </w:r>
      <w:r>
        <w:t xml:space="preserve"> </w:t>
      </w:r>
      <w:r>
        <w:t xml:space="preserve">(Safari and Firefox handle</w:t>
      </w:r>
      <w:r>
        <w:t xml:space="preserve"> </w:t>
      </w:r>
      <w:r>
        <w:rPr>
          <w:rStyle w:val="VerbatimChar"/>
        </w:rPr>
        <w:t xml:space="preserve">@page</w:t>
      </w:r>
      <w:r>
        <w:t xml:space="preserve"> </w:t>
      </w:r>
      <w:r>
        <w:t xml:space="preserve">sizing less reliably).</w:t>
      </w:r>
    </w:p>
    <w:p>
      <w:pPr>
        <w:pStyle w:val="Compact"/>
        <w:numPr>
          <w:ilvl w:val="0"/>
          <w:numId w:val="1006"/>
        </w:numPr>
      </w:pPr>
      <w:r>
        <w:t xml:space="preserve">Press</w:t>
      </w:r>
      <w:r>
        <w:t xml:space="preserve"> </w:t>
      </w:r>
      <w:r>
        <w:rPr>
          <w:b/>
          <w:bCs/>
        </w:rPr>
        <w:t xml:space="preserve">Ctrl/Cmd + P</w:t>
      </w:r>
      <w:r>
        <w:t xml:space="preserve">.</w:t>
      </w:r>
    </w:p>
    <w:p>
      <w:pPr>
        <w:pStyle w:val="Compact"/>
        <w:numPr>
          <w:ilvl w:val="0"/>
          <w:numId w:val="1006"/>
        </w:numPr>
      </w:pPr>
      <w:r>
        <w:t xml:space="preserve">Destination:</w:t>
      </w:r>
      <w:r>
        <w:t xml:space="preserve"> </w:t>
      </w:r>
      <w:r>
        <w:rPr>
          <w:b/>
          <w:bCs/>
        </w:rPr>
        <w:t xml:space="preserve">Save as PDF</w:t>
      </w:r>
    </w:p>
    <w:p>
      <w:pPr>
        <w:pStyle w:val="Compact"/>
        <w:numPr>
          <w:ilvl w:val="0"/>
          <w:numId w:val="1006"/>
        </w:numPr>
      </w:pPr>
      <w:r>
        <w:t xml:space="preserve">Paper size:</w:t>
      </w:r>
      <w:r>
        <w:t xml:space="preserve"> </w:t>
      </w:r>
      <w:r>
        <w:rPr>
          <w:b/>
          <w:bCs/>
        </w:rPr>
        <w:t xml:space="preserve">Custom 36 × 24 in</w:t>
      </w:r>
      <w:r>
        <w:t xml:space="preserve"> </w:t>
      </w:r>
      <w:r>
        <w:t xml:space="preserve">if available; otherwise choose any size and set</w:t>
      </w:r>
      <w:r>
        <w:t xml:space="preserve"> </w:t>
      </w:r>
      <w:r>
        <w:rPr>
          <w:b/>
          <w:bCs/>
        </w:rPr>
        <w:t xml:space="preserve">Scale: 100%</w:t>
      </w:r>
      <w:r>
        <w:t xml:space="preserve">, orientation</w:t>
      </w:r>
      <w:r>
        <w:t xml:space="preserve"> </w:t>
      </w:r>
      <w:r>
        <w:rPr>
          <w:b/>
          <w:bCs/>
        </w:rPr>
        <w:t xml:space="preserve">Landscape</w:t>
      </w:r>
    </w:p>
    <w:p>
      <w:pPr>
        <w:pStyle w:val="Compact"/>
        <w:numPr>
          <w:ilvl w:val="0"/>
          <w:numId w:val="1006"/>
        </w:numPr>
      </w:pPr>
      <w:r>
        <w:t xml:space="preserve">Margins:</w:t>
      </w:r>
      <w:r>
        <w:t xml:space="preserve"> </w:t>
      </w:r>
      <w:r>
        <w:rPr>
          <w:b/>
          <w:bCs/>
        </w:rPr>
        <w:t xml:space="preserve">None</w:t>
      </w:r>
    </w:p>
    <w:p>
      <w:pPr>
        <w:pStyle w:val="Compact"/>
        <w:numPr>
          <w:ilvl w:val="0"/>
          <w:numId w:val="1006"/>
        </w:numPr>
      </w:pPr>
      <w:r>
        <w:rPr>
          <w:b/>
          <w:bCs/>
        </w:rPr>
        <w:t xml:space="preserve">Background graphics: ON</w:t>
      </w:r>
      <w:r>
        <w:t xml:space="preserve"> </w:t>
      </w:r>
      <w:r>
        <w:t xml:space="preserve">← essential, or all color blocks disappear</w:t>
      </w:r>
    </w:p>
    <w:p>
      <w:pPr>
        <w:pStyle w:val="Compact"/>
        <w:numPr>
          <w:ilvl w:val="0"/>
          <w:numId w:val="1006"/>
        </w:numPr>
      </w:pPr>
      <w:r>
        <w:t xml:space="preserve">Save, then send the PDF to your print shop.</w:t>
      </w:r>
    </w:p>
    <w:p>
      <w:pPr>
        <w:pStyle w:val="FirstParagraph"/>
      </w:pPr>
      <w:r>
        <w:t xml:space="preserve">Ask the printer to confirm the PDF is exactly 36 × 24 in before printing. If it comes out at a different size, they can scale proportionally without loss since all layout is vector and text.</w:t>
      </w:r>
    </w:p>
    <w:p>
      <w:r>
        <w:pict>
          <v:rect style="width:0;height:1.5pt" o:hralign="center" o:hrstd="t" o:hr="t"/>
        </w:pict>
      </w:r>
    </w:p>
    <w:bookmarkEnd w:id="25"/>
    <w:bookmarkStart w:id="26" w:name="before-you-print-checklist"/>
    <w:p>
      <w:pPr>
        <w:pStyle w:val="Heading2"/>
      </w:pPr>
      <w:r>
        <w:t xml:space="preserve">10. Before you print — checklist</w:t>
      </w:r>
    </w:p>
    <w:p>
      <w:pPr>
        <w:pStyle w:val="Compact"/>
        <w:numPr>
          <w:ilvl w:val="0"/>
          <w:numId w:val="1007"/>
        </w:numPr>
      </w:pPr>
      <w:r>
        <w:t xml:space="preserve">Replace</w:t>
      </w:r>
      <w:r>
        <w:t xml:space="preserve"> </w:t>
      </w:r>
      <w:r>
        <w:rPr>
          <w:b/>
          <w:bCs/>
        </w:rPr>
        <w:t xml:space="preserve">[Student Name]</w:t>
      </w:r>
      <w:r>
        <w:t xml:space="preserve"> </w:t>
      </w:r>
      <w:r>
        <w:t xml:space="preserve">with the student’s name, and confirm author order</w:t>
      </w:r>
    </w:p>
    <w:p>
      <w:pPr>
        <w:pStyle w:val="Compact"/>
        <w:numPr>
          <w:ilvl w:val="0"/>
          <w:numId w:val="1008"/>
        </w:numPr>
      </w:pPr>
      <w:r>
        <w:t xml:space="preserve">Add</w:t>
      </w:r>
      <w:r>
        <w:t xml:space="preserve"> </w:t>
      </w:r>
      <w:r>
        <w:rPr>
          <w:b/>
          <w:bCs/>
        </w:rPr>
        <w:t xml:space="preserve">[email]</w:t>
      </w:r>
      <w:r>
        <w:t xml:space="preserve"> </w:t>
      </w:r>
      <w:r>
        <w:t xml:space="preserve">and</w:t>
      </w:r>
      <w:r>
        <w:t xml:space="preserve"> </w:t>
      </w:r>
      <w:r>
        <w:rPr>
          <w:b/>
          <w:bCs/>
        </w:rPr>
        <w:t xml:space="preserve">[phone]</w:t>
      </w:r>
      <w:r>
        <w:t xml:space="preserve"> </w:t>
      </w:r>
      <w:r>
        <w:t xml:space="preserve">in the Partnership Opportunities block</w:t>
      </w:r>
    </w:p>
    <w:p>
      <w:pPr>
        <w:pStyle w:val="Compact"/>
        <w:numPr>
          <w:ilvl w:val="0"/>
          <w:numId w:val="1009"/>
        </w:numPr>
      </w:pPr>
      <w:r>
        <w:t xml:space="preserve">Insert ESCC / UVA EI / partner</w:t>
      </w:r>
      <w:r>
        <w:t xml:space="preserve"> </w:t>
      </w:r>
      <w:r>
        <w:rPr>
          <w:b/>
          <w:bCs/>
        </w:rPr>
        <w:t xml:space="preserve">logos</w:t>
      </w:r>
      <w:r>
        <w:t xml:space="preserve"> </w:t>
      </w:r>
      <w:r>
        <w:t xml:space="preserve">in the header right block</w:t>
      </w:r>
    </w:p>
    <w:p>
      <w:pPr>
        <w:pStyle w:val="Compact"/>
        <w:numPr>
          <w:ilvl w:val="0"/>
          <w:numId w:val="1010"/>
        </w:numPr>
      </w:pPr>
      <w:r>
        <w:t xml:space="preserve">Confirm the</w:t>
      </w:r>
      <w:r>
        <w:t xml:space="preserve"> </w:t>
      </w:r>
      <w:r>
        <w:rPr>
          <w:b/>
          <w:bCs/>
        </w:rPr>
        <w:t xml:space="preserve">PI and Co-PI list</w:t>
      </w:r>
      <w:r>
        <w:t xml:space="preserve"> </w:t>
      </w:r>
      <w:r>
        <w:t xml:space="preserve">in the Acknowledgments is current and correctly spelled</w:t>
      </w:r>
    </w:p>
    <w:p>
      <w:pPr>
        <w:pStyle w:val="Compact"/>
        <w:numPr>
          <w:ilvl w:val="0"/>
          <w:numId w:val="1011"/>
        </w:numPr>
      </w:pPr>
      <w:r>
        <w:t xml:space="preserve">Confirm the symposium</w:t>
      </w:r>
      <w:r>
        <w:t xml:space="preserve"> </w:t>
      </w:r>
      <w:r>
        <w:rPr>
          <w:b/>
          <w:bCs/>
        </w:rPr>
        <w:t xml:space="preserve">year/date</w:t>
      </w:r>
      <w:r>
        <w:t xml:space="preserve"> </w:t>
      </w:r>
      <w:r>
        <w:t xml:space="preserve">in the header</w:t>
      </w:r>
    </w:p>
    <w:p>
      <w:pPr>
        <w:pStyle w:val="Compact"/>
        <w:numPr>
          <w:ilvl w:val="0"/>
          <w:numId w:val="1012"/>
        </w:numPr>
      </w:pPr>
      <w:r>
        <w:t xml:space="preserve">Decide whether to keep the</w:t>
      </w:r>
      <w:r>
        <w:t xml:space="preserve"> </w:t>
      </w:r>
      <w:r>
        <w:rPr>
          <w:b/>
          <w:bCs/>
        </w:rPr>
        <w:t xml:space="preserve">† footnote</w:t>
      </w:r>
      <w:r>
        <w:t xml:space="preserve"> </w:t>
      </w:r>
      <w:r>
        <w:t xml:space="preserve">convention distinguishing project modeling from peer-reviewed figures (recommended — it is the kind of care agency staff notice)</w:t>
      </w:r>
    </w:p>
    <w:p>
      <w:pPr>
        <w:pStyle w:val="Compact"/>
        <w:numPr>
          <w:ilvl w:val="0"/>
          <w:numId w:val="1013"/>
        </w:numPr>
      </w:pPr>
      <w:r>
        <w:t xml:space="preserve">Proofread the pathway table — it is the densest text on the poster</w:t>
      </w:r>
    </w:p>
    <w:p>
      <w:pPr>
        <w:pStyle w:val="Compact"/>
        <w:numPr>
          <w:ilvl w:val="0"/>
          <w:numId w:val="1014"/>
        </w:numPr>
      </w:pPr>
      <w:r>
        <w:t xml:space="preserve">Print a</w:t>
      </w:r>
      <w:r>
        <w:t xml:space="preserve"> </w:t>
      </w:r>
      <w:r>
        <w:rPr>
          <w:b/>
          <w:bCs/>
        </w:rPr>
        <w:t xml:space="preserve">letter-size test page</w:t>
      </w:r>
      <w:r>
        <w:t xml:space="preserve"> </w:t>
      </w:r>
      <w:r>
        <w:t xml:space="preserve">and check that the smallest text (references, 10.5 pt) is still legible when scaled up</w:t>
      </w:r>
    </w:p>
    <w:p>
      <w:pPr>
        <w:pStyle w:val="Compact"/>
        <w:numPr>
          <w:ilvl w:val="0"/>
          <w:numId w:val="1015"/>
        </w:numPr>
      </w:pPr>
      <w:r>
        <w:t xml:space="preserve">Optional: add a</w:t>
      </w:r>
      <w:r>
        <w:t xml:space="preserve"> </w:t>
      </w:r>
      <w:r>
        <w:rPr>
          <w:b/>
          <w:bCs/>
        </w:rPr>
        <w:t xml:space="preserve">photo strip</w:t>
      </w:r>
      <w:r>
        <w:t xml:space="preserve"> </w:t>
      </w:r>
      <w:r>
        <w:t xml:space="preserve">(Willis Wharf clam boats, an eelgrass meadow, a student sampling) if you want visual warmth — the current design is data-forward</w:t>
      </w:r>
    </w:p>
    <w:p>
      <w:r>
        <w:pict>
          <v:rect style="width:0;height:1.5pt" o:hralign="center" o:hrstd="t" o:hr="t"/>
        </w:pict>
      </w:r>
    </w:p>
    <w:bookmarkEnd w:id="26"/>
    <w:bookmarkStart w:id="27" w:name="source-notes-and-verification-status"/>
    <w:p>
      <w:pPr>
        <w:pStyle w:val="Heading2"/>
      </w:pPr>
      <w:r>
        <w:t xml:space="preserve">11. Source notes and verification status</w:t>
      </w:r>
    </w:p>
    <w:p>
      <w:pPr>
        <w:pStyle w:val="FirstParagraph"/>
      </w:pPr>
      <w:r>
        <w:rPr>
          <w:b/>
          <w:bCs/>
        </w:rPr>
        <w:t xml:space="preserve">Independently verified for this poster (June/July 2026 web verification):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Status</w:t>
            </w:r>
          </w:p>
        </w:tc>
        <w:tc>
          <w:tcPr/>
          <w:p>
            <w:pPr>
              <w:pStyle w:val="Compact"/>
            </w:pPr>
            <w:r>
              <w:t xml:space="preserve">Source</w:t>
            </w:r>
          </w:p>
        </w:tc>
      </w:tr>
      <w:tr>
        <w:tc>
          <w:tcPr/>
          <w:p>
            <w:pPr>
              <w:pStyle w:val="Compact"/>
            </w:pPr>
            <w:r>
              <w:t xml:space="preserve">3,612 ha (~8,900 acres) eelgrass restored; 70+ million seeds since 1999</w:t>
            </w:r>
          </w:p>
        </w:tc>
        <w:tc>
          <w:tcPr/>
          <w:p>
            <w:pPr>
              <w:pStyle w:val="Compact"/>
            </w:pPr>
            <w:r>
              <w:t xml:space="preserve">✅ Verified</w:t>
            </w:r>
          </w:p>
        </w:tc>
        <w:tc>
          <w:tcPr/>
          <w:p>
            <w:pPr>
              <w:pStyle w:val="Compact"/>
            </w:pPr>
            <w:r>
              <w:t xml:space="preserve">Orth et al. 2020,</w:t>
            </w:r>
            <w:r>
              <w:t xml:space="preserve"> </w:t>
            </w:r>
            <w:r>
              <w:rPr>
                <w:i/>
                <w:iCs/>
              </w:rPr>
              <w:t xml:space="preserve">Science Advances</w:t>
            </w:r>
            <w:r>
              <w:t xml:space="preserve"> </w:t>
            </w:r>
            <w:r>
              <w:t xml:space="preserve">6:eabc6434; VIMS</w:t>
            </w:r>
          </w:p>
        </w:tc>
      </w:tr>
      <w:tr>
        <w:tc>
          <w:tcPr/>
          <w:p>
            <w:pPr>
              <w:pStyle w:val="Compact"/>
            </w:pPr>
            <w:r>
              <w:t xml:space="preserve">Largest successful seagrass restoration in the world; largest eelgrass habitat NC→Long Island Sound</w:t>
            </w:r>
          </w:p>
        </w:tc>
        <w:tc>
          <w:tcPr/>
          <w:p>
            <w:pPr>
              <w:pStyle w:val="Compact"/>
            </w:pPr>
            <w:r>
              <w:t xml:space="preserve">✅ Verified</w:t>
            </w:r>
          </w:p>
        </w:tc>
        <w:tc>
          <w:tcPr/>
          <w:p>
            <w:pPr>
              <w:pStyle w:val="Compact"/>
            </w:pPr>
            <w:r>
              <w:t xml:space="preserve">VIMS / UVA / Science Advances coverage</w:t>
            </w:r>
          </w:p>
        </w:tc>
      </w:tr>
      <w:tr>
        <w:tc>
          <w:tcPr/>
          <w:p>
            <w:pPr>
              <w:pStyle w:val="Compact"/>
            </w:pPr>
            <w:r>
              <w:t xml:space="preserve">$81M direct sales 2024; +52% from $53M in 2018; 700+ jobs (from ~480)</w:t>
            </w:r>
          </w:p>
        </w:tc>
        <w:tc>
          <w:tcPr/>
          <w:p>
            <w:pPr>
              <w:pStyle w:val="Compact"/>
            </w:pPr>
            <w:r>
              <w:t xml:space="preserve">✅ Verified</w:t>
            </w:r>
          </w:p>
        </w:tc>
        <w:tc>
          <w:tcPr/>
          <w:p>
            <w:pPr>
              <w:pStyle w:val="Compact"/>
            </w:pPr>
            <w:r>
              <w:t xml:space="preserve">Hudson/VIMS</w:t>
            </w:r>
            <w:r>
              <w:t xml:space="preserve"> </w:t>
            </w:r>
            <w:r>
              <w:rPr>
                <w:i/>
                <w:iCs/>
              </w:rPr>
              <w:t xml:space="preserve">Situation &amp; Outlook Report</w:t>
            </w:r>
            <w:r>
              <w:t xml:space="preserve">, 2025</w:t>
            </w:r>
          </w:p>
        </w:tc>
      </w:tr>
      <w:tr>
        <w:tc>
          <w:tcPr/>
          <w:p>
            <w:pPr>
              <w:pStyle w:val="Compact"/>
            </w:pPr>
            <w:r>
              <w:t xml:space="preserve">~3 ft separation required between drainfield and water table</w:t>
            </w:r>
          </w:p>
        </w:tc>
        <w:tc>
          <w:tcPr/>
          <w:p>
            <w:pPr>
              <w:pStyle w:val="Compact"/>
            </w:pPr>
            <w:r>
              <w:t xml:space="preserve">✅ Verified</w:t>
            </w:r>
          </w:p>
        </w:tc>
        <w:tc>
          <w:tcPr/>
          <w:p>
            <w:pPr>
              <w:pStyle w:val="Compact"/>
            </w:pPr>
            <w:r>
              <w:t xml:space="preserve">Multiple; standard onsite-sewage design criterion</w:t>
            </w:r>
          </w:p>
        </w:tc>
      </w:tr>
      <w:tr>
        <w:tc>
          <w:tcPr/>
          <w:p>
            <w:pPr>
              <w:pStyle w:val="Compact"/>
            </w:pPr>
            <w:r>
              <w:t xml:space="preserve">EPA sole-source aquifer designation, 1997, covering</w:t>
            </w:r>
            <w:r>
              <w:t xml:space="preserve"> </w:t>
            </w:r>
            <w:r>
              <w:rPr>
                <w:b/>
                <w:bCs/>
              </w:rPr>
              <w:t xml:space="preserve">both</w:t>
            </w:r>
            <w:r>
              <w:t xml:space="preserve"> </w:t>
            </w:r>
            <w:r>
              <w:t xml:space="preserve">the Columbia</w:t>
            </w:r>
            <w:r>
              <w:t xml:space="preserve"> </w:t>
            </w:r>
            <w:r>
              <w:rPr>
                <w:b/>
                <w:bCs/>
              </w:rPr>
              <w:t xml:space="preserve">and</w:t>
            </w:r>
            <w:r>
              <w:t xml:space="preserve"> </w:t>
            </w:r>
            <w:r>
              <w:t xml:space="preserve">Yorktown–Eastover aquifer systems (excluding Chincoteague and Tangier islands)</w:t>
            </w:r>
          </w:p>
        </w:tc>
        <w:tc>
          <w:tcPr/>
          <w:p>
            <w:pPr>
              <w:pStyle w:val="Compact"/>
            </w:pPr>
            <w:r>
              <w:t xml:space="preserve">✅ Verified —</w:t>
            </w:r>
            <w:r>
              <w:t xml:space="preserve"> </w:t>
            </w:r>
            <w:r>
              <w:rPr>
                <w:b/>
                <w:bCs/>
              </w:rPr>
              <w:t xml:space="preserve">corrected in v2</w:t>
            </w:r>
          </w:p>
        </w:tc>
        <w:tc>
          <w:tcPr/>
          <w:p>
            <w:pPr>
              <w:pStyle w:val="Compact"/>
            </w:pPr>
            <w:r>
              <w:rPr>
                <w:i/>
                <w:iCs/>
              </w:rPr>
              <w:t xml:space="preserve">Federal Register</w:t>
            </w:r>
            <w:r>
              <w:t xml:space="preserve"> </w:t>
            </w:r>
            <w:r>
              <w:t xml:space="preserve">62(68), April 9, 1997</w:t>
            </w:r>
          </w:p>
        </w:tc>
      </w:tr>
      <w:tr>
        <w:tc>
          <w:tcPr/>
          <w:p>
            <w:pPr>
              <w:pStyle w:val="Compact"/>
            </w:pPr>
            <w:r>
              <w:t xml:space="preserve">Conventional septic systems remove only ~10–30% of nitrogen; drainfields nitrify rather than denitrify</w:t>
            </w:r>
          </w:p>
        </w:tc>
        <w:tc>
          <w:tcPr/>
          <w:p>
            <w:pPr>
              <w:pStyle w:val="Compact"/>
            </w:pPr>
            <w:r>
              <w:t xml:space="preserve">✅ Verified</w:t>
            </w:r>
          </w:p>
        </w:tc>
        <w:tc>
          <w:tcPr/>
          <w:p>
            <w:pPr>
              <w:pStyle w:val="Compact"/>
            </w:pPr>
            <w:r>
              <w:t xml:space="preserve">Standard onsite-wastewater engineering literature</w:t>
            </w:r>
          </w:p>
        </w:tc>
      </w:tr>
      <w:tr>
        <w:tc>
          <w:tcPr/>
          <w:p>
            <w:pPr>
              <w:pStyle w:val="Compact"/>
            </w:pPr>
            <w:r>
              <w:t xml:space="preserve">PFAS and pharmaceuticals pass through septic soil treatment essentially unaltered</w:t>
            </w:r>
          </w:p>
        </w:tc>
        <w:tc>
          <w:tcPr/>
          <w:p>
            <w:pPr>
              <w:pStyle w:val="Compact"/>
            </w:pPr>
            <w:r>
              <w:t xml:space="preserve">✅ Verified</w:t>
            </w:r>
          </w:p>
        </w:tc>
        <w:tc>
          <w:tcPr/>
          <w:p>
            <w:pPr>
              <w:pStyle w:val="Compact"/>
            </w:pPr>
            <w:r>
              <w:t xml:space="preserve">Consistent across the septic-contaminant literature; also stated in this project’s earlier synthesis</w:t>
            </w:r>
          </w:p>
        </w:tc>
      </w:tr>
      <w:tr>
        <w:tc>
          <w:tcPr/>
          <w:p>
            <w:pPr>
              <w:pStyle w:val="Compact"/>
            </w:pPr>
            <w:r>
              <w:t xml:space="preserve">Phosphorus is retarded by soil sorption until that system’s finite binding capacity is exhausted, then breaks through; plumes advance ~1 m/yr (retardation ≈20×) and can extend 70+ m from long-used systems in sandy soil; loading persists for years after decommissioning</w:t>
            </w:r>
          </w:p>
        </w:tc>
        <w:tc>
          <w:tcPr/>
          <w:p>
            <w:pPr>
              <w:pStyle w:val="Compact"/>
            </w:pPr>
            <w:r>
              <w:t xml:space="preserve">✅ Verified</w:t>
            </w:r>
          </w:p>
        </w:tc>
        <w:tc>
          <w:tcPr/>
          <w:p>
            <w:pPr>
              <w:pStyle w:val="Compact"/>
            </w:pPr>
            <w:r>
              <w:t xml:space="preserve">Robertson et al.,</w:t>
            </w:r>
            <w:r>
              <w:t xml:space="preserve"> </w:t>
            </w:r>
            <w:r>
              <w:rPr>
                <w:i/>
                <w:iCs/>
              </w:rPr>
              <w:t xml:space="preserve">Groundwater</w:t>
            </w:r>
            <w:r>
              <w:t xml:space="preserve"> </w:t>
            </w:r>
            <w:r>
              <w:t xml:space="preserve">(1999, 2008); review of P attenuation across 24 septic plumes,</w:t>
            </w:r>
            <w:r>
              <w:t xml:space="preserve"> </w:t>
            </w:r>
            <w:r>
              <w:rPr>
                <w:i/>
                <w:iCs/>
              </w:rPr>
              <w:t xml:space="preserve">Sci. Total Environ.</w:t>
            </w:r>
            <w:r>
              <w:t xml:space="preserve"> </w:t>
            </w:r>
            <w:r>
              <w:t xml:space="preserve">(2020)</w:t>
            </w:r>
          </w:p>
        </w:tc>
      </w:tr>
      <w:tr>
        <w:tc>
          <w:tcPr/>
          <w:p>
            <w:pPr>
              <w:pStyle w:val="Compact"/>
            </w:pPr>
            <w:r>
              <w:t xml:space="preserve">Saturation/anoxia causes reductive dissolution of Fe-oxides, releasing bound phosphorus</w:t>
            </w:r>
          </w:p>
        </w:tc>
        <w:tc>
          <w:tcPr/>
          <w:p>
            <w:pPr>
              <w:pStyle w:val="Compact"/>
            </w:pPr>
            <w:r>
              <w:t xml:space="preserve">✅ Mechanism verified —</w:t>
            </w:r>
            <w:r>
              <w:t xml:space="preserve"> </w:t>
            </w:r>
            <w:r>
              <w:rPr>
                <w:b/>
                <w:bCs/>
              </w:rPr>
              <w:t xml:space="preserve">note scope</w:t>
            </w:r>
          </w:p>
        </w:tc>
        <w:tc>
          <w:tcPr/>
          <w:p>
            <w:pPr>
              <w:pStyle w:val="Compact"/>
            </w:pPr>
            <w:r>
              <w:t xml:space="preserve">Smith et al. 2021,</w:t>
            </w:r>
            <w:r>
              <w:t xml:space="preserve"> </w:t>
            </w:r>
            <w:r>
              <w:rPr>
                <w:i/>
                <w:iCs/>
              </w:rPr>
              <w:t xml:space="preserve">J. Environ. Qual.</w:t>
            </w:r>
            <w:r>
              <w:t xml:space="preserve"> </w:t>
            </w:r>
            <w:r>
              <w:t xml:space="preserve">50:1207. Demonstrated in</w:t>
            </w:r>
            <w:r>
              <w:t xml:space="preserve"> </w:t>
            </w:r>
            <w:r>
              <w:rPr>
                <w:b/>
                <w:bCs/>
              </w:rPr>
              <w:t xml:space="preserve">agricultural</w:t>
            </w:r>
            <w:r>
              <w:t xml:space="preserve"> </w:t>
            </w:r>
            <w:r>
              <w:t xml:space="preserve">soil profiles; extension to septic drainfields under rising water tables is a well-founded inference, not a directly cited septic study. Nitrate is a preferred electron acceptor over Fe, so nitrate-rich septic plumes may buffer the reaction.</w:t>
            </w:r>
          </w:p>
        </w:tc>
      </w:tr>
      <w:tr>
        <w:tc>
          <w:tcPr/>
          <w:p>
            <w:pPr>
              <w:pStyle w:val="Compact"/>
            </w:pPr>
            <w:r>
              <w:t xml:space="preserve">~7% → ~37% fecal indicator exceedance dry vs. post-rain</w:t>
            </w:r>
          </w:p>
        </w:tc>
        <w:tc>
          <w:tcPr/>
          <w:p>
            <w:pPr>
              <w:pStyle w:val="Compact"/>
            </w:pPr>
            <w:r>
              <w:t xml:space="preserve">✅ Verified</w:t>
            </w:r>
          </w:p>
        </w:tc>
        <w:tc>
          <w:tcPr/>
          <w:p>
            <w:pPr>
              <w:pStyle w:val="Compact"/>
            </w:pPr>
            <w:r>
              <w:t xml:space="preserve">Leight &amp; Hood 2018,</w:t>
            </w:r>
            <w:r>
              <w:t xml:space="preserve"> </w:t>
            </w:r>
            <w:r>
              <w:rPr>
                <w:i/>
                <w:iCs/>
              </w:rPr>
              <w:t xml:space="preserve">Water Research</w:t>
            </w:r>
            <w:r>
              <w:t xml:space="preserve"> </w:t>
            </w:r>
            <w:r>
              <w:t xml:space="preserve">139:252–262</w:t>
            </w:r>
          </w:p>
        </w:tc>
      </w:tr>
    </w:tbl>
    <w:p>
      <w:pPr>
        <w:pStyle w:val="BodyText"/>
      </w:pPr>
      <w:r>
        <w:rPr>
          <w:b/>
          <w:bCs/>
        </w:rPr>
        <w:t xml:space="preserve">Added and verified in v5: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Status</w:t>
            </w:r>
          </w:p>
        </w:tc>
        <w:tc>
          <w:tcPr/>
          <w:p>
            <w:pPr>
              <w:pStyle w:val="Compact"/>
            </w:pPr>
            <w:r>
              <w:t xml:space="preserve">Source</w:t>
            </w:r>
          </w:p>
        </w:tc>
      </w:tr>
      <w:tr>
        <w:tc>
          <w:tcPr/>
          <w:p>
            <w:pPr>
              <w:pStyle w:val="Compact"/>
            </w:pPr>
            <w:r>
              <w:t xml:space="preserve">Nutrient enrichment increases above-ground leaf biomass,</w:t>
            </w:r>
            <w:r>
              <w:t xml:space="preserve"> </w:t>
            </w:r>
            <w:r>
              <w:rPr>
                <w:b/>
                <w:bCs/>
              </w:rPr>
              <w:t xml:space="preserve">decreases</w:t>
            </w:r>
            <w:r>
              <w:t xml:space="preserve"> </w:t>
            </w:r>
            <w:r>
              <w:t xml:space="preserve">below-ground bank-stabilising root biomass, and increases microbial decomposition — reducing geomorphic stability and causing creek-bank collapse</w:t>
            </w:r>
          </w:p>
        </w:tc>
        <w:tc>
          <w:tcPr/>
          <w:p>
            <w:pPr>
              <w:pStyle w:val="Compact"/>
            </w:pPr>
            <w:r>
              <w:t xml:space="preserve">✅ Verified</w:t>
            </w:r>
          </w:p>
        </w:tc>
        <w:tc>
          <w:tcPr/>
          <w:p>
            <w:pPr>
              <w:pStyle w:val="Compact"/>
            </w:pPr>
            <w:r>
              <w:t xml:space="preserve">Deegan et al. 2012,</w:t>
            </w:r>
            <w:r>
              <w:t xml:space="preserve"> </w:t>
            </w:r>
            <w:r>
              <w:rPr>
                <w:i/>
                <w:iCs/>
              </w:rPr>
              <w:t xml:space="preserve">Nature</w:t>
            </w:r>
            <w:r>
              <w:t xml:space="preserve"> </w:t>
            </w:r>
            <w:r>
              <w:t xml:space="preserve">490:388–392 (9-yr whole-ecosystem experiment).</w:t>
            </w:r>
            <w:r>
              <w:t xml:space="preserve"> </w:t>
            </w:r>
            <w:r>
              <w:rPr>
                <w:b/>
                <w:bCs/>
              </w:rPr>
              <w:t xml:space="preserve">Caveat retained:</w:t>
            </w:r>
            <w:r>
              <w:t xml:space="preserve"> </w:t>
            </w:r>
            <w:r>
              <w:t xml:space="preserve">loading was ~10× ambient; operation at current ESVA loading is PLAUSIBLE, not established.</w:t>
            </w:r>
          </w:p>
        </w:tc>
      </w:tr>
      <w:tr>
        <w:tc>
          <w:tcPr/>
          <w:p>
            <w:pPr>
              <w:pStyle w:val="Compact"/>
            </w:pPr>
            <w:r>
              <w:t xml:space="preserve">Warming raises eelgrass light requirement (faster respiration → more light needed for positive carbon balance) while nutrients reduce light via epiphytes on the blades and water-column algae</w:t>
            </w:r>
          </w:p>
        </w:tc>
        <w:tc>
          <w:tcPr/>
          <w:p>
            <w:pPr>
              <w:pStyle w:val="Compact"/>
            </w:pPr>
            <w:r>
              <w:t xml:space="preserve">✅ Verified</w:t>
            </w:r>
          </w:p>
        </w:tc>
        <w:tc>
          <w:tcPr/>
          <w:p>
            <w:pPr>
              <w:pStyle w:val="Compact"/>
            </w:pPr>
            <w:r>
              <w:t xml:space="preserve">Lefcheck et al. 2017,</w:t>
            </w:r>
            <w:r>
              <w:t xml:space="preserve"> </w:t>
            </w:r>
            <w:r>
              <w:rPr>
                <w:i/>
                <w:iCs/>
              </w:rPr>
              <w:t xml:space="preserve">Glob. Change Biol.</w:t>
            </w:r>
            <w:r>
              <w:t xml:space="preserve"> </w:t>
            </w:r>
            <w:r>
              <w:t xml:space="preserve">23:3474–3483; corroborated by the seagrass–eutrophication literature (Burkholder et al. 2007). Mechanism is</w:t>
            </w:r>
            <w:r>
              <w:t xml:space="preserve"> </w:t>
            </w:r>
            <w:r>
              <w:rPr>
                <w:b/>
                <w:bCs/>
              </w:rPr>
              <w:t xml:space="preserve">light limitation</w:t>
            </w:r>
            <w:r>
              <w:t xml:space="preserve">, not direct nutrient toxicity.</w:t>
            </w:r>
          </w:p>
        </w:tc>
      </w:tr>
      <w:tr>
        <w:tc>
          <w:tcPr/>
          <w:p>
            <w:pPr>
              <w:pStyle w:val="Compact"/>
            </w:pPr>
            <w:r>
              <w:t xml:space="preserve">~32% of owners meet recommended inspection intervals; ~60% of systems &gt;20 yrs old never inspected; pump-out $250–500</w:t>
            </w:r>
          </w:p>
        </w:tc>
        <w:tc>
          <w:tcPr/>
          <w:p>
            <w:pPr>
              <w:pStyle w:val="Compact"/>
            </w:pPr>
            <w:r>
              <w:t xml:space="preserve">✅ Verified —</w:t>
            </w:r>
            <w:r>
              <w:t xml:space="preserve"> </w:t>
            </w:r>
            <w:r>
              <w:rPr>
                <w:b/>
                <w:bCs/>
              </w:rPr>
              <w:t xml:space="preserve">scope note</w:t>
            </w:r>
          </w:p>
        </w:tc>
        <w:tc>
          <w:tcPr/>
          <w:p>
            <w:pPr>
              <w:pStyle w:val="Compact"/>
            </w:pPr>
            <w:r>
              <w:t xml:space="preserve">Center for Rural Pennsylvania homeowner survey; EPA guidance.</w:t>
            </w:r>
            <w:r>
              <w:t xml:space="preserve"> </w:t>
            </w:r>
            <w:r>
              <w:rPr>
                <w:b/>
                <w:bCs/>
              </w:rPr>
              <w:t xml:space="preserve">These are rural-analogue/national figures, not ESVA-specific.</w:t>
            </w:r>
            <w:r>
              <w:t xml:space="preserve"> </w:t>
            </w:r>
            <w:r>
              <w:t xml:space="preserve">Label them as such on the poster if challenged.</w:t>
            </w:r>
          </w:p>
        </w:tc>
      </w:tr>
      <w:tr>
        <w:tc>
          <w:tcPr/>
          <w:p>
            <w:pPr>
              <w:pStyle w:val="Compact"/>
            </w:pPr>
            <w:r>
              <w:rPr>
                <w:strike/>
              </w:rPr>
              <w:t xml:space="preserve">ESVA septic vulnerability concentrates in shoreline-proximal, low-elevation parcels above classified shellfish waters; seven towns named as particularly exposed</w:t>
            </w:r>
          </w:p>
        </w:tc>
        <w:tc>
          <w:tcPr/>
          <w:p>
            <w:pPr>
              <w:pStyle w:val="Compact"/>
            </w:pPr>
            <w:r>
              <w:t xml:space="preserve">❌</w:t>
            </w:r>
            <w:r>
              <w:t xml:space="preserve"> </w:t>
            </w:r>
            <w:r>
              <w:rPr>
                <w:b/>
                <w:bCs/>
              </w:rPr>
              <w:t xml:space="preserve">Withdrawn Oct 2026</w:t>
            </w:r>
          </w:p>
        </w:tc>
        <w:tc>
          <w:tcPr/>
          <w:p>
            <w:pPr>
              <w:pStyle w:val="Compact"/>
            </w:pPr>
            <w:r>
              <w:t xml:space="preserve">The town list does not appear in RD883 (full text checked), and Cape Charles is sewered. Mitchell et al. 2021 is Tidewater-wide, does not identify ESVA as a hot spot, and found only one septic/water-quality overlap.</w:t>
            </w:r>
          </w:p>
        </w:tc>
      </w:tr>
    </w:tbl>
    <w:p>
      <w:pPr>
        <w:pStyle w:val="BlockText"/>
      </w:pPr>
      <w:r>
        <w:rPr>
          <w:b/>
          <w:bCs/>
        </w:rPr>
        <w:t xml:space="preserve">★ Student project opportunity.</w:t>
      </w:r>
      <w:r>
        <w:t xml:space="preserve"> </w:t>
      </w:r>
      <w:r>
        <w:t xml:space="preserve">The stronger version of that last claim — an actual overlay of VDH Division of Shellfish Safety closure areas against Mitchell’s septic-vulnerability layer —</w:t>
      </w:r>
      <w:r>
        <w:t xml:space="preserve"> </w:t>
      </w:r>
      <w:r>
        <w:rPr>
          <w:b/>
          <w:bCs/>
        </w:rPr>
        <w:t xml:space="preserve">has not been published and both datasets are public.</w:t>
      </w:r>
      <w:r>
        <w:t xml:space="preserve"> </w:t>
      </w:r>
      <w:r>
        <w:t xml:space="preserve">Doing that overlay would (a) make the claim citable as</w:t>
      </w:r>
      <w:r>
        <w:t xml:space="preserve"> </w:t>
      </w:r>
      <w:r>
        <w:t xml:space="preserve">“this study,”</w:t>
      </w:r>
      <w:r>
        <w:t xml:space="preserve"> </w:t>
      </w:r>
      <w:r>
        <w:t xml:space="preserve">(b) produce a genuine figure for the poster, and (c) be a real, semester-scale contribution with the student as first author. This is the highest-value single addition available to this poster.</w:t>
      </w:r>
    </w:p>
    <w:p>
      <w:pPr>
        <w:pStyle w:val="FirstParagraph"/>
      </w:pPr>
      <w:r>
        <w:rPr>
          <w:b/>
          <w:bCs/>
        </w:rPr>
        <w:t xml:space="preserve">✅ RESOLVED in v4 — source located: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Claim</w:t>
            </w:r>
          </w:p>
        </w:tc>
        <w:tc>
          <w:tcPr/>
          <w:p>
            <w:pPr>
              <w:pStyle w:val="Compact"/>
            </w:pPr>
            <w:r>
              <w:t xml:space="preserve">Status</w:t>
            </w:r>
          </w:p>
        </w:tc>
      </w:tr>
      <w:tr>
        <w:tc>
          <w:tcPr/>
          <w:p>
            <w:pPr>
              <w:pStyle w:val="Compact"/>
            </w:pPr>
            <w:r>
              <w:t xml:space="preserve">“~80% of the water supplying Accomack County’s 30 tidal creeks comes from groundwater discharge”</w:t>
            </w:r>
          </w:p>
        </w:tc>
        <w:tc>
          <w:tcPr/>
          <w:p>
            <w:pPr>
              <w:pStyle w:val="Compact"/>
            </w:pPr>
            <w:r>
              <w:rPr>
                <w:b/>
                <w:bCs/>
              </w:rPr>
              <w:t xml:space="preserve">Verified.</w:t>
            </w:r>
            <w:r>
              <w:t xml:space="preserve"> </w:t>
            </w:r>
            <w:r>
              <w:rPr>
                <w:i/>
                <w:iCs/>
              </w:rPr>
              <w:t xml:space="preserve">Accomack County Regional Water Supply Plan</w:t>
            </w:r>
            <w:r>
              <w:t xml:space="preserve">, April 2010:</w:t>
            </w:r>
            <w:r>
              <w:t xml:space="preserve"> </w:t>
            </w:r>
            <w:r>
              <w:rPr>
                <w:i/>
                <w:iCs/>
              </w:rPr>
              <w:t xml:space="preserve">“There are a total of thirty tidal creeks in Accomack County, which are largely supplied from groundwater discharge (approximately 80%).”</w:t>
            </w:r>
            <w:r>
              <w:t xml:space="preserve"> </w:t>
            </w:r>
            <w:r>
              <w:t xml:space="preserve">Available via A-NPDC (</w:t>
            </w:r>
            <w:r>
              <w:rPr>
                <w:rStyle w:val="VerbatimChar"/>
              </w:rPr>
              <w:t xml:space="preserve">a-npdc.org/groundwater/</w:t>
            </w:r>
            <w:r>
              <w:t xml:space="preserve">) and esvaplan.org.</w:t>
            </w:r>
            <w:r>
              <w:t xml:space="preserve"> </w:t>
            </w:r>
            <w:r>
              <w:rPr>
                <w:b/>
                <w:bCs/>
              </w:rPr>
              <w:t xml:space="preserve">Scope: Accomack County only</w:t>
            </w:r>
            <w:r>
              <w:t xml:space="preserve"> </w:t>
            </w:r>
            <w:r>
              <w:t xml:space="preserve">— do not extend to Northampton or present as Shore-wide.</w:t>
            </w:r>
            <w:r>
              <w:t xml:space="preserve"> </w:t>
            </w:r>
            <w:r>
              <w:rPr>
                <w:b/>
                <w:bCs/>
              </w:rPr>
              <w:t xml:space="preserve">Phrasing: a share of creek supply/flow, not of</w:t>
            </w:r>
            <w:r>
              <w:rPr>
                <w:b/>
                <w:bCs/>
              </w:rPr>
              <w:t xml:space="preserve"> </w:t>
            </w:r>
            <w:r>
              <w:rPr>
                <w:b/>
                <w:bCs/>
              </w:rPr>
              <w:t xml:space="preserve">“baseflow”</w:t>
            </w:r>
            <w:r>
              <w:t xml:space="preserve"> </w:t>
            </w:r>
            <w:r>
              <w:t xml:space="preserve">(baseflow is by definition the groundwater component, so the earlier wording was near-tautological).</w:t>
            </w:r>
          </w:p>
        </w:tc>
      </w:tr>
    </w:tbl>
    <w:p>
      <w:pPr>
        <w:pStyle w:val="BodyText"/>
      </w:pPr>
      <w:r>
        <w:rPr>
          <w:i/>
          <w:iCs/>
        </w:rPr>
        <w:t xml:space="preserve">History of this figure, kept as a caution:</w:t>
      </w:r>
      <w:r>
        <w:t xml:space="preserve"> </w:t>
      </w:r>
      <w:r>
        <w:t xml:space="preserve">it first entered the project via a web-search snippet from virginiaplaces.org (a secondary educational site) and was cited in</w:t>
      </w:r>
      <w:r>
        <w:t xml:space="preserve"> </w:t>
      </w:r>
      <w:r>
        <w:rPr>
          <w:rStyle w:val="VerbatimChar"/>
        </w:rPr>
        <w:t xml:space="preserve">research/pathway_2_tidal_creeks_marshes.md</w:t>
      </w:r>
      <w:r>
        <w:t xml:space="preserve"> </w:t>
      </w:r>
      <w:r>
        <w:t xml:space="preserve">as</w:t>
      </w:r>
      <w:r>
        <w:t xml:space="preserve"> </w:t>
      </w:r>
      <w:r>
        <w:t xml:space="preserve">“(Richardson 1994; A-NPDC 2022)”</w:t>
      </w:r>
      <w:r>
        <w:t xml:space="preserve"> </w:t>
      </w:r>
      <w:r>
        <w:t xml:space="preserve">—</w:t>
      </w:r>
      <w:r>
        <w:t xml:space="preserve"> </w:t>
      </w:r>
      <w:r>
        <w:rPr>
          <w:b/>
          <w:bCs/>
        </w:rPr>
        <w:t xml:space="preserve">sources that were never checked and do not appear to be its origin.</w:t>
      </w:r>
      <w:r>
        <w:t xml:space="preserve"> </w:t>
      </w:r>
      <w:r>
        <w:t xml:space="preserve">The number was real all along; the failure was citing plausible-sounding sources instead of tracking down the actual one. Alex Foxworthy located the primary source. Treat this as the standard for every other quantitative claim in the repository.</w:t>
      </w:r>
    </w:p>
    <w:p>
      <w:pPr>
        <w:pStyle w:val="BodyText"/>
      </w:pPr>
      <w:r>
        <w:rPr>
          <w:b/>
          <w:bCs/>
        </w:rPr>
        <w:t xml:space="preserve">Project-internal — cite as project modeling, not peer review (marked † on poster):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Claim</w:t>
            </w:r>
          </w:p>
        </w:tc>
        <w:tc>
          <w:tcPr/>
          <w:p>
            <w:pPr>
              <w:pStyle w:val="Compact"/>
            </w:pPr>
            <w:r>
              <w:t xml:space="preserve">Note</w:t>
            </w:r>
          </w:p>
        </w:tc>
      </w:tr>
      <w:tr>
        <w:tc>
          <w:tcPr/>
          <w:p>
            <w:pPr>
              <w:pStyle w:val="Compact"/>
            </w:pPr>
            <w:r>
              <w:t xml:space="preserve">7,800 systems at risk by 2040</w:t>
            </w:r>
          </w:p>
        </w:tc>
        <w:tc>
          <w:tcPr/>
          <w:p>
            <w:pPr>
              <w:pStyle w:val="Compact"/>
            </w:pPr>
            <w:r>
              <w:t xml:space="preserve">ESVA Climate Equity StoryMap (2025); Hesamfar et al. (in review)</w:t>
            </w:r>
          </w:p>
        </w:tc>
      </w:tr>
      <w:tr>
        <w:tc>
          <w:tcPr/>
          <w:p>
            <w:pPr>
              <w:pStyle w:val="Compact"/>
            </w:pPr>
            <w:r>
              <w:t xml:space="preserve">$156M replacement cost</w:t>
            </w:r>
          </w:p>
        </w:tc>
        <w:tc>
          <w:tcPr/>
          <w:p>
            <w:pPr>
              <w:pStyle w:val="Compact"/>
            </w:pPr>
            <w:r>
              <w:t xml:space="preserve">Same source; derived from ~$20K/system</w:t>
            </w:r>
          </w:p>
        </w:tc>
      </w:tr>
    </w:tbl>
    <w:p>
      <w:pPr>
        <w:pStyle w:val="BodyText"/>
      </w:pPr>
      <w:r>
        <w:rPr>
          <w:b/>
          <w:bCs/>
        </w:rPr>
        <w:t xml:space="preserve">Deliberately NOT used on this poster:</w:t>
      </w:r>
    </w:p>
    <w:p>
      <w:pPr>
        <w:pStyle w:val="Compact"/>
        <w:numPr>
          <w:ilvl w:val="0"/>
          <w:numId w:val="1016"/>
        </w:numPr>
      </w:pPr>
      <w:r>
        <w:rPr>
          <w:b/>
          <w:bCs/>
        </w:rPr>
        <w:t xml:space="preserve">Bay-wide</w:t>
      </w:r>
      <w:r>
        <w:rPr>
          <w:b/>
          <w:bCs/>
        </w:rPr>
        <w:t xml:space="preserve"> </w:t>
      </w:r>
      <w:r>
        <w:rPr>
          <w:b/>
          <w:bCs/>
        </w:rPr>
        <w:t xml:space="preserve">“% of nitrogen from septic.”</w:t>
      </w:r>
      <w:r>
        <w:t xml:space="preserve"> </w:t>
      </w:r>
      <w:r>
        <w:t xml:space="preserve">This figure is unstable across sources and model versions (CBF reports ~7.8M lb/yr; other sources ~12M lb/yr; percentages range ~3–6%). Our own Pathway 3a analysis concluded that the defensible ESVA story is that</w:t>
      </w:r>
      <w:r>
        <w:t xml:space="preserve"> </w:t>
      </w:r>
      <w:r>
        <w:rPr>
          <w:i/>
          <w:iCs/>
        </w:rPr>
        <w:t xml:space="preserve">local sub-basin</w:t>
      </w:r>
      <w:r>
        <w:t xml:space="preserve"> </w:t>
      </w:r>
      <w:r>
        <w:t xml:space="preserve">contributions far exceed any watershed average — which is what the poster says instead.</w:t>
      </w:r>
    </w:p>
    <w:p>
      <w:pPr>
        <w:pStyle w:val="Compact"/>
        <w:numPr>
          <w:ilvl w:val="0"/>
          <w:numId w:val="1016"/>
        </w:numPr>
      </w:pPr>
      <w:r>
        <w:rPr>
          <w:b/>
          <w:bCs/>
        </w:rPr>
        <w:t xml:space="preserve">Human health content</w:t>
      </w:r>
      <w:r>
        <w:t xml:space="preserve"> </w:t>
      </w:r>
      <w:r>
        <w:t xml:space="preserve">(nitrate–cancer, blue baby syndrome, PFAS). Covered in a separate outreach track; this poster is scoped to ecological effects.</w:t>
      </w:r>
    </w:p>
    <w:p>
      <w:pPr>
        <w:pStyle w:val="Compact"/>
        <w:numPr>
          <w:ilvl w:val="0"/>
          <w:numId w:val="1016"/>
        </w:numPr>
      </w:pPr>
      <w:r>
        <w:rPr>
          <w:b/>
          <w:bCs/>
        </w:rPr>
        <w:t xml:space="preserve">Speculative species links</w:t>
      </w:r>
      <w:r>
        <w:t xml:space="preserve"> </w:t>
      </w:r>
      <w:r>
        <w:t xml:space="preserve">(horseshoe crab, red knot, piping plover, Chincoteague ponies). Our synthesis labeled these SPECULATIVE; including them on a public poster would overclaim.</w:t>
      </w:r>
    </w:p>
    <w:p>
      <w:r>
        <w:pict>
          <v:rect style="width:0;height:1.5pt" o:hralign="center" o:hrstd="t" o:hr="t"/>
        </w:pict>
      </w:r>
    </w:p>
    <w:bookmarkEnd w:id="27"/>
    <w:bookmarkStart w:id="29" w:name="revision-log-v2-changes"/>
    <w:p>
      <w:pPr>
        <w:pStyle w:val="Heading2"/>
      </w:pPr>
      <w:r>
        <w:t xml:space="preserve">12. Revision log — v2 changes</w:t>
      </w:r>
    </w:p>
    <w:p>
      <w:pPr>
        <w:pStyle w:val="FirstParagraph"/>
      </w:pPr>
      <w:r>
        <w:t xml:space="preserve">Made in response to scientific review. Each addressed a real overstatement or an unexplained term.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Issue</w:t>
            </w:r>
          </w:p>
        </w:tc>
        <w:tc>
          <w:tcPr/>
          <w:p>
            <w:pPr>
              <w:pStyle w:val="Compact"/>
            </w:pPr>
            <w:r>
              <w:t xml:space="preserve">Change</w:t>
            </w:r>
          </w:p>
        </w:tc>
      </w:tr>
      <w:tr>
        <w:tc>
          <w:tcPr/>
          <w:p>
            <w:pPr>
              <w:pStyle w:val="Compact"/>
            </w:pPr>
            <w:r>
              <w:t xml:space="preserve">1</w:t>
            </w:r>
          </w:p>
        </w:tc>
        <w:tc>
          <w:tcPr/>
          <w:p>
            <w:pPr>
              <w:pStyle w:val="Compact"/>
            </w:pPr>
            <w:r>
              <w:t xml:space="preserve">Poster said the sole-source aquifer was</w:t>
            </w:r>
            <w:r>
              <w:t xml:space="preserve"> </w:t>
            </w:r>
            <w:r>
              <w:t xml:space="preserve">“the shallow Columbia”</w:t>
            </w:r>
          </w:p>
        </w:tc>
        <w:tc>
          <w:tcPr/>
          <w:p>
            <w:pPr>
              <w:pStyle w:val="Compact"/>
            </w:pPr>
            <w:r>
              <w:rPr>
                <w:b/>
                <w:bCs/>
              </w:rPr>
              <w:t xml:space="preserve">Corrected.</w:t>
            </w:r>
            <w:r>
              <w:t xml:space="preserve"> </w:t>
            </w:r>
            <w:r>
              <w:t xml:space="preserve">The 1997 designation covers</w:t>
            </w:r>
            <w:r>
              <w:t xml:space="preserve"> </w:t>
            </w:r>
            <w:r>
              <w:rPr>
                <w:b/>
                <w:bCs/>
              </w:rPr>
              <w:t xml:space="preserve">both</w:t>
            </w:r>
            <w:r>
              <w:t xml:space="preserve"> </w:t>
            </w:r>
            <w:r>
              <w:t xml:space="preserve">the Columbia and Yorktown–Eastover systems. Column 1 and the diagram now show both, which also carries the drinking-water story.</w:t>
            </w:r>
          </w:p>
        </w:tc>
      </w:tr>
      <w:tr>
        <w:tc>
          <w:tcPr/>
          <w:p>
            <w:pPr>
              <w:pStyle w:val="Compact"/>
            </w:pPr>
            <w:r>
              <w:t xml:space="preserve">2</w:t>
            </w:r>
          </w:p>
        </w:tc>
        <w:tc>
          <w:tcPr/>
          <w:p>
            <w:pPr>
              <w:pStyle w:val="Compact"/>
            </w:pPr>
            <w:r>
              <w:t xml:space="preserve">Human health not mentioned</w:t>
            </w:r>
          </w:p>
        </w:tc>
        <w:tc>
          <w:tcPr/>
          <w:p>
            <w:pPr>
              <w:pStyle w:val="Compact"/>
            </w:pPr>
            <w:r>
              <w:rPr>
                <w:b/>
                <w:bCs/>
              </w:rPr>
              <w:t xml:space="preserve">Added</w:t>
            </w:r>
            <w:r>
              <w:t xml:space="preserve"> </w:t>
            </w:r>
            <w:r>
              <w:t xml:space="preserve">two sentences in Column 1 noting real risk to shallow private wells, with a pointer to companion project work.</w:t>
            </w:r>
          </w:p>
        </w:tc>
      </w:tr>
      <w:tr>
        <w:tc>
          <w:tcPr/>
          <w:p>
            <w:pPr>
              <w:pStyle w:val="Compact"/>
            </w:pPr>
            <w:r>
              <w:t xml:space="preserve">3</w:t>
            </w:r>
          </w:p>
        </w:tc>
        <w:tc>
          <w:tcPr/>
          <w:p>
            <w:pPr>
              <w:pStyle w:val="Compact"/>
            </w:pPr>
            <w:r>
              <w:t xml:space="preserve">“Nitrate behaves conservatively”</w:t>
            </w:r>
            <w:r>
              <w:t xml:space="preserve"> </w:t>
            </w:r>
            <w:r>
              <w:t xml:space="preserve">was unexplained jargon</w:t>
            </w:r>
          </w:p>
        </w:tc>
        <w:tc>
          <w:tcPr/>
          <w:p>
            <w:pPr>
              <w:pStyle w:val="Compact"/>
            </w:pPr>
            <w:r>
              <w:rPr>
                <w:b/>
                <w:bCs/>
              </w:rPr>
              <w:t xml:space="preserve">Replaced</w:t>
            </w:r>
            <w:r>
              <w:t xml:space="preserve"> </w:t>
            </w:r>
            <w:r>
              <w:t xml:space="preserve">with a plain-language callout explaining that nitrate does not stick to sand and is barely consumed.</w:t>
            </w:r>
          </w:p>
        </w:tc>
      </w:tr>
      <w:tr>
        <w:tc>
          <w:tcPr/>
          <w:p>
            <w:pPr>
              <w:pStyle w:val="Compact"/>
            </w:pPr>
            <w:r>
              <w:t xml:space="preserve">4</w:t>
            </w:r>
          </w:p>
        </w:tc>
        <w:tc>
          <w:tcPr/>
          <w:p>
            <w:pPr>
              <w:pStyle w:val="Compact"/>
            </w:pPr>
            <w:r>
              <w:t xml:space="preserve">Phosphorus source and behavior unexplained</w:t>
            </w:r>
          </w:p>
        </w:tc>
        <w:tc>
          <w:tcPr/>
          <w:p>
            <w:pPr>
              <w:pStyle w:val="Compact"/>
            </w:pPr>
            <w:r>
              <w:rPr>
                <w:b/>
                <w:bCs/>
              </w:rPr>
              <w:t xml:space="preserve">Added</w:t>
            </w:r>
            <w:r>
              <w:t xml:space="preserve"> </w:t>
            </w:r>
            <w:r>
              <w:t xml:space="preserve">to the new</w:t>
            </w:r>
            <w:r>
              <w:t xml:space="preserve"> </w:t>
            </w:r>
            <w:r>
              <w:t xml:space="preserve">“What the soil actually does”</w:t>
            </w:r>
            <w:r>
              <w:t xml:space="preserve"> </w:t>
            </w:r>
            <w:r>
              <w:t xml:space="preserve">table: P binds until soil saturates, then breaks through — an</w:t>
            </w:r>
            <w:r>
              <w:t xml:space="preserve"> </w:t>
            </w:r>
            <w:r>
              <w:rPr>
                <w:i/>
                <w:iCs/>
              </w:rPr>
              <w:t xml:space="preserve">aging</w:t>
            </w:r>
            <w:r>
              <w:t xml:space="preserve"> </w:t>
            </w:r>
            <w:r>
              <w:t xml:space="preserve">problem, not a failure problem.</w:t>
            </w:r>
          </w:p>
        </w:tc>
      </w:tr>
      <w:tr>
        <w:tc>
          <w:tcPr/>
          <w:p>
            <w:pPr>
              <w:pStyle w:val="Compact"/>
            </w:pPr>
            <w:r>
              <w:t xml:space="preserve">5</w:t>
            </w:r>
          </w:p>
        </w:tc>
        <w:tc>
          <w:tcPr/>
          <w:p>
            <w:pPr>
              <w:pStyle w:val="Compact"/>
            </w:pPr>
            <w:r>
              <w:t xml:space="preserve">Poster implied PFAS/pharmaceutical entry is a</w:t>
            </w:r>
            <w:r>
              <w:t xml:space="preserve"> </w:t>
            </w:r>
            <w:r>
              <w:rPr>
                <w:i/>
                <w:iCs/>
              </w:rPr>
              <w:t xml:space="preserve">failure</w:t>
            </w:r>
            <w:r>
              <w:t xml:space="preserve"> </w:t>
            </w:r>
            <w:r>
              <w:t xml:space="preserve">consequence</w:t>
            </w:r>
          </w:p>
        </w:tc>
        <w:tc>
          <w:tcPr/>
          <w:p>
            <w:pPr>
              <w:pStyle w:val="Compact"/>
            </w:pPr>
            <w:r>
              <w:rPr>
                <w:b/>
                <w:bCs/>
              </w:rPr>
              <w:t xml:space="preserve">Corrected — this was the most significant error.</w:t>
            </w:r>
            <w:r>
              <w:t xml:space="preserve"> </w:t>
            </w:r>
            <w:r>
              <w:t xml:space="preserve">These compounds pass through working and failing systems alike. Now shown explicitly as</w:t>
            </w:r>
            <w:r>
              <w:t xml:space="preserve"> </w:t>
            </w:r>
            <w:r>
              <w:rPr>
                <w:b/>
                <w:bCs/>
              </w:rPr>
              <w:t xml:space="preserve">NO</w:t>
            </w:r>
            <w:r>
              <w:t xml:space="preserve"> </w:t>
            </w:r>
            <w:r>
              <w:t xml:space="preserve">in the failure-driven column, with a matching management implication: septic repair and mound systems do</w:t>
            </w:r>
            <w:r>
              <w:t xml:space="preserve"> </w:t>
            </w:r>
            <w:r>
              <w:rPr>
                <w:b/>
                <w:bCs/>
              </w:rPr>
              <w:t xml:space="preserve">not</w:t>
            </w:r>
            <w:r>
              <w:t xml:space="preserve"> </w:t>
            </w:r>
            <w:r>
              <w:t xml:space="preserve">address them.</w:t>
            </w:r>
          </w:p>
        </w:tc>
      </w:tr>
      <w:tr>
        <w:tc>
          <w:tcPr/>
          <w:p>
            <w:pPr>
              <w:pStyle w:val="Compact"/>
            </w:pPr>
            <w:r>
              <w:t xml:space="preserve">6</w:t>
            </w:r>
          </w:p>
        </w:tc>
        <w:tc>
          <w:tcPr/>
          <w:p>
            <w:pPr>
              <w:pStyle w:val="Compact"/>
            </w:pPr>
            <w:r>
              <w:t xml:space="preserve">“SAV”</w:t>
            </w:r>
            <w:r>
              <w:t xml:space="preserve"> </w:t>
            </w:r>
            <w:r>
              <w:t xml:space="preserve">unexplained</w:t>
            </w:r>
          </w:p>
        </w:tc>
        <w:tc>
          <w:tcPr/>
          <w:p>
            <w:pPr>
              <w:pStyle w:val="Compact"/>
            </w:pPr>
            <w:r>
              <w:rPr>
                <w:b/>
                <w:bCs/>
              </w:rPr>
              <w:t xml:space="preserve">Replaced</w:t>
            </w:r>
            <w:r>
              <w:t xml:space="preserve"> </w:t>
            </w:r>
            <w:r>
              <w:t xml:space="preserve">throughout with</w:t>
            </w:r>
            <w:r>
              <w:t xml:space="preserve"> </w:t>
            </w:r>
            <w:r>
              <w:t xml:space="preserve">“underwater grasses.”</w:t>
            </w:r>
          </w:p>
        </w:tc>
      </w:tr>
      <w:tr>
        <w:tc>
          <w:tcPr/>
          <w:p>
            <w:pPr>
              <w:pStyle w:val="Compact"/>
            </w:pPr>
            <w:r>
              <w:t xml:space="preserve">7</w:t>
            </w:r>
          </w:p>
        </w:tc>
        <w:tc>
          <w:tcPr/>
          <w:p>
            <w:pPr>
              <w:pStyle w:val="Compact"/>
            </w:pPr>
            <w:r>
              <w:t xml:space="preserve">“Flushing-limited”</w:t>
            </w:r>
            <w:r>
              <w:t xml:space="preserve"> </w:t>
            </w:r>
            <w:r>
              <w:t xml:space="preserve">and</w:t>
            </w:r>
            <w:r>
              <w:t xml:space="preserve"> </w:t>
            </w:r>
            <w:r>
              <w:t xml:space="preserve">“nonlinear regime shifts at low N thresholds”</w:t>
            </w:r>
            <w:r>
              <w:t xml:space="preserve"> </w:t>
            </w:r>
            <w:r>
              <w:t xml:space="preserve">were jargon</w:t>
            </w:r>
          </w:p>
        </w:tc>
        <w:tc>
          <w:tcPr/>
          <w:p>
            <w:pPr>
              <w:pStyle w:val="Compact"/>
            </w:pPr>
            <w:r>
              <w:rPr>
                <w:b/>
                <w:bCs/>
              </w:rPr>
              <w:t xml:space="preserve">Rewritten</w:t>
            </w:r>
            <w:r>
              <w:t xml:space="preserve"> </w:t>
            </w:r>
            <w:r>
              <w:t xml:space="preserve">in plain language: lagoons exchange water only through narrow inlets so nutrients accumulate; shallow bays don’t degrade gradually, they</w:t>
            </w:r>
            <w:r>
              <w:t xml:space="preserve"> </w:t>
            </w:r>
            <w:r>
              <w:rPr>
                <w:i/>
                <w:iCs/>
              </w:rPr>
              <w:t xml:space="preserve">flip</w:t>
            </w:r>
            <w:r>
              <w:t xml:space="preserve">; and</w:t>
            </w:r>
            <w:r>
              <w:t xml:space="preserve"> </w:t>
            </w:r>
            <w:r>
              <w:rPr>
                <w:b/>
                <w:bCs/>
              </w:rPr>
              <w:t xml:space="preserve">the flip is hard to undo</w:t>
            </w:r>
            <w:r>
              <w:t xml:space="preserve"> </w:t>
            </w:r>
            <w:r>
              <w:t xml:space="preserve">(new hysteresis point — the strongest argument for prevention).</w:t>
            </w:r>
          </w:p>
        </w:tc>
      </w:tr>
      <w:tr>
        <w:tc>
          <w:tcPr/>
          <w:p>
            <w:pPr>
              <w:pStyle w:val="Compact"/>
            </w:pPr>
            <w:r>
              <w:t xml:space="preserve">8</w:t>
            </w:r>
          </w:p>
        </w:tc>
        <w:tc>
          <w:tcPr/>
          <w:p>
            <w:pPr>
              <w:pStyle w:val="Compact"/>
            </w:pPr>
            <w:r>
              <w:t xml:space="preserve">Conventional systems implied to remove nitrogen</w:t>
            </w:r>
          </w:p>
        </w:tc>
        <w:tc>
          <w:tcPr/>
          <w:p>
            <w:pPr>
              <w:pStyle w:val="Compact"/>
            </w:pPr>
            <w:r>
              <w:rPr>
                <w:b/>
                <w:bCs/>
              </w:rPr>
              <w:t xml:space="preserve">Corrected.</w:t>
            </w:r>
            <w:r>
              <w:t xml:space="preserve"> </w:t>
            </w:r>
            <w:r>
              <w:t xml:space="preserve">Drainfields</w:t>
            </w:r>
            <w:r>
              <w:t xml:space="preserve"> </w:t>
            </w:r>
            <w:r>
              <w:rPr>
                <w:i/>
                <w:iCs/>
              </w:rPr>
              <w:t xml:space="preserve">convert</w:t>
            </w:r>
            <w:r>
              <w:t xml:space="preserve"> </w:t>
            </w:r>
            <w:r>
              <w:t xml:space="preserve">ammonium to nitrate; they don’t remove nitrogen. Retention is only ~10–30%. Added as a management implication: nitrogen reduction needs advanced systems or sewer, not just repair.</w:t>
            </w:r>
          </w:p>
        </w:tc>
      </w:tr>
      <w:tr>
        <w:tc>
          <w:tcPr/>
          <w:p>
            <w:pPr>
              <w:pStyle w:val="Compact"/>
            </w:pPr>
            <w:r>
              <w:t xml:space="preserve">9</w:t>
            </w:r>
          </w:p>
        </w:tc>
        <w:tc>
          <w:tcPr/>
          <w:p>
            <w:pPr>
              <w:pStyle w:val="Compact"/>
            </w:pPr>
            <w:r>
              <w:t xml:space="preserve">Column 4 implied septic is currently threatening the seagrass and the aquaculture economy</w:t>
            </w:r>
          </w:p>
        </w:tc>
        <w:tc>
          <w:tcPr/>
          <w:p>
            <w:pPr>
              <w:pStyle w:val="Compact"/>
            </w:pPr>
            <w:r>
              <w:rPr>
                <w:b/>
                <w:bCs/>
              </w:rPr>
              <w:t xml:space="preserve">Reframed.</w:t>
            </w:r>
            <w:r>
              <w:t xml:space="preserve"> </w:t>
            </w:r>
            <w:r>
              <w:t xml:space="preserve">Retitled</w:t>
            </w:r>
            <w:r>
              <w:t xml:space="preserve"> </w:t>
            </w:r>
            <w:r>
              <w:t xml:space="preserve">“What Sits Downstream.”</w:t>
            </w:r>
            <w:r>
              <w:t xml:space="preserve"> </w:t>
            </w:r>
            <w:r>
              <w:t xml:space="preserve">New</w:t>
            </w:r>
            <w:r>
              <w:t xml:space="preserve"> </w:t>
            </w:r>
            <w:r>
              <w:rPr>
                <w:b/>
                <w:bCs/>
              </w:rPr>
              <w:t xml:space="preserve">“What we cannot yet say”</w:t>
            </w:r>
            <w:r>
              <w:t xml:space="preserve"> </w:t>
            </w:r>
            <w:r>
              <w:t xml:space="preserve">box states that seaside nutrient levels remain low, the documented eelgrass threat has been</w:t>
            </w:r>
            <w:r>
              <w:t xml:space="preserve"> </w:t>
            </w:r>
            <w:r>
              <w:rPr>
                <w:i/>
                <w:iCs/>
              </w:rPr>
              <w:t xml:space="preserve">thermal</w:t>
            </w:r>
            <w:r>
              <w:t xml:space="preserve">, and no ESVA study has apportioned sources. The claim is now explicitly</w:t>
            </w:r>
            <w:r>
              <w:t xml:space="preserve"> </w:t>
            </w:r>
            <w:r>
              <w:rPr>
                <w:b/>
                <w:bCs/>
              </w:rPr>
              <w:t xml:space="preserve">precautionary, not diagnostic</w:t>
            </w:r>
            <w:r>
              <w:t xml:space="preserve">.</w:t>
            </w:r>
          </w:p>
        </w:tc>
      </w:tr>
      <w:tr>
        <w:tc>
          <w:tcPr/>
          <w:p>
            <w:pPr>
              <w:pStyle w:val="Compact"/>
            </w:pPr>
            <w:r>
              <w:t xml:space="preserve">23</w:t>
            </w:r>
          </w:p>
        </w:tc>
        <w:tc>
          <w:tcPr/>
          <w:p>
            <w:pPr>
              <w:pStyle w:val="Compact"/>
            </w:pPr>
            <w:r>
              <w:rPr>
                <w:b/>
                <w:bCs/>
              </w:rPr>
              <w:t xml:space="preserve">Citation misattributed.</w:t>
            </w:r>
            <w:r>
              <w:t xml:space="preserve"> </w:t>
            </w:r>
            <w:r>
              <w:t xml:space="preserve">“7% → 37% fecal exceedance”</w:t>
            </w:r>
            <w:r>
              <w:t xml:space="preserve"> </w:t>
            </w:r>
            <w:r>
              <w:t xml:space="preserve">was credited to</w:t>
            </w:r>
            <w:r>
              <w:t xml:space="preserve"> </w:t>
            </w:r>
            <w:r>
              <w:rPr>
                <w:i/>
                <w:iCs/>
              </w:rPr>
              <w:t xml:space="preserve">Zimmer-Faust et al. 2018</w:t>
            </w:r>
          </w:p>
        </w:tc>
        <w:tc>
          <w:tcPr/>
          <w:p>
            <w:pPr>
              <w:pStyle w:val="Compact"/>
            </w:pPr>
            <w:r>
              <w:rPr>
                <w:b/>
                <w:bCs/>
              </w:rPr>
              <w:t xml:space="preserve">Corrected (v8).</w:t>
            </w:r>
            <w:r>
              <w:t xml:space="preserve"> </w:t>
            </w:r>
            <w:r>
              <w:t xml:space="preserve">The paper is</w:t>
            </w:r>
            <w:r>
              <w:t xml:space="preserve"> </w:t>
            </w:r>
            <w:r>
              <w:rPr>
                <w:b/>
                <w:bCs/>
              </w:rPr>
              <w:t xml:space="preserve">Leight, A.K. &amp; R. Hood (2018)</w:t>
            </w:r>
            <w:r>
              <w:t xml:space="preserve">,</w:t>
            </w:r>
            <w:r>
              <w:t xml:space="preserve"> </w:t>
            </w:r>
            <w:r>
              <w:rPr>
                <w:i/>
                <w:iCs/>
              </w:rPr>
              <w:t xml:space="preserve">Water Research</w:t>
            </w:r>
            <w:r>
              <w:t xml:space="preserve"> </w:t>
            </w:r>
            <w:r>
              <w:t xml:space="preserve">139:252–262 — verified directly. Another constructed attribution from the sub-agent phase. Also reframed: it studied</w:t>
            </w:r>
            <w:r>
              <w:t xml:space="preserve"> </w:t>
            </w:r>
            <w:r>
              <w:rPr>
                <w:b/>
                <w:bCs/>
              </w:rPr>
              <w:t xml:space="preserve">Maryland</w:t>
            </w:r>
            <w:r>
              <w:t xml:space="preserve"> </w:t>
            </w:r>
            <w:r>
              <w:t xml:space="preserve">Chesapeake shellfish waters, did</w:t>
            </w:r>
            <w:r>
              <w:t xml:space="preserve"> </w:t>
            </w:r>
            <w:r>
              <w:rPr>
                <w:b/>
                <w:bCs/>
              </w:rPr>
              <w:t xml:space="preserve">not</w:t>
            </w:r>
            <w:r>
              <w:t xml:space="preserve"> </w:t>
            </w:r>
            <w:r>
              <w:t xml:space="preserve">apportion the fecal source, and has no ESVA equivalent. Fixed in the poster,</w:t>
            </w:r>
            <w:r>
              <w:t xml:space="preserve"> </w:t>
            </w:r>
            <w:r>
              <w:rPr>
                <w:rStyle w:val="VerbatimChar"/>
              </w:rPr>
              <w:t xml:space="preserve">pathway_4</w:t>
            </w:r>
            <w:r>
              <w:t xml:space="preserve">, the bibliography, the synthesis and the ESP article.</w:t>
            </w:r>
          </w:p>
        </w:tc>
      </w:tr>
      <w:tr>
        <w:tc>
          <w:tcPr/>
          <w:p>
            <w:pPr>
              <w:pStyle w:val="Compact"/>
            </w:pPr>
            <w:r>
              <w:t xml:space="preserve">24</w:t>
            </w:r>
          </w:p>
        </w:tc>
        <w:tc>
          <w:tcPr/>
          <w:p>
            <w:pPr>
              <w:pStyle w:val="Compact"/>
            </w:pPr>
            <w:r>
              <w:t xml:space="preserve">“Conventional drainfield needs ~3 ft of unsaturated soil”</w:t>
            </w:r>
          </w:p>
        </w:tc>
        <w:tc>
          <w:tcPr/>
          <w:p>
            <w:pPr>
              <w:pStyle w:val="Compact"/>
            </w:pPr>
            <w:r>
              <w:rPr>
                <w:b/>
                <w:bCs/>
              </w:rPr>
              <w:t xml:space="preserve">Corrected.</w:t>
            </w:r>
            <w:r>
              <w:t xml:space="preserve"> </w:t>
            </w:r>
            <w:r>
              <w:t xml:space="preserve">Virginia requires the</w:t>
            </w:r>
            <w:r>
              <w:t xml:space="preserve"> </w:t>
            </w:r>
            <w:r>
              <w:rPr>
                <w:b/>
                <w:bCs/>
              </w:rPr>
              <w:t xml:space="preserve">18 inches immediately below the infiltrative surface</w:t>
            </w:r>
            <w:r>
              <w:t xml:space="preserve"> </w:t>
            </w:r>
            <w:r>
              <w:t xml:space="preserve">to be free of limiting factors</w:t>
            </w:r>
            <w:r>
              <w:t xml:space="preserve"> </w:t>
            </w:r>
            <w:r>
              <w:rPr>
                <w:i/>
                <w:iCs/>
              </w:rPr>
              <w:t xml:space="preserve">including</w:t>
            </w:r>
            <w:r>
              <w:t xml:space="preserve"> </w:t>
            </w:r>
            <w:r>
              <w:t xml:space="preserve">the seasonal or permanent water table (12VAC5-610-594) — verified against the regulation. The 3 ft figure is a vulnerability screen measured from</w:t>
            </w:r>
            <w:r>
              <w:t xml:space="preserve"> </w:t>
            </w:r>
            <w:r>
              <w:rPr>
                <w:b/>
                <w:bCs/>
              </w:rPr>
              <w:t xml:space="preserve">land surface</w:t>
            </w:r>
            <w:r>
              <w:t xml:space="preserve">, now labelled as such.</w:t>
            </w:r>
          </w:p>
        </w:tc>
      </w:tr>
      <w:tr>
        <w:tc>
          <w:tcPr/>
          <w:p>
            <w:pPr>
              <w:pStyle w:val="Compact"/>
            </w:pPr>
            <w:r>
              <w:t xml:space="preserve">25</w:t>
            </w:r>
          </w:p>
        </w:tc>
        <w:tc>
          <w:tcPr/>
          <w:p>
            <w:pPr>
              <w:pStyle w:val="Compact"/>
            </w:pPr>
            <w:r>
              <w:t xml:space="preserve">“Among the fastest rates on the U.S. East Coast”</w:t>
            </w:r>
            <w:r>
              <w:t xml:space="preserve"> </w:t>
            </w:r>
            <w:r>
              <w:t xml:space="preserve">was vague</w:t>
            </w:r>
          </w:p>
        </w:tc>
        <w:tc>
          <w:tcPr/>
          <w:p>
            <w:pPr>
              <w:pStyle w:val="Compact"/>
            </w:pPr>
            <w:r>
              <w:rPr>
                <w:b/>
                <w:bCs/>
              </w:rPr>
              <w:t xml:space="preserve">Replaced with a local gauge:</w:t>
            </w:r>
            <w:r>
              <w:t xml:space="preserve"> </w:t>
            </w:r>
            <w:r>
              <w:t xml:space="preserve">NOAA station 8631044 (Wachapreague) records relative sea-level rise of</w:t>
            </w:r>
            <w:r>
              <w:t xml:space="preserve"> </w:t>
            </w:r>
            <w:r>
              <w:rPr>
                <w:b/>
                <w:bCs/>
              </w:rPr>
              <w:t xml:space="preserve">≈5.5 mm/yr</w:t>
            </w:r>
            <w:r>
              <w:t xml:space="preserve">.</w:t>
            </w:r>
          </w:p>
        </w:tc>
      </w:tr>
      <w:tr>
        <w:tc>
          <w:tcPr/>
          <w:p>
            <w:pPr>
              <w:pStyle w:val="Compact"/>
            </w:pPr>
            <w:r>
              <w:t xml:space="preserve">26</w:t>
            </w:r>
          </w:p>
        </w:tc>
        <w:tc>
          <w:tcPr/>
          <w:p>
            <w:pPr>
              <w:pStyle w:val="Compact"/>
            </w:pPr>
            <w:r>
              <w:t xml:space="preserve">Seagrass extent</w:t>
            </w:r>
          </w:p>
        </w:tc>
        <w:tc>
          <w:tcPr/>
          <w:p>
            <w:pPr>
              <w:pStyle w:val="Compact"/>
            </w:pPr>
            <w:r>
              <w:rPr>
                <w:b/>
                <w:bCs/>
              </w:rPr>
              <w:t xml:space="preserve">Both figures now given.</w:t>
            </w:r>
            <w:r>
              <w:t xml:space="preserve"> </w:t>
            </w:r>
            <w:r>
              <w:t xml:space="preserve">Orth et al. 2020 published</w:t>
            </w:r>
            <w:r>
              <w:t xml:space="preserve"> </w:t>
            </w:r>
            <w:r>
              <w:rPr>
                <w:b/>
                <w:bCs/>
              </w:rPr>
              <w:t xml:space="preserve">3,612 ha (~8,900 acres)</w:t>
            </w:r>
            <w:r>
              <w:t xml:space="preserve"> </w:t>
            </w:r>
            <w:r>
              <w:t xml:space="preserve">at the 2018 census from 70+ million seeds; VIMS and TNC currently describe</w:t>
            </w:r>
            <w:r>
              <w:t xml:space="preserve"> </w:t>
            </w:r>
            <w:r>
              <w:rPr>
                <w:b/>
                <w:bCs/>
              </w:rPr>
              <w:t xml:space="preserve">nearly 10,000 acres</w:t>
            </w:r>
            <w:r>
              <w:t xml:space="preserve">. My earlier</w:t>
            </w:r>
            <w:r>
              <w:t xml:space="preserve"> </w:t>
            </w:r>
            <w:r>
              <w:t xml:space="preserve">“correction”</w:t>
            </w:r>
            <w:r>
              <w:t xml:space="preserve"> </w:t>
            </w:r>
            <w:r>
              <w:t xml:space="preserve">removed an unsourced number but understated current extent — both are true for different dates.</w:t>
            </w:r>
          </w:p>
        </w:tc>
      </w:tr>
      <w:tr>
        <w:tc>
          <w:tcPr/>
          <w:p>
            <w:pPr>
              <w:pStyle w:val="Compact"/>
            </w:pPr>
            <w:r>
              <w:t xml:space="preserve">27</w:t>
            </w:r>
          </w:p>
        </w:tc>
        <w:tc>
          <w:tcPr/>
          <w:p>
            <w:pPr>
              <w:pStyle w:val="Compact"/>
            </w:pPr>
            <w:r>
              <w:t xml:space="preserve">“2015 heatwave caused ~50% areal eelgrass loss in South and Hog Island Bays”</w:t>
            </w:r>
          </w:p>
        </w:tc>
        <w:tc>
          <w:tcPr/>
          <w:p>
            <w:pPr>
              <w:pStyle w:val="Compact"/>
            </w:pPr>
            <w:r>
              <w:rPr>
                <w:b/>
                <w:bCs/>
              </w:rPr>
              <w:t xml:space="preserve">Could not be verified in that form.</w:t>
            </w:r>
            <w:r>
              <w:t xml:space="preserve"> </w:t>
            </w:r>
            <w:r>
              <w:t xml:space="preserve">Replaced with what sources support: severe,</w:t>
            </w:r>
            <w:r>
              <w:t xml:space="preserve"> </w:t>
            </w:r>
            <w:r>
              <w:rPr>
                <w:b/>
                <w:bCs/>
              </w:rPr>
              <w:t xml:space="preserve">spatially uneven</w:t>
            </w:r>
            <w:r>
              <w:t xml:space="preserve"> </w:t>
            </w:r>
            <w:r>
              <w:t xml:space="preserve">dieback in South Bay, some inner-meadow sites losing</w:t>
            </w:r>
            <w:r>
              <w:t xml:space="preserve"> </w:t>
            </w:r>
            <w:r>
              <w:rPr>
                <w:b/>
                <w:bCs/>
              </w:rPr>
              <w:t xml:space="preserve">~90% of shoot density</w:t>
            </w:r>
            <w:r>
              <w:t xml:space="preserve">, followed by partial recovery.</w:t>
            </w:r>
          </w:p>
        </w:tc>
      </w:tr>
      <w:tr>
        <w:tc>
          <w:tcPr/>
          <w:p>
            <w:pPr>
              <w:pStyle w:val="Compact"/>
            </w:pPr>
            <w:r>
              <w:t xml:space="preserve">28</w:t>
            </w:r>
          </w:p>
        </w:tc>
        <w:tc>
          <w:tcPr/>
          <w:p>
            <w:pPr>
              <w:pStyle w:val="Compact"/>
            </w:pPr>
            <w:r>
              <w:t xml:space="preserve">Named communities implied to sit above closure areas, cited to Mitchell et al.</w:t>
            </w:r>
          </w:p>
        </w:tc>
        <w:tc>
          <w:tcPr/>
          <w:p>
            <w:pPr>
              <w:pStyle w:val="Compact"/>
            </w:pPr>
            <w:r>
              <w:rPr>
                <w:b/>
                <w:bCs/>
              </w:rPr>
              <w:t xml:space="preserve">Narrowed.</w:t>
            </w:r>
            <w:r>
              <w:t xml:space="preserve"> </w:t>
            </w:r>
            <w:r>
              <w:t xml:space="preserve">Mitchell et al. report only one clear hotspot/water-quality overlap Tidewater-wide and caution against causal reading. Town list now attributed to</w:t>
            </w:r>
            <w:r>
              <w:t xml:space="preserve"> </w:t>
            </w:r>
            <w:r>
              <w:rPr>
                <w:b/>
                <w:bCs/>
              </w:rPr>
              <w:t xml:space="preserve">RD883 (2021)</w:t>
            </w:r>
            <w:r>
              <w:t xml:space="preserve"> </w:t>
            </w:r>
            <w:r>
              <w:t xml:space="preserve">only, framed as monitoring priorities, with an explicit statement that no published analysis shows septic hotspots explain ESVA closures.</w:t>
            </w:r>
          </w:p>
        </w:tc>
      </w:tr>
      <w:tr>
        <w:tc>
          <w:tcPr/>
          <w:p>
            <w:pPr>
              <w:pStyle w:val="Compact"/>
            </w:pPr>
            <w:r>
              <w:t xml:space="preserve">29</w:t>
            </w:r>
          </w:p>
        </w:tc>
        <w:tc>
          <w:tcPr/>
          <w:p>
            <w:pPr>
              <w:pStyle w:val="Compact"/>
            </w:pPr>
            <w:r>
              <w:t xml:space="preserve">80% figure phrased as</w:t>
            </w:r>
            <w:r>
              <w:t xml:space="preserve"> </w:t>
            </w:r>
            <w:r>
              <w:t xml:space="preserve">“the water supplying the creeks”</w:t>
            </w:r>
          </w:p>
        </w:tc>
        <w:tc>
          <w:tcPr/>
          <w:p>
            <w:pPr>
              <w:pStyle w:val="Compact"/>
            </w:pPr>
            <w:r>
              <w:rPr>
                <w:b/>
                <w:bCs/>
              </w:rPr>
              <w:t xml:space="preserve">Corrected to</w:t>
            </w:r>
            <w:r>
              <w:rPr>
                <w:b/>
                <w:bCs/>
              </w:rPr>
              <w:t xml:space="preserve"> </w:t>
            </w:r>
            <w:r>
              <w:rPr>
                <w:b/>
                <w:bCs/>
              </w:rPr>
              <w:t xml:space="preserve">“freshwater inflow.”</w:t>
            </w:r>
            <w:r>
              <w:t xml:space="preserve"> </w:t>
            </w:r>
            <w:r>
              <w:t xml:space="preserve">Tidal exchange supplies far greater total volume, so the original phrasing was misleading.</w:t>
            </w:r>
          </w:p>
        </w:tc>
      </w:tr>
      <w:tr>
        <w:tc>
          <w:tcPr/>
          <w:p>
            <w:pPr>
              <w:pStyle w:val="Compact"/>
            </w:pPr>
            <w:r>
              <w:t xml:space="preserve">30</w:t>
            </w:r>
          </w:p>
        </w:tc>
        <w:tc>
          <w:tcPr/>
          <w:p>
            <w:pPr>
              <w:pStyle w:val="Compact"/>
            </w:pPr>
            <w:r>
              <w:t xml:space="preserve">Aquaculture figures undated; scallop endpoint thin</w:t>
            </w:r>
          </w:p>
        </w:tc>
        <w:tc>
          <w:tcPr/>
          <w:p>
            <w:pPr>
              <w:pStyle w:val="Compact"/>
            </w:pPr>
            <w:r>
              <w:rPr>
                <w:b/>
                <w:bCs/>
              </w:rPr>
              <w:t xml:space="preserve">$81M/700 jobs now explicitly labelled 2024 data</w:t>
            </w:r>
            <w:r>
              <w:t xml:space="preserve"> </w:t>
            </w:r>
            <w:r>
              <w:t xml:space="preserve">with a note that a newer survey year is reported. Added the current scallop density:</w:t>
            </w:r>
            <w:r>
              <w:t xml:space="preserve"> </w:t>
            </w:r>
            <w:r>
              <w:rPr>
                <w:b/>
                <w:bCs/>
              </w:rPr>
              <w:t xml:space="preserve">0.114 m⁻² (VIMS 2025), doubling in under 1.5 years.</w:t>
            </w:r>
          </w:p>
        </w:tc>
      </w:tr>
      <w:tr>
        <w:tc>
          <w:tcPr/>
          <w:p>
            <w:pPr>
              <w:pStyle w:val="Compact"/>
            </w:pPr>
            <w:r>
              <w:t xml:space="preserve">17</w:t>
            </w:r>
          </w:p>
        </w:tc>
        <w:tc>
          <w:tcPr/>
          <w:p>
            <w:pPr>
              <w:pStyle w:val="Compact"/>
            </w:pPr>
            <w:r>
              <w:t xml:space="preserve">External scientific review: evidence labels said</w:t>
            </w:r>
            <w:r>
              <w:t xml:space="preserve"> </w:t>
            </w:r>
            <w:r>
              <w:t xml:space="preserve">“STRONG”</w:t>
            </w:r>
            <w:r>
              <w:t xml:space="preserve"> </w:t>
            </w:r>
            <w:r>
              <w:t xml:space="preserve">for ESVA pathways while the same poster said no local apportionment exists</w:t>
            </w:r>
          </w:p>
        </w:tc>
        <w:tc>
          <w:tcPr/>
          <w:p>
            <w:pPr>
              <w:pStyle w:val="Compact"/>
            </w:pPr>
            <w:r>
              <w:rPr>
                <w:b/>
                <w:bCs/>
              </w:rPr>
              <w:t xml:space="preserve">Fixed (v6) — this was the most important correction.</w:t>
            </w:r>
            <w:r>
              <w:t xml:space="preserve"> </w:t>
            </w:r>
            <w:r>
              <w:t xml:space="preserve">The pathway table now rates two axes separately:</w:t>
            </w:r>
            <w:r>
              <w:t xml:space="preserve"> </w:t>
            </w:r>
            <w:r>
              <w:rPr>
                <w:b/>
                <w:bCs/>
              </w:rPr>
              <w:t xml:space="preserve">mechanism</w:t>
            </w:r>
            <w:r>
              <w:t xml:space="preserve"> </w:t>
            </w:r>
            <w:r>
              <w:t xml:space="preserve">(general literature) and</w:t>
            </w:r>
            <w:r>
              <w:t xml:space="preserve"> </w:t>
            </w:r>
            <w:r>
              <w:rPr>
                <w:b/>
                <w:bCs/>
              </w:rPr>
              <w:t xml:space="preserve">ESVA septic attribution</w:t>
            </w:r>
            <w:r>
              <w:t xml:space="preserve">. Reads as</w:t>
            </w:r>
            <w:r>
              <w:t xml:space="preserve"> </w:t>
            </w:r>
            <w:r>
              <w:t xml:space="preserve">“established science, unmeasured locally.”</w:t>
            </w:r>
          </w:p>
        </w:tc>
      </w:tr>
      <w:tr>
        <w:tc>
          <w:tcPr/>
          <w:p>
            <w:pPr>
              <w:pStyle w:val="Compact"/>
            </w:pPr>
            <w:r>
              <w:t xml:space="preserve">18</w:t>
            </w:r>
          </w:p>
        </w:tc>
        <w:tc>
          <w:tcPr/>
          <w:p>
            <w:pPr>
              <w:pStyle w:val="Compact"/>
            </w:pPr>
            <w:r>
              <w:t xml:space="preserve">Conflated unsaturated soil beneath the trench with depth to groundwater from land surface</w:t>
            </w:r>
          </w:p>
        </w:tc>
        <w:tc>
          <w:tcPr/>
          <w:p>
            <w:pPr>
              <w:pStyle w:val="Compact"/>
            </w:pPr>
            <w:r>
              <w:rPr>
                <w:b/>
                <w:bCs/>
              </w:rPr>
              <w:t xml:space="preserve">Fixed.</w:t>
            </w:r>
            <w:r>
              <w:t xml:space="preserve"> </w:t>
            </w:r>
            <w:r>
              <w:t xml:space="preserve">Virginia sets separation by system type and effluent quality (12VAC5-610 Tables 4.3/4.4); there is no flat 3 ft. The 7,800 figure is now labelled as parcels with</w:t>
            </w:r>
            <w:r>
              <w:t xml:space="preserve"> </w:t>
            </w:r>
            <w:r>
              <w:rPr>
                <w:i/>
                <w:iCs/>
              </w:rPr>
              <w:t xml:space="preserve">modelled</w:t>
            </w:r>
            <w:r>
              <w:t xml:space="preserve"> </w:t>
            </w:r>
            <w:r>
              <w:t xml:space="preserve">groundwater &lt;3 ft</w:t>
            </w:r>
            <w:r>
              <w:t xml:space="preserve"> </w:t>
            </w:r>
            <w:r>
              <w:rPr>
                <w:b/>
                <w:bCs/>
              </w:rPr>
              <w:t xml:space="preserve">below land surface</w:t>
            </w:r>
            <w:r>
              <w:t xml:space="preserve">.</w:t>
            </w:r>
          </w:p>
        </w:tc>
      </w:tr>
      <w:tr>
        <w:tc>
          <w:tcPr/>
          <w:p>
            <w:pPr>
              <w:pStyle w:val="Compact"/>
            </w:pPr>
            <w:r>
              <w:t xml:space="preserve">19</w:t>
            </w:r>
          </w:p>
        </w:tc>
        <w:tc>
          <w:tcPr/>
          <w:p>
            <w:pPr>
              <w:pStyle w:val="Compact"/>
            </w:pPr>
            <w:r>
              <w:t xml:space="preserve">“What enters the groundwater arrives at the creek”</w:t>
            </w:r>
            <w:r>
              <w:t xml:space="preserve">;</w:t>
            </w:r>
            <w:r>
              <w:t xml:space="preserve"> </w:t>
            </w:r>
            <w:r>
              <w:t xml:space="preserve">“not currently degraded by septic”</w:t>
            </w:r>
            <w:r>
              <w:t xml:space="preserve">; shellfish closures implied attributed to septic; PFAS</w:t>
            </w:r>
            <w:r>
              <w:t xml:space="preserve"> </w:t>
            </w:r>
            <w:r>
              <w:t xml:space="preserve">“pass through essentially unaltered”</w:t>
            </w:r>
            <w:r>
              <w:t xml:space="preserve">;</w:t>
            </w:r>
            <w:r>
              <w:t xml:space="preserve"> </w:t>
            </w:r>
            <w:r>
              <w:t xml:space="preserve">“progressive and unavoidable”</w:t>
            </w:r>
            <w:r>
              <w:t xml:space="preserve">;</w:t>
            </w:r>
            <w:r>
              <w:t xml:space="preserve"> </w:t>
            </w:r>
            <w:r>
              <w:t xml:space="preserve">“Nationally ~32%”</w:t>
            </w:r>
          </w:p>
        </w:tc>
        <w:tc>
          <w:tcPr/>
          <w:p>
            <w:pPr>
              <w:pStyle w:val="Compact"/>
            </w:pPr>
            <w:r>
              <w:rPr>
                <w:b/>
                <w:bCs/>
              </w:rPr>
              <w:t xml:space="preserve">All softened to match the evidence.</w:t>
            </w:r>
            <w:r>
              <w:t xml:space="preserve"> </w:t>
            </w:r>
            <w:r>
              <w:t xml:space="preserve">Notably</w:t>
            </w:r>
            <w:r>
              <w:t xml:space="preserve"> </w:t>
            </w:r>
            <w:r>
              <w:t xml:space="preserve">“not currently degraded”</w:t>
            </w:r>
            <w:r>
              <w:t xml:space="preserve"> </w:t>
            </w:r>
            <w:r>
              <w:t xml:space="preserve">was absence-of-evidence stated as evidence-of-absence.</w:t>
            </w:r>
          </w:p>
        </w:tc>
      </w:tr>
      <w:tr>
        <w:tc>
          <w:tcPr/>
          <w:p>
            <w:pPr>
              <w:pStyle w:val="Compact"/>
            </w:pPr>
            <w:r>
              <w:t xml:space="preserve">20</w:t>
            </w:r>
          </w:p>
        </w:tc>
        <w:tc>
          <w:tcPr/>
          <w:p>
            <w:pPr>
              <w:pStyle w:val="Compact"/>
            </w:pPr>
            <w:r>
              <w:t xml:space="preserve">Lagoon flushing claim too categorical</w:t>
            </w:r>
          </w:p>
        </w:tc>
        <w:tc>
          <w:tcPr/>
          <w:p>
            <w:pPr>
              <w:pStyle w:val="Compact"/>
            </w:pPr>
            <w:r>
              <w:rPr>
                <w:b/>
                <w:bCs/>
              </w:rPr>
              <w:t xml:space="preserve">Fixed, and strengthened.</w:t>
            </w:r>
            <w:r>
              <w:t xml:space="preserve"> </w:t>
            </w:r>
            <w:r>
              <w:t xml:space="preserve">Residence is days–weeks in open interiors (Safak et al. 2015). Replaced with the better point the reviewer missed:</w:t>
            </w:r>
            <w:r>
              <w:t xml:space="preserve"> </w:t>
            </w:r>
            <w:r>
              <w:rPr>
                <w:b/>
                <w:bCs/>
              </w:rPr>
              <w:t xml:space="preserve">nitrogen is retained longer than water</w:t>
            </w:r>
            <w:r>
              <w:t xml:space="preserve">, via drift-algal DON uptake and release (Tyler, McGlathery &amp; Anderson 2001, 2003).</w:t>
            </w:r>
          </w:p>
        </w:tc>
      </w:tr>
      <w:tr>
        <w:tc>
          <w:tcPr/>
          <w:p>
            <w:pPr>
              <w:pStyle w:val="Compact"/>
            </w:pPr>
            <w:r>
              <w:t xml:space="preserve">21</w:t>
            </w:r>
          </w:p>
        </w:tc>
        <w:tc>
          <w:tcPr/>
          <w:p>
            <w:pPr>
              <w:pStyle w:val="Compact"/>
            </w:pPr>
            <w:r>
              <w:t xml:space="preserve">“The single measurement that would convert this argument from precautionary to quantitative”</w:t>
            </w:r>
          </w:p>
        </w:tc>
        <w:tc>
          <w:tcPr/>
          <w:p>
            <w:pPr>
              <w:pStyle w:val="Compact"/>
            </w:pPr>
            <w:r>
              <w:rPr>
                <w:b/>
                <w:bCs/>
              </w:rPr>
              <w:t xml:space="preserve">Fixed.</w:t>
            </w:r>
            <w:r>
              <w:t xml:space="preserve"> </w:t>
            </w:r>
            <w:r>
              <w:t xml:space="preserve">Septic and manure nitrate isotopes overlap and caffeine degrades. Reframed as one</w:t>
            </w:r>
            <w:r>
              <w:t xml:space="preserve"> </w:t>
            </w:r>
            <w:r>
              <w:rPr>
                <w:b/>
                <w:bCs/>
              </w:rPr>
              <w:t xml:space="preserve">integrated attribution programme</w:t>
            </w:r>
            <w:r>
              <w:t xml:space="preserve">: isotopes + conservative human-wastewater tracers + groundwater age/flow paths + HF183/crAssphage + seasonal/post-rain sampling + Bayesian apportionment.</w:t>
            </w:r>
          </w:p>
        </w:tc>
      </w:tr>
      <w:tr>
        <w:tc>
          <w:tcPr/>
          <w:p>
            <w:pPr>
              <w:pStyle w:val="Compact"/>
            </w:pPr>
            <w:r>
              <w:t xml:space="preserve">22</w:t>
            </w:r>
          </w:p>
        </w:tc>
        <w:tc>
          <w:tcPr/>
          <w:p>
            <w:pPr>
              <w:pStyle w:val="Compact"/>
            </w:pPr>
            <w:r>
              <w:t xml:space="preserve">Poster too dense for 36×24</w:t>
            </w:r>
          </w:p>
        </w:tc>
        <w:tc>
          <w:tcPr/>
          <w:p>
            <w:pPr>
              <w:pStyle w:val="Compact"/>
            </w:pPr>
            <w:r>
              <w:rPr>
                <w:b/>
                <w:bCs/>
              </w:rPr>
              <w:t xml:space="preserve">Trimmed (v7).</w:t>
            </w:r>
            <w:r>
              <w:t xml:space="preserve"> </w:t>
            </w:r>
            <w:r>
              <w:t xml:space="preserve">Body 13.5→15 pt, tables and captions up, column 2 widened for the cross-section. Dropped the drainfield-footprint pathway row and its data gap (weakest link), three partnership tags, two references, and ~15% of prose.</w:t>
            </w:r>
          </w:p>
        </w:tc>
      </w:tr>
      <w:tr>
        <w:tc>
          <w:tcPr/>
          <w:p>
            <w:pPr>
              <w:pStyle w:val="Compact"/>
            </w:pPr>
            <w:r>
              <w:t xml:space="preserve">12</w:t>
            </w:r>
          </w:p>
        </w:tc>
        <w:tc>
          <w:tcPr/>
          <w:p>
            <w:pPr>
              <w:pStyle w:val="Compact"/>
            </w:pPr>
            <w:r>
              <w:t xml:space="preserve">Failure framed as driven solely by the rising water table</w:t>
            </w:r>
          </w:p>
        </w:tc>
        <w:tc>
          <w:tcPr/>
          <w:p>
            <w:pPr>
              <w:pStyle w:val="Compact"/>
            </w:pPr>
            <w:r>
              <w:rPr>
                <w:b/>
                <w:bCs/>
              </w:rPr>
              <w:t xml:space="preserve">Broadened (v5).</w:t>
            </w:r>
            <w:r>
              <w:t xml:space="preserve"> </w:t>
            </w:r>
            <w:r>
              <w:t xml:space="preserve">Added</w:t>
            </w:r>
            <w:r>
              <w:t xml:space="preserve"> </w:t>
            </w:r>
            <w:r>
              <w:t xml:space="preserve">“Three things compound it”</w:t>
            </w:r>
            <w:r>
              <w:t xml:space="preserve">: age, absence of any reliable septic inventory, and information/cost barriers (~32% meet inspection intervals; ~60% of 20-yr-old systems never inspected). Framed as</w:t>
            </w:r>
            <w:r>
              <w:t xml:space="preserve"> </w:t>
            </w:r>
            <w:r>
              <w:rPr>
                <w:i/>
                <w:iCs/>
              </w:rPr>
              <w:t xml:space="preserve">systemic</w:t>
            </w:r>
            <w:r>
              <w:t xml:space="preserve">, not individual, failings so the</w:t>
            </w:r>
            <w:r>
              <w:t xml:space="preserve"> </w:t>
            </w:r>
            <w:r>
              <w:t xml:space="preserve">“not your fault”</w:t>
            </w:r>
            <w:r>
              <w:t xml:space="preserve"> </w:t>
            </w:r>
            <w:r>
              <w:t xml:space="preserve">message survives.</w:t>
            </w:r>
          </w:p>
        </w:tc>
      </w:tr>
      <w:tr>
        <w:tc>
          <w:tcPr/>
          <w:p>
            <w:pPr>
              <w:pStyle w:val="Compact"/>
            </w:pPr>
            <w:r>
              <w:t xml:space="preserve">13</w:t>
            </w:r>
          </w:p>
        </w:tc>
        <w:tc>
          <w:tcPr/>
          <w:p>
            <w:pPr>
              <w:pStyle w:val="Compact"/>
            </w:pPr>
            <w:r>
              <w:t xml:space="preserve">Pathway 1 gave mechanism but never said why it matters</w:t>
            </w:r>
          </w:p>
        </w:tc>
        <w:tc>
          <w:tcPr/>
          <w:p>
            <w:pPr>
              <w:pStyle w:val="Compact"/>
            </w:pPr>
            <w:r>
              <w:rPr>
                <w:b/>
                <w:bCs/>
              </w:rPr>
              <w:t xml:space="preserve">Fixed.</w:t>
            </w:r>
            <w:r>
              <w:t xml:space="preserve"> </w:t>
            </w:r>
            <w:r>
              <w:t xml:space="preserve">Now:</w:t>
            </w:r>
            <w:r>
              <w:t xml:space="preserve"> </w:t>
            </w:r>
            <w:r>
              <w:t xml:space="preserve">“The aquifer is the delivery system — what enters here arrives in the creeks, where nitrogen is the nutrient that drives coastal algal growth.”</w:t>
            </w:r>
          </w:p>
        </w:tc>
      </w:tr>
      <w:tr>
        <w:tc>
          <w:tcPr/>
          <w:p>
            <w:pPr>
              <w:pStyle w:val="Compact"/>
            </w:pPr>
            <w:r>
              <w:t xml:space="preserve">14</w:t>
            </w:r>
          </w:p>
        </w:tc>
        <w:tc>
          <w:tcPr/>
          <w:p>
            <w:pPr>
              <w:pStyle w:val="Compact"/>
            </w:pPr>
            <w:r>
              <w:t xml:space="preserve">“Marsh peat breakdown and creek-bank collapse”</w:t>
            </w:r>
            <w:r>
              <w:t xml:space="preserve"> </w:t>
            </w:r>
            <w:r>
              <w:t xml:space="preserve">was opaque</w:t>
            </w:r>
          </w:p>
        </w:tc>
        <w:tc>
          <w:tcPr/>
          <w:p>
            <w:pPr>
              <w:pStyle w:val="Compact"/>
            </w:pPr>
            <w:r>
              <w:rPr>
                <w:b/>
                <w:bCs/>
              </w:rPr>
              <w:t xml:space="preserve">Explained.</w:t>
            </w:r>
            <w:r>
              <w:t xml:space="preserve"> </w:t>
            </w:r>
            <w:r>
              <w:t xml:space="preserve">New Column 3 block: banks are held by the below-ground root/rhizome mat, not visible stems; nitrogen shifts growth to leaves and speeds peat decay, so the marsh looks greener above while losing structure below. This is exactly the intuition Deegan et al. 2012 overturned.</w:t>
            </w:r>
          </w:p>
        </w:tc>
      </w:tr>
      <w:tr>
        <w:tc>
          <w:tcPr/>
          <w:p>
            <w:pPr>
              <w:pStyle w:val="Compact"/>
            </w:pPr>
            <w:r>
              <w:t xml:space="preserve">15</w:t>
            </w:r>
          </w:p>
        </w:tc>
        <w:tc>
          <w:tcPr/>
          <w:p>
            <w:pPr>
              <w:pStyle w:val="Compact"/>
            </w:pPr>
            <w:r>
              <w:t xml:space="preserve">“Warming lowers eelgrass tolerance for nutrients”</w:t>
            </w:r>
            <w:r>
              <w:t xml:space="preserve"> </w:t>
            </w:r>
            <w:r>
              <w:t xml:space="preserve">unexplained</w:t>
            </w:r>
          </w:p>
        </w:tc>
        <w:tc>
          <w:tcPr/>
          <w:p>
            <w:pPr>
              <w:pStyle w:val="Compact"/>
            </w:pPr>
            <w:r>
              <w:rPr>
                <w:b/>
                <w:bCs/>
              </w:rPr>
              <w:t xml:space="preserve">Explained.</w:t>
            </w:r>
            <w:r>
              <w:t xml:space="preserve"> </w:t>
            </w:r>
            <w:r>
              <w:t xml:space="preserve">The mechanism is</w:t>
            </w:r>
            <w:r>
              <w:t xml:space="preserve"> </w:t>
            </w:r>
            <w:r>
              <w:rPr>
                <w:b/>
                <w:bCs/>
              </w:rPr>
              <w:t xml:space="preserve">light</w:t>
            </w:r>
            <w:r>
              <w:t xml:space="preserve">, not toxicity or resource competition: warming raises the light requirement; nutrients grow algae on the blades and in the water that lower light delivered.</w:t>
            </w:r>
          </w:p>
        </w:tc>
      </w:tr>
      <w:tr>
        <w:tc>
          <w:tcPr/>
          <w:p>
            <w:pPr>
              <w:pStyle w:val="Compact"/>
            </w:pPr>
            <w:r>
              <w:t xml:space="preserve">16</w:t>
            </w:r>
          </w:p>
        </w:tc>
        <w:tc>
          <w:tcPr/>
          <w:p>
            <w:pPr>
              <w:pStyle w:val="Compact"/>
            </w:pPr>
            <w:r>
              <w:t xml:space="preserve">Shellfish/septic overlap had no citation</w:t>
            </w:r>
          </w:p>
        </w:tc>
        <w:tc>
          <w:tcPr/>
          <w:p>
            <w:pPr>
              <w:pStyle w:val="Compact"/>
            </w:pPr>
            <w:r>
              <w:rPr>
                <w:b/>
                <w:bCs/>
              </w:rPr>
              <w:t xml:space="preserve">Cited and tightened</w:t>
            </w:r>
            <w:r>
              <w:t xml:space="preserve"> </w:t>
            </w:r>
            <w:r>
              <w:t xml:space="preserve">(Mitchell et al. 2021; RD883 2021), with the claim narrowed to what those sources actually support. Flagged as a student-project opportunity.</w:t>
            </w:r>
          </w:p>
        </w:tc>
      </w:tr>
      <w:tr>
        <w:tc>
          <w:tcPr/>
          <w:p>
            <w:pPr>
              <w:pStyle w:val="Compact"/>
            </w:pPr>
            <w:r>
              <w:t xml:space="preserve">11</w:t>
            </w:r>
          </w:p>
        </w:tc>
        <w:tc>
          <w:tcPr/>
          <w:p>
            <w:pPr>
              <w:pStyle w:val="Compact"/>
            </w:pPr>
            <w:r>
              <w:t xml:space="preserve">The ~80% groundwater figure was removed in v3 as unverifiable</w:t>
            </w:r>
          </w:p>
        </w:tc>
        <w:tc>
          <w:tcPr/>
          <w:p>
            <w:pPr>
              <w:pStyle w:val="Compact"/>
            </w:pPr>
            <w:r>
              <w:rPr>
                <w:b/>
                <w:bCs/>
              </w:rPr>
              <w:t xml:space="preserve">Restored in v4</w:t>
            </w:r>
            <w:r>
              <w:t xml:space="preserve"> </w:t>
            </w:r>
            <w:r>
              <w:t xml:space="preserve">with its true source —</w:t>
            </w:r>
            <w:r>
              <w:t xml:space="preserve"> </w:t>
            </w:r>
            <w:r>
              <w:rPr>
                <w:i/>
                <w:iCs/>
              </w:rPr>
              <w:t xml:space="preserve">Accomack County Regional Water Supply Plan</w:t>
            </w:r>
            <w:r>
              <w:t xml:space="preserve"> </w:t>
            </w:r>
            <w:r>
              <w:t xml:space="preserve">(April 2010) — corrected phrasing (share of creek</w:t>
            </w:r>
            <w:r>
              <w:t xml:space="preserve"> </w:t>
            </w:r>
            <w:r>
              <w:rPr>
                <w:b/>
                <w:bCs/>
              </w:rPr>
              <w:t xml:space="preserve">supply</w:t>
            </w:r>
            <w:r>
              <w:t xml:space="preserve">, not baseflow), and an explicit</w:t>
            </w:r>
            <w:r>
              <w:t xml:space="preserve"> </w:t>
            </w:r>
            <w:r>
              <w:rPr>
                <w:b/>
                <w:bCs/>
              </w:rPr>
              <w:t xml:space="preserve">Accomack-only</w:t>
            </w:r>
            <w:r>
              <w:t xml:space="preserve"> </w:t>
            </w:r>
            <w:r>
              <w:t xml:space="preserve">scope note.</w:t>
            </w:r>
          </w:p>
        </w:tc>
      </w:tr>
      <w:tr>
        <w:tc>
          <w:tcPr/>
          <w:p>
            <w:pPr>
              <w:pStyle w:val="Compact"/>
            </w:pPr>
            <w:r>
              <w:t xml:space="preserve">10a</w:t>
            </w:r>
          </w:p>
        </w:tc>
        <w:tc>
          <w:tcPr/>
          <w:p>
            <w:pPr>
              <w:pStyle w:val="Compact"/>
            </w:pPr>
            <w:r>
              <w:t xml:space="preserve">Phosphorus was labelled</w:t>
            </w:r>
            <w:r>
              <w:t xml:space="preserve"> </w:t>
            </w:r>
            <w:r>
              <w:rPr>
                <w:b/>
                <w:bCs/>
              </w:rPr>
              <w:t xml:space="preserve">AGE-DRIVEN</w:t>
            </w:r>
            <w:r>
              <w:t xml:space="preserve"> </w:t>
            </w:r>
            <w:r>
              <w:t xml:space="preserve">in a column headed</w:t>
            </w:r>
            <w:r>
              <w:t xml:space="preserve"> </w:t>
            </w:r>
            <w:r>
              <w:t xml:space="preserve">“Failure-driven?”</w:t>
            </w:r>
            <w:r>
              <w:t xml:space="preserve">, and Column 3 said P</w:t>
            </w:r>
            <w:r>
              <w:t xml:space="preserve"> </w:t>
            </w:r>
            <w:r>
              <w:t xml:space="preserve">“breaks through as soils age”</w:t>
            </w:r>
          </w:p>
        </w:tc>
        <w:tc>
          <w:tcPr/>
          <w:p>
            <w:pPr>
              <w:pStyle w:val="Compact"/>
            </w:pPr>
            <w:r>
              <w:rPr>
                <w:b/>
                <w:bCs/>
              </w:rPr>
              <w:t xml:space="preserve">Corrected (v3).</w:t>
            </w:r>
            <w:r>
              <w:t xml:space="preserve"> </w:t>
            </w:r>
            <w:r>
              <w:t xml:space="preserve">“Age”</w:t>
            </w:r>
            <w:r>
              <w:t xml:space="preserve"> </w:t>
            </w:r>
            <w:r>
              <w:t xml:space="preserve">meant the</w:t>
            </w:r>
            <w:r>
              <w:t xml:space="preserve"> </w:t>
            </w:r>
            <w:r>
              <w:rPr>
                <w:i/>
                <w:iCs/>
              </w:rPr>
              <w:t xml:space="preserve">septic system’s</w:t>
            </w:r>
            <w:r>
              <w:t xml:space="preserve"> </w:t>
            </w:r>
            <w:r>
              <w:t xml:space="preserve">cumulative operating time, not the geological age of the soil — the original wording implied a process unrelated to septic systems. P is now labelled</w:t>
            </w:r>
            <w:r>
              <w:t xml:space="preserve"> </w:t>
            </w:r>
            <w:r>
              <w:rPr>
                <w:b/>
                <w:bCs/>
              </w:rPr>
              <w:t xml:space="preserve">NO — use-driven</w:t>
            </w:r>
            <w:r>
              <w:t xml:space="preserve">, with the description clarifying it is</w:t>
            </w:r>
            <w:r>
              <w:t xml:space="preserve"> </w:t>
            </w:r>
            <w:r>
              <w:rPr>
                <w:i/>
                <w:iCs/>
              </w:rPr>
              <w:t xml:space="preserve">that system’s own</w:t>
            </w:r>
            <w:r>
              <w:t xml:space="preserve"> </w:t>
            </w:r>
            <w:r>
              <w:t xml:space="preserve">binding capacity being exhausted. A note records the one genuine failure link: reductive dissolution of iron oxides under a risen water table can remobilise legacy phosphorus (Smith et al. 2021,</w:t>
            </w:r>
            <w:r>
              <w:t xml:space="preserve"> </w:t>
            </w:r>
            <w:r>
              <w:rPr>
                <w:i/>
                <w:iCs/>
              </w:rPr>
              <w:t xml:space="preserve">J. Environ. Qual.</w:t>
            </w:r>
            <w:r>
              <w:t xml:space="preserve">, mechanism established in soils generally; nitrate-rich septic plumes may delay it, since nitrate is the preferred electron acceptor).</w:t>
            </w:r>
          </w:p>
        </w:tc>
      </w:tr>
      <w:tr>
        <w:tc>
          <w:tcPr/>
          <w:p>
            <w:pPr>
              <w:pStyle w:val="Compact"/>
            </w:pPr>
            <w:r>
              <w:t xml:space="preserve">10</w:t>
            </w:r>
          </w:p>
        </w:tc>
        <w:tc>
          <w:tcPr/>
          <w:p>
            <w:pPr>
              <w:pStyle w:val="Compact"/>
            </w:pPr>
            <w:r>
              <w:t xml:space="preserve">“The vulnerability is measurable”</w:t>
            </w:r>
            <w:r>
              <w:t xml:space="preserve"> </w:t>
            </w:r>
            <w:r>
              <w:t xml:space="preserve">implied septic causation</w:t>
            </w:r>
          </w:p>
        </w:tc>
        <w:tc>
          <w:tcPr/>
          <w:p>
            <w:pPr>
              <w:pStyle w:val="Compact"/>
            </w:pPr>
            <w:r>
              <w:rPr>
                <w:b/>
                <w:bCs/>
              </w:rPr>
              <w:t xml:space="preserve">Retitled</w:t>
            </w:r>
            <w:r>
              <w:rPr>
                <w:b/>
                <w:bCs/>
              </w:rPr>
              <w:t xml:space="preserve"> </w:t>
            </w:r>
            <w:r>
              <w:rPr>
                <w:b/>
                <w:bCs/>
              </w:rPr>
              <w:t xml:space="preserve">“Why the margin is thin”</w:t>
            </w:r>
            <w:r>
              <w:t xml:space="preserve"> </w:t>
            </w:r>
            <w:r>
              <w:t xml:space="preserve">with an explicit lead sentence: these systems are not currently degraded by septic pollution, but they are demonstrably perturbable.</w:t>
            </w:r>
          </w:p>
        </w:tc>
      </w:tr>
    </w:tbl>
    <w:bookmarkStart w:id="28" w:name="on-whether-the-assets-are-at-risk"/>
    <w:p>
      <w:pPr>
        <w:pStyle w:val="Heading3"/>
      </w:pPr>
      <w:r>
        <w:t xml:space="preserve">On whether the assets are</w:t>
      </w:r>
      <w:r>
        <w:t xml:space="preserve"> </w:t>
      </w:r>
      <w:r>
        <w:t xml:space="preserve">“at risk”</w:t>
      </w:r>
    </w:p>
    <w:p>
      <w:pPr>
        <w:pStyle w:val="FirstParagraph"/>
      </w:pPr>
      <w:r>
        <w:t xml:space="preserve">The honest position, now reflected on the poster:</w:t>
      </w:r>
    </w:p>
    <w:p>
      <w:pPr>
        <w:pStyle w:val="Compact"/>
        <w:numPr>
          <w:ilvl w:val="0"/>
          <w:numId w:val="1017"/>
        </w:numPr>
      </w:pPr>
      <w:r>
        <w:rPr>
          <w:b/>
          <w:bCs/>
        </w:rPr>
        <w:t xml:space="preserve">Defensible:</w:t>
      </w:r>
      <w:r>
        <w:t xml:space="preserve"> </w:t>
      </w:r>
      <w:r>
        <w:t xml:space="preserve">the shellfish-closure link (mechanistically direct, spatially co-located); the inherent sensitivity of shallow lagoons; and the</w:t>
      </w:r>
      <w:r>
        <w:t xml:space="preserve"> </w:t>
      </w:r>
      <w:r>
        <w:rPr>
          <w:i/>
          <w:iCs/>
        </w:rPr>
        <w:t xml:space="preserve">rising trajectory</w:t>
      </w:r>
      <w:r>
        <w:t xml:space="preserve"> </w:t>
      </w:r>
      <w:r>
        <w:t xml:space="preserve">of septic failure under sea-level rise.</w:t>
      </w:r>
    </w:p>
    <w:p>
      <w:pPr>
        <w:pStyle w:val="Compact"/>
        <w:numPr>
          <w:ilvl w:val="0"/>
          <w:numId w:val="1017"/>
        </w:numPr>
      </w:pPr>
      <w:r>
        <w:rPr>
          <w:b/>
          <w:bCs/>
        </w:rPr>
        <w:t xml:space="preserve">Not defensible:</w:t>
      </w:r>
      <w:r>
        <w:t xml:space="preserve"> </w:t>
      </w:r>
      <w:r>
        <w:t xml:space="preserve">that septic-derived nitrogen is currently damaging the eelgrass restoration. Seaside nutrient concentrations are low by global standards; the documented threat has been thermal; seaside septic density is comparatively low; and agricultural nitrogen likely dominates many sub-basin budgets — unpartitioned.</w:t>
      </w:r>
    </w:p>
    <w:p>
      <w:pPr>
        <w:pStyle w:val="FirstParagraph"/>
      </w:pPr>
      <w:r>
        <w:t xml:space="preserve">For an agency audience this reframing is a</w:t>
      </w:r>
      <w:r>
        <w:t xml:space="preserve"> </w:t>
      </w:r>
      <w:r>
        <w:rPr>
          <w:b/>
          <w:bCs/>
        </w:rPr>
        <w:t xml:space="preserve">strength</w:t>
      </w:r>
      <w:r>
        <w:t xml:space="preserve">. It converts the poster from</w:t>
      </w:r>
      <w:r>
        <w:t xml:space="preserve"> </w:t>
      </w:r>
      <w:r>
        <w:t xml:space="preserve">“here is a problem”</w:t>
      </w:r>
      <w:r>
        <w:t xml:space="preserve"> </w:t>
      </w:r>
      <w:r>
        <w:t xml:space="preserve">into</w:t>
      </w:r>
      <w:r>
        <w:t xml:space="preserve"> </w:t>
      </w:r>
      <w:r>
        <w:t xml:space="preserve">“here is a specific, tractable, fundable question nobody has answered.”</w:t>
      </w:r>
    </w:p>
    <w:p>
      <w:r>
        <w:pict>
          <v:rect style="width:0;height:1.5pt" o:hralign="center" o:hrstd="t" o:hr="t"/>
        </w:pict>
      </w:r>
    </w:p>
    <w:bookmarkEnd w:id="28"/>
    <w:bookmarkEnd w:id="29"/>
    <w:bookmarkStart w:id="30" w:name="Xd29de46890c893cb2f1679a36f20912deaec5bc"/>
    <w:p>
      <w:pPr>
        <w:pStyle w:val="Heading2"/>
      </w:pPr>
      <w:r>
        <w:t xml:space="preserve">13. Correction made during poster preparation</w:t>
      </w:r>
    </w:p>
    <w:p>
      <w:pPr>
        <w:pStyle w:val="FirstParagraph"/>
      </w:pPr>
      <w:r>
        <w:t xml:space="preserve">Earlier drafts in this repository stated the seagrass restoration covered</w:t>
      </w:r>
      <w:r>
        <w:t xml:space="preserve"> </w:t>
      </w:r>
      <w:r>
        <w:t xml:space="preserve">“~4,000–4,800 ha (~10,000 acres) as of 2024–2025.”</w:t>
      </w:r>
      <w:r>
        <w:t xml:space="preserve"> </w:t>
      </w:r>
      <w:r>
        <w:t xml:space="preserve">That figure was an</w:t>
      </w:r>
      <w:r>
        <w:t xml:space="preserve"> </w:t>
      </w:r>
      <w:r>
        <w:rPr>
          <w:b/>
          <w:bCs/>
        </w:rPr>
        <w:t xml:space="preserve">unsourced extrapolation</w:t>
      </w:r>
      <w:r>
        <w:t xml:space="preserve"> </w:t>
      </w:r>
      <w:r>
        <w:t xml:space="preserve">and has been corrected throughout to the published</w:t>
      </w:r>
      <w:r>
        <w:t xml:space="preserve"> </w:t>
      </w:r>
      <w:r>
        <w:rPr>
          <w:b/>
          <w:bCs/>
        </w:rPr>
        <w:t xml:space="preserve">3,612 ha</w:t>
      </w:r>
      <w:r>
        <w:t xml:space="preserve"> </w:t>
      </w:r>
      <w:r>
        <w:t xml:space="preserve">from Orth et al. (2020), which reports the 2018 census. Extent has continued to expand since, but no peer-reviewed updated total was located — so the published figure is used.</w:t>
      </w:r>
    </w:p>
    <w:p>
      <w:pPr>
        <w:pStyle w:val="BodyText"/>
      </w:pPr>
      <w:r>
        <w:t xml:space="preserve">If you can obtain a current VIMS/TNC census figure before the symposium, it would strengthen the poster; contact the VIMS seagrass monitoring program or The Nature Conservancy Virginia Coast Reserve.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2026-10-02T14:00:47Z</dcterms:created>
  <dcterms:modified xsi:type="dcterms:W3CDTF">2026-10-02T14:00:47Z</dcterms:modified>
</cp:coreProperties>
</file>

<file path=docProps/custom.xml><?xml version="1.0" encoding="utf-8"?>
<Properties xmlns="http://schemas.openxmlformats.org/officeDocument/2006/custom-properties" xmlns:vt="http://schemas.openxmlformats.org/officeDocument/2006/docPropsVTypes"/>
</file>