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575bf3596da4b2db131a5801303f8469b16f91"/>
    <w:p>
      <w:pPr>
        <w:pStyle w:val="Heading1"/>
      </w:pPr>
      <w:r>
        <w:t xml:space="preserve">Article draft: Eastern Shore Post — Part 2: well testing (health)</w:t>
      </w:r>
    </w:p>
    <w:p>
      <w:pPr>
        <w:pStyle w:val="FirstParagraph"/>
      </w:pPr>
      <w:r>
        <w:rPr>
          <w:b/>
          <w:bCs/>
        </w:rPr>
        <w:t xml:space="preserve">Companion to</w:t>
      </w:r>
      <w:r>
        <w:t xml:space="preserve"> </w:t>
      </w:r>
      <w:r>
        <w:rPr>
          <w:rStyle w:val="VerbatimChar"/>
        </w:rPr>
        <w:t xml:space="preserve">article_part1_septic_basics.md</w:t>
      </w:r>
      <w:r>
        <w:t xml:space="preserve">.</w:t>
      </w:r>
      <w:r>
        <w:t xml:space="preserve"> </w:t>
      </w:r>
      <w:r>
        <w:rPr>
          <w:b/>
          <w:bCs/>
        </w:rPr>
        <w:t xml:space="preserve">Replaces</w:t>
      </w:r>
      <w:r>
        <w:t xml:space="preserve"> </w:t>
      </w:r>
      <w:r>
        <w:rPr>
          <w:rStyle w:val="VerbatimChar"/>
        </w:rPr>
        <w:t xml:space="preserve">archive/article_eastern_shore_post_health.md</w:t>
      </w:r>
      <w:r>
        <w:t xml:space="preserve">; see</w:t>
      </w:r>
      <w:r>
        <w:t xml:space="preserve"> </w:t>
      </w:r>
      <w:r>
        <w:rPr>
          <w:rStyle w:val="VerbatimChar"/>
        </w:rPr>
        <w:t xml:space="preserve">OUTREACH_MESSAGING_REVIEW.md</w:t>
      </w:r>
      <w:r>
        <w:t xml:space="preserve"> </w:t>
      </w:r>
      <w:r>
        <w:t xml:space="preserve">for why.</w:t>
      </w:r>
    </w:p>
    <w:p>
      <w:pPr>
        <w:pStyle w:val="BodyText"/>
      </w:pPr>
      <w:r>
        <w:rPr>
          <w:b/>
          <w:bCs/>
        </w:rPr>
        <w:t xml:space="preserve">Working headline (pick one):</w:t>
      </w:r>
      <w:r>
        <w:t xml:space="preserve"> </w:t>
      </w:r>
      <w:r>
        <w:t xml:space="preserve">-</w:t>
      </w:r>
      <w:r>
        <w:t xml:space="preserve"> </w:t>
      </w:r>
      <w:r>
        <w:t xml:space="preserve">“What’s in your well? The only way to know is to test”</w:t>
      </w:r>
      <w:r>
        <w:t xml:space="preserve"> </w:t>
      </w:r>
      <w:r>
        <w:t xml:space="preserve">-</w:t>
      </w:r>
      <w:r>
        <w:t xml:space="preserve"> </w:t>
      </w:r>
      <w:r>
        <w:t xml:space="preserve">“Nobody tests your well but you”</w:t>
      </w:r>
      <w:r>
        <w:t xml:space="preserve"> </w:t>
      </w:r>
      <w:r>
        <w:t xml:space="preserve">-</w:t>
      </w:r>
      <w:r>
        <w:t xml:space="preserve"> </w:t>
      </w:r>
      <w:r>
        <w:t xml:space="preserve">“One test a year: the easiest health check a Shore family can do”</w:t>
      </w:r>
    </w:p>
    <w:p>
      <w:pPr>
        <w:pStyle w:val="BodyText"/>
      </w:pPr>
      <w:r>
        <w:rPr>
          <w:b/>
          <w:bCs/>
        </w:rPr>
        <w:t xml:space="preserve">Target length:</w:t>
      </w:r>
      <w:r>
        <w:t xml:space="preserve"> </w:t>
      </w:r>
      <w:r>
        <w:t xml:space="preserve">about 1,000 words, plus sidebars.</w:t>
      </w:r>
    </w:p>
    <w:p>
      <w:pPr>
        <w:pStyle w:val="BodyText"/>
      </w:pPr>
      <w:r>
        <w:rPr>
          <w:b/>
          <w:bCs/>
        </w:rPr>
        <w:t xml:space="preserve">Audience:</w:t>
      </w:r>
      <w:r>
        <w:t xml:space="preserve"> </w:t>
      </w:r>
      <w:r>
        <w:t xml:space="preserve">Shore households on private wells, including renters, retirees, and families with babies.</w:t>
      </w:r>
    </w:p>
    <w:p>
      <w:pPr>
        <w:pStyle w:val="BodyText"/>
      </w:pPr>
      <w:r>
        <w:rPr>
          <w:b/>
          <w:bCs/>
        </w:rPr>
        <w:t xml:space="preserve">Goal:</w:t>
      </w:r>
      <w:r>
        <w:t xml:space="preserve"> </w:t>
      </w:r>
      <w:r>
        <w:t xml:space="preserve">Get well owners to test for bacteria and nitrate every year, plus after floods and when a baby is coming. Connect well safety to keeping the septic system working and at a safe distance.</w:t>
      </w:r>
    </w:p>
    <w:p>
      <w:pPr>
        <w:pStyle w:val="BodyText"/>
      </w:pPr>
      <w:r>
        <w:rPr>
          <w:b/>
          <w:bCs/>
        </w:rPr>
        <w:t xml:space="preserve">Tone:</w:t>
      </w:r>
      <w:r>
        <w:t xml:space="preserve"> </w:t>
      </w:r>
      <w:r>
        <w:t xml:space="preserve">Calm and practical. VDH is not seeing widespread septic-related illness on the Shore, and the testing data agree that serious problems are the exception. The message is</w:t>
      </w:r>
      <w:r>
        <w:t xml:space="preserve"> </w:t>
      </w:r>
      <w:r>
        <w:t xml:space="preserve">“know your own water,”</w:t>
      </w:r>
      <w:r>
        <w:t xml:space="preserve"> </w:t>
      </w:r>
      <w:r>
        <w:t xml:space="preserve">not</w:t>
      </w:r>
      <w:r>
        <w:t xml:space="preserve"> </w:t>
      </w:r>
      <w:r>
        <w:t xml:space="preserve">“the water is dangerous.”</w:t>
      </w:r>
    </w:p>
    <w:p>
      <w:r>
        <w:pict>
          <v:rect style="width:0;height:1.5pt" o:hralign="center" o:hrstd="t" o:hr="t"/>
        </w:pict>
      </w:r>
    </w:p>
    <w:bookmarkStart w:id="9" w:name="article-body"/>
    <w:p>
      <w:pPr>
        <w:pStyle w:val="Heading2"/>
      </w:pPr>
      <w:r>
        <w:t xml:space="preserve">Article body</w:t>
      </w:r>
    </w:p>
    <w:p>
      <w:pPr>
        <w:pStyle w:val="FirstParagraph"/>
      </w:pPr>
      <w:r>
        <w:rPr>
          <w:b/>
          <w:bCs/>
        </w:rPr>
        <w:t xml:space="preserve">What’s in your well? The only way to know is to test</w:t>
      </w:r>
    </w:p>
    <w:p>
      <w:pPr>
        <w:pStyle w:val="BodyText"/>
      </w:pPr>
      <w:r>
        <w:t xml:space="preserve">If your water comes from a city or town system, someone tests it for you, on a schedule set by federal law. If your water comes from your own well, as it does for most families on the Eastern Shore, nobody tests it but you. Virginia doesn’t require private well owners to test, ever, and the federal drinking-water law doesn’t apply to private wells at all [1][2].</w:t>
      </w:r>
    </w:p>
    <w:p>
      <w:pPr>
        <w:pStyle w:val="BodyText"/>
      </w:pPr>
      <w:r>
        <w:t xml:space="preserve">Most of the time that’s fine. The Eastern Shore Health District isn’t seeing widespread illness from well water, and when Shore wells have been tested, the serious problems have been the exception rather than the rule. But exceptions happen one household at a time, and well water that has a problem usually looks, smells and tastes exactly like water that doesn’t. The only way to know which kind you have is to test it.</w:t>
      </w:r>
    </w:p>
    <w:p>
      <w:pPr>
        <w:pStyle w:val="BodyText"/>
      </w:pPr>
      <w:r>
        <w:rPr>
          <w:b/>
          <w:bCs/>
        </w:rPr>
        <w:t xml:space="preserve">What Shore wells actually show</w:t>
      </w:r>
    </w:p>
    <w:p>
      <w:pPr>
        <w:pStyle w:val="BodyText"/>
      </w:pPr>
      <w:r>
        <w:t xml:space="preserve">Between 2014 and 2017, Virginia Cooperative Extension ran well-testing clinics in Accomack and Northampton and analyzed 340 household water samples [3]:</w:t>
      </w:r>
    </w:p>
    <w:p>
      <w:pPr>
        <w:pStyle w:val="Compact"/>
        <w:numPr>
          <w:ilvl w:val="0"/>
          <w:numId w:val="1001"/>
        </w:numPr>
      </w:pPr>
      <w:r>
        <w:rPr>
          <w:b/>
          <w:bCs/>
        </w:rPr>
        <w:t xml:space="preserve">Coliform bacteria in about one sample in four (27%).</w:t>
      </w:r>
      <w:r>
        <w:t xml:space="preserve"> </w:t>
      </w:r>
      <w:r>
        <w:t xml:space="preserve">Coliforms usually aren’t harmful themselves. They are a warning sign that surface water may be getting into the well, and that more harmful germs could get in the same way.</w:t>
      </w:r>
    </w:p>
    <w:p>
      <w:pPr>
        <w:pStyle w:val="Compact"/>
        <w:numPr>
          <w:ilvl w:val="0"/>
          <w:numId w:val="1001"/>
        </w:numPr>
      </w:pPr>
      <w:r>
        <w:rPr>
          <w:b/>
          <w:bCs/>
        </w:rPr>
        <w:t xml:space="preserve">E. coli in 4%.</w:t>
      </w:r>
      <w:r>
        <w:t xml:space="preserve"> </w:t>
      </w:r>
      <w:r>
        <w:t xml:space="preserve">E. coli comes from human or animal waste, so a positive result means fecal contamination has reached the water.</w:t>
      </w:r>
    </w:p>
    <w:p>
      <w:pPr>
        <w:pStyle w:val="Compact"/>
        <w:numPr>
          <w:ilvl w:val="0"/>
          <w:numId w:val="1001"/>
        </w:numPr>
      </w:pPr>
      <w:r>
        <w:rPr>
          <w:b/>
          <w:bCs/>
        </w:rPr>
        <w:t xml:space="preserve">Nitrate above the federal limit in fewer than 5%.</w:t>
      </w:r>
    </w:p>
    <w:p>
      <w:pPr>
        <w:pStyle w:val="FirstParagraph"/>
      </w:pPr>
      <w:r>
        <w:t xml:space="preserve">Because these were volunteers, the numbers may not represent every well on the Shore. They’re still the best local picture we have, and they point to the same advice:</w:t>
      </w:r>
      <w:r>
        <w:t xml:space="preserve"> </w:t>
      </w:r>
      <w:r>
        <w:rPr>
          <w:b/>
          <w:bCs/>
        </w:rPr>
        <w:t xml:space="preserve">bacteria are the most common health-related problem, and a yearly test is the way to catch them.</w:t>
      </w:r>
    </w:p>
    <w:p>
      <w:pPr>
        <w:pStyle w:val="BodyText"/>
      </w:pPr>
      <w:r>
        <w:rPr>
          <w:b/>
          <w:bCs/>
        </w:rPr>
        <w:t xml:space="preserve">Why your well matters more than you might think</w:t>
      </w:r>
    </w:p>
    <w:p>
      <w:pPr>
        <w:pStyle w:val="BodyText"/>
      </w:pPr>
      <w:r>
        <w:t xml:space="preserve">Most Shore homes draw water from deep, drilled wells, typically 150 to 200 feet down, into aquifers protected by layers of clay [4]. That’s good news. Deep water is well shielded from what happens on the surface.</w:t>
      </w:r>
    </w:p>
    <w:p>
      <w:pPr>
        <w:pStyle w:val="BodyText"/>
      </w:pPr>
      <w:r>
        <w:t xml:space="preserve">The weak point is usually the well itself, along with what’s close to it:</w:t>
      </w:r>
    </w:p>
    <w:p>
      <w:pPr>
        <w:pStyle w:val="Compact"/>
        <w:numPr>
          <w:ilvl w:val="0"/>
          <w:numId w:val="1002"/>
        </w:numPr>
      </w:pPr>
      <w:r>
        <w:rPr>
          <w:b/>
          <w:bCs/>
        </w:rPr>
        <w:t xml:space="preserve">Damage to the well:</w:t>
      </w:r>
      <w:r>
        <w:t xml:space="preserve"> </w:t>
      </w:r>
      <w:r>
        <w:t xml:space="preserve">a cracked cap, a corroded casing, or a gap in the seal around the pipe can let rain and surface water run straight down into the well.</w:t>
      </w:r>
    </w:p>
    <w:p>
      <w:pPr>
        <w:pStyle w:val="Compact"/>
        <w:numPr>
          <w:ilvl w:val="0"/>
          <w:numId w:val="1002"/>
        </w:numPr>
      </w:pPr>
      <w:r>
        <w:rPr>
          <w:b/>
          <w:bCs/>
        </w:rPr>
        <w:t xml:space="preserve">Shallow wells:</w:t>
      </w:r>
      <w:r>
        <w:t xml:space="preserve"> </w:t>
      </w:r>
      <w:r>
        <w:t xml:space="preserve">older dug, bored or driven wells are much more exposed.</w:t>
      </w:r>
    </w:p>
    <w:p>
      <w:pPr>
        <w:pStyle w:val="Compact"/>
        <w:numPr>
          <w:ilvl w:val="0"/>
          <w:numId w:val="1002"/>
        </w:numPr>
      </w:pPr>
      <w:r>
        <w:rPr>
          <w:b/>
          <w:bCs/>
        </w:rPr>
        <w:t xml:space="preserve">Nearby sources of contamination:</w:t>
      </w:r>
      <w:r>
        <w:t xml:space="preserve"> </w:t>
      </w:r>
      <w:r>
        <w:t xml:space="preserve">a septic tank or drainfield too close, or animals kept nearby.</w:t>
      </w:r>
    </w:p>
    <w:p>
      <w:pPr>
        <w:pStyle w:val="FirstParagraph"/>
      </w:pPr>
      <w:r>
        <w:t xml:space="preserve">Virginia generally requires at least 50 feet between a well and a septic tank, and 50 to 100 feet between a well and a drainfield, depending on how the well was built [5].</w:t>
      </w:r>
    </w:p>
    <w:p>
      <w:pPr>
        <w:pStyle w:val="BodyText"/>
      </w:pPr>
      <w:r>
        <w:t xml:space="preserve">In the Extension clinics, about a third of participants didn’t know what kind of well they had [3]. If that’s you, the health district may have the well permit on file.</w:t>
      </w:r>
    </w:p>
    <w:p>
      <w:pPr>
        <w:pStyle w:val="BodyText"/>
      </w:pPr>
      <w:r>
        <w:t xml:space="preserve">This is where the septic system comes back in. A septic system that’s working, pumped and set back the right distance protects your own well and your neighbors’. One that’s failing or too close is the most direct way human waste can end up in household water.</w:t>
      </w:r>
    </w:p>
    <w:p>
      <w:pPr>
        <w:pStyle w:val="BodyText"/>
      </w:pPr>
      <w:r>
        <w:rPr>
          <w:b/>
          <w:bCs/>
        </w:rPr>
        <w:t xml:space="preserve">When to test</w:t>
      </w:r>
    </w:p>
    <w:p>
      <w:pPr>
        <w:pStyle w:val="BodyText"/>
      </w:pPr>
      <w:r>
        <w:t xml:space="preserve">Health officials and Extension specialists recommend [6][7]:</w:t>
      </w:r>
    </w:p>
    <w:p>
      <w:pPr>
        <w:pStyle w:val="Compact"/>
        <w:numPr>
          <w:ilvl w:val="0"/>
          <w:numId w:val="1003"/>
        </w:numPr>
      </w:pPr>
      <w:r>
        <w:rPr>
          <w:b/>
          <w:bCs/>
        </w:rPr>
        <w:t xml:space="preserve">Every year:</w:t>
      </w:r>
      <w:r>
        <w:t xml:space="preserve"> </w:t>
      </w:r>
      <w:r>
        <w:t xml:space="preserve">bacteria (total coliform and E. coli) and nitrate.</w:t>
      </w:r>
    </w:p>
    <w:p>
      <w:pPr>
        <w:pStyle w:val="Compact"/>
        <w:numPr>
          <w:ilvl w:val="0"/>
          <w:numId w:val="1003"/>
        </w:numPr>
      </w:pPr>
      <w:r>
        <w:rPr>
          <w:b/>
          <w:bCs/>
        </w:rPr>
        <w:t xml:space="preserve">Every few years:</w:t>
      </w:r>
      <w:r>
        <w:t xml:space="preserve"> </w:t>
      </w:r>
      <w:r>
        <w:t xml:space="preserve">a broader panel, including lead, pH, iron, manganese and sodium.</w:t>
      </w:r>
    </w:p>
    <w:p>
      <w:pPr>
        <w:pStyle w:val="Compact"/>
        <w:numPr>
          <w:ilvl w:val="0"/>
          <w:numId w:val="1003"/>
        </w:numPr>
      </w:pPr>
      <w:r>
        <w:rPr>
          <w:b/>
          <w:bCs/>
        </w:rPr>
        <w:t xml:space="preserve">Right away, whenever:</w:t>
      </w:r>
    </w:p>
    <w:p>
      <w:pPr>
        <w:pStyle w:val="Compact"/>
        <w:numPr>
          <w:ilvl w:val="1"/>
          <w:numId w:val="1004"/>
        </w:numPr>
      </w:pPr>
      <w:r>
        <w:t xml:space="preserve">your wellhead has been under floodwater. VDH says a submerged well should be assumed contaminated: don’t drink from it until it has been disinfected and tested [8];</w:t>
      </w:r>
    </w:p>
    <w:p>
      <w:pPr>
        <w:pStyle w:val="Compact"/>
        <w:numPr>
          <w:ilvl w:val="1"/>
          <w:numId w:val="1004"/>
        </w:numPr>
      </w:pPr>
      <w:r>
        <w:t xml:space="preserve">someone in the house is pregnant, or a baby is coming home;</w:t>
      </w:r>
    </w:p>
    <w:p>
      <w:pPr>
        <w:pStyle w:val="Compact"/>
        <w:numPr>
          <w:ilvl w:val="1"/>
          <w:numId w:val="1004"/>
        </w:numPr>
      </w:pPr>
      <w:r>
        <w:t xml:space="preserve">there’s a septic backup or failure nearby;</w:t>
      </w:r>
    </w:p>
    <w:p>
      <w:pPr>
        <w:pStyle w:val="Compact"/>
        <w:numPr>
          <w:ilvl w:val="1"/>
          <w:numId w:val="1004"/>
        </w:numPr>
      </w:pPr>
      <w:r>
        <w:t xml:space="preserve">the water changes taste, color or smell, or people in the house keep getting stomach bugs.</w:t>
      </w:r>
    </w:p>
    <w:p>
      <w:pPr>
        <w:pStyle w:val="FirstParagraph"/>
      </w:pPr>
      <w:r>
        <w:rPr>
          <w:b/>
          <w:bCs/>
        </w:rPr>
        <w:t xml:space="preserve">If there’s a baby in the house</w:t>
      </w:r>
    </w:p>
    <w:p>
      <w:pPr>
        <w:pStyle w:val="BodyText"/>
      </w:pPr>
      <w:r>
        <w:t xml:space="preserve">The one well-water risk everyone with an infant should know about is nitrate. Babies under about six months can’t handle nitrate the way older children and adults can. High levels in formula can interfere with how their blood carries oxygen, a condition called</w:t>
      </w:r>
      <w:r>
        <w:t xml:space="preserve"> </w:t>
      </w:r>
      <w:r>
        <w:t xml:space="preserve">“blue baby syndrome.”</w:t>
      </w:r>
      <w:r>
        <w:t xml:space="preserve"> </w:t>
      </w:r>
      <w:r>
        <w:t xml:space="preserve">The federal nitrate limit of 10 milligrams per liter was set to protect them [9].</w:t>
      </w:r>
    </w:p>
    <w:p>
      <w:pPr>
        <w:pStyle w:val="BodyText"/>
      </w:pPr>
      <w:r>
        <w:t xml:space="preserve">Two things to remember:</w:t>
      </w:r>
    </w:p>
    <w:p>
      <w:pPr>
        <w:pStyle w:val="Compact"/>
        <w:numPr>
          <w:ilvl w:val="0"/>
          <w:numId w:val="1005"/>
        </w:numPr>
      </w:pPr>
      <w:r>
        <w:rPr>
          <w:b/>
          <w:bCs/>
        </w:rPr>
        <w:t xml:space="preserve">Test before the baby comes home.</w:t>
      </w:r>
      <w:r>
        <w:t xml:space="preserve"> </w:t>
      </w:r>
      <w:r>
        <w:t xml:space="preserve">If you haven’t tested, mix formula with bottled water until you have.</w:t>
      </w:r>
    </w:p>
    <w:p>
      <w:pPr>
        <w:pStyle w:val="Compact"/>
        <w:numPr>
          <w:ilvl w:val="0"/>
          <w:numId w:val="1005"/>
        </w:numPr>
      </w:pPr>
      <w:r>
        <w:rPr>
          <w:b/>
          <w:bCs/>
        </w:rPr>
        <w:t xml:space="preserve">Boiling does not remove nitrate. It concentrates it</w:t>
      </w:r>
      <w:r>
        <w:t xml:space="preserve"> </w:t>
      </w:r>
      <w:r>
        <w:t xml:space="preserve">[10]. Boiling is the right response to bacteria, never to nitrate.</w:t>
      </w:r>
    </w:p>
    <w:p>
      <w:pPr>
        <w:pStyle w:val="FirstParagraph"/>
      </w:pPr>
      <w:r>
        <w:t xml:space="preserve">Breastfed babies are not at risk from the mother drinking well water [9].</w:t>
      </w:r>
    </w:p>
    <w:p>
      <w:pPr>
        <w:pStyle w:val="BodyText"/>
      </w:pPr>
      <w:r>
        <w:t xml:space="preserve">You may also have seen headlines suggesting that long-term nitrate exposure at lower levels could affect adults. The research on that is mixed and unsettled [11]. On the Shore, nitrate above the limit is uncommon in household wells. Testing tells you where yours stands.</w:t>
      </w:r>
    </w:p>
    <w:p>
      <w:pPr>
        <w:pStyle w:val="BodyText"/>
      </w:pPr>
      <w:r>
        <w:rPr>
          <w:b/>
          <w:bCs/>
        </w:rPr>
        <w:t xml:space="preserve">How to get it done</w:t>
      </w:r>
    </w:p>
    <w:p>
      <w:pPr>
        <w:pStyle w:val="BodyText"/>
      </w:pPr>
      <w:r>
        <w:t xml:space="preserve">The best value is the</w:t>
      </w:r>
      <w:r>
        <w:t xml:space="preserve"> </w:t>
      </w:r>
      <w:r>
        <w:rPr>
          <w:b/>
          <w:bCs/>
        </w:rPr>
        <w:t xml:space="preserve">Virginia Household Water Quality Program</w:t>
      </w:r>
      <w:r>
        <w:t xml:space="preserve">, run by Virginia Tech and the two county Extension offices [12]:</w:t>
      </w:r>
    </w:p>
    <w:p>
      <w:pPr>
        <w:pStyle w:val="Compact"/>
        <w:numPr>
          <w:ilvl w:val="0"/>
          <w:numId w:val="1006"/>
        </w:numPr>
      </w:pPr>
      <w:r>
        <w:rPr>
          <w:b/>
          <w:bCs/>
        </w:rPr>
        <w:t xml:space="preserve">Cost:</w:t>
      </w:r>
      <w:r>
        <w:t xml:space="preserve"> </w:t>
      </w:r>
      <w:r>
        <w:t xml:space="preserve">$70, with help available for families who need it.</w:t>
      </w:r>
    </w:p>
    <w:p>
      <w:pPr>
        <w:pStyle w:val="Compact"/>
        <w:numPr>
          <w:ilvl w:val="0"/>
          <w:numId w:val="1006"/>
        </w:numPr>
      </w:pPr>
      <w:r>
        <w:rPr>
          <w:b/>
          <w:bCs/>
        </w:rPr>
        <w:t xml:space="preserve">What it tests:</w:t>
      </w:r>
      <w:r>
        <w:t xml:space="preserve"> </w:t>
      </w:r>
      <w:r>
        <w:t xml:space="preserve">28 things, including bacteria, nitrate, lead, sodium and iron.</w:t>
      </w:r>
    </w:p>
    <w:p>
      <w:pPr>
        <w:pStyle w:val="Compact"/>
        <w:numPr>
          <w:ilvl w:val="0"/>
          <w:numId w:val="1006"/>
        </w:numPr>
      </w:pPr>
      <w:r>
        <w:rPr>
          <w:b/>
          <w:bCs/>
        </w:rPr>
        <w:t xml:space="preserve">How it works:</w:t>
      </w:r>
      <w:r>
        <w:t xml:space="preserve"> </w:t>
      </w:r>
      <w:r>
        <w:t xml:space="preserve">you pick up a kit, take the sample at home, drop it off on collection day, and get the results with an explanation.</w:t>
      </w:r>
    </w:p>
    <w:p>
      <w:pPr>
        <w:pStyle w:val="Compact"/>
        <w:numPr>
          <w:ilvl w:val="0"/>
          <w:numId w:val="1006"/>
        </w:numPr>
      </w:pPr>
      <w:r>
        <w:rPr>
          <w:b/>
          <w:bCs/>
        </w:rPr>
        <w:t xml:space="preserve">When:</w:t>
      </w:r>
      <w:r>
        <w:t xml:space="preserve"> </w:t>
      </w:r>
      <w:r>
        <w:t xml:space="preserve">clinics happen once a year; the 2026 Shore clinic was in August. Call your Extension office to get on the list for the next one.</w:t>
      </w:r>
    </w:p>
    <w:p>
      <w:pPr>
        <w:pStyle w:val="FirstParagraph"/>
      </w:pPr>
      <w:r>
        <w:t xml:space="preserve">If you need results sooner, after a flood for example, any state-accredited lab can run a basic bacteria and nitrate test.</w:t>
      </w:r>
    </w:p>
    <w:p>
      <w:pPr>
        <w:pStyle w:val="BodyText"/>
      </w:pPr>
      <w:r>
        <w:rPr>
          <w:b/>
          <w:bCs/>
        </w:rPr>
        <w:t xml:space="preserve">If a result comes back high</w:t>
      </w:r>
    </w:p>
    <w:p>
      <w:pPr>
        <w:pStyle w:val="Compact"/>
        <w:numPr>
          <w:ilvl w:val="0"/>
          <w:numId w:val="1007"/>
        </w:numPr>
      </w:pPr>
      <w:r>
        <w:rPr>
          <w:b/>
          <w:bCs/>
        </w:rPr>
        <w:t xml:space="preserve">Bacteria:</w:t>
      </w:r>
      <w:r>
        <w:t xml:space="preserve"> </w:t>
      </w:r>
      <w:r>
        <w:t xml:space="preserve">have the well disinfected, check the cap, casing and seal, and test again. If it keeps coming back, call the health district. You may need a repair or continuous treatment, such as an ultraviolet unit.</w:t>
      </w:r>
    </w:p>
    <w:p>
      <w:pPr>
        <w:pStyle w:val="Compact"/>
        <w:numPr>
          <w:ilvl w:val="0"/>
          <w:numId w:val="1007"/>
        </w:numPr>
      </w:pPr>
      <w:r>
        <w:rPr>
          <w:b/>
          <w:bCs/>
        </w:rPr>
        <w:t xml:space="preserve">High nitrate:</w:t>
      </w:r>
      <w:r>
        <w:t xml:space="preserve"> </w:t>
      </w:r>
      <w:r>
        <w:t xml:space="preserve">don’t use the water for infant formula, and talk with the health district about options. Under-sink reverse-osmosis units remove most nitrate, but they are not a fix for bacteria [13].</w:t>
      </w:r>
    </w:p>
    <w:p>
      <w:pPr>
        <w:pStyle w:val="FirstParagraph"/>
      </w:pPr>
      <w:r>
        <w:rPr>
          <w:b/>
          <w:bCs/>
        </w:rPr>
        <w:t xml:space="preserve">One test a year</w:t>
      </w:r>
    </w:p>
    <w:p>
      <w:pPr>
        <w:pStyle w:val="BodyText"/>
      </w:pPr>
      <w:r>
        <w:t xml:space="preserve">Testing your well is a small, cheap habit, about as much trouble as a dentist appointment. Most of the time the answer will be reassuring, and then you’ll know. When it isn’t, you’ll have caught it early, while the fix is still simple.</w:t>
      </w:r>
    </w:p>
    <w:p>
      <w:r>
        <w:pict>
          <v:rect style="width:0;height:1.5pt" o:hralign="center" o:hrstd="t" o:hr="t"/>
        </w:pict>
      </w:r>
    </w:p>
    <w:bookmarkEnd w:id="9"/>
    <w:bookmarkStart w:id="10" w:name="sidebar-your-well-in-five-steps"/>
    <w:p>
      <w:pPr>
        <w:pStyle w:val="Heading2"/>
      </w:pPr>
      <w:r>
        <w:t xml:space="preserve">Sidebar:</w:t>
      </w:r>
      <w:r>
        <w:t xml:space="preserve"> </w:t>
      </w:r>
      <w:r>
        <w:t xml:space="preserve">“Your well, in five steps”</w:t>
      </w:r>
    </w:p>
    <w:p>
      <w:pPr>
        <w:pStyle w:val="Compact"/>
        <w:numPr>
          <w:ilvl w:val="0"/>
          <w:numId w:val="1008"/>
        </w:numPr>
      </w:pPr>
      <w:r>
        <w:rPr>
          <w:b/>
          <w:bCs/>
        </w:rPr>
        <w:t xml:space="preserve">Test every year</w:t>
      </w:r>
      <w:r>
        <w:t xml:space="preserve"> </w:t>
      </w:r>
      <w:r>
        <w:t xml:space="preserve">for bacteria and nitrate, and</w:t>
      </w:r>
      <w:r>
        <w:t xml:space="preserve"> </w:t>
      </w:r>
      <w:r>
        <w:rPr>
          <w:b/>
          <w:bCs/>
        </w:rPr>
        <w:t xml:space="preserve">right away</w:t>
      </w:r>
      <w:r>
        <w:t xml:space="preserve"> </w:t>
      </w:r>
      <w:r>
        <w:t xml:space="preserve">after a flood, before a baby comes home, or if the water changes.</w:t>
      </w:r>
    </w:p>
    <w:p>
      <w:pPr>
        <w:pStyle w:val="Compact"/>
        <w:numPr>
          <w:ilvl w:val="0"/>
          <w:numId w:val="1008"/>
        </w:numPr>
      </w:pPr>
      <w:r>
        <w:rPr>
          <w:b/>
          <w:bCs/>
        </w:rPr>
        <w:t xml:space="preserve">Know your well:</w:t>
      </w:r>
    </w:p>
    <w:p>
      <w:pPr>
        <w:pStyle w:val="Compact"/>
        <w:numPr>
          <w:ilvl w:val="1"/>
          <w:numId w:val="1009"/>
        </w:numPr>
      </w:pPr>
      <w:r>
        <w:t xml:space="preserve">Is it drilled, bored or dug?</w:t>
      </w:r>
    </w:p>
    <w:p>
      <w:pPr>
        <w:pStyle w:val="Compact"/>
        <w:numPr>
          <w:ilvl w:val="1"/>
          <w:numId w:val="1009"/>
        </w:numPr>
      </w:pPr>
      <w:r>
        <w:t xml:space="preserve">How deep is it?</w:t>
      </w:r>
    </w:p>
    <w:p>
      <w:pPr>
        <w:pStyle w:val="Compact"/>
        <w:numPr>
          <w:ilvl w:val="1"/>
          <w:numId w:val="1009"/>
        </w:numPr>
      </w:pPr>
      <w:r>
        <w:t xml:space="preserve">Is the cap tight and the casing above ground?</w:t>
      </w:r>
    </w:p>
    <w:p>
      <w:pPr>
        <w:pStyle w:val="Compact"/>
        <w:numPr>
          <w:ilvl w:val="0"/>
          <w:numId w:val="1000"/>
        </w:numPr>
      </w:pPr>
      <w:r>
        <w:t xml:space="preserve">The health district may have the permit.</w:t>
      </w:r>
    </w:p>
    <w:p>
      <w:pPr>
        <w:pStyle w:val="Compact"/>
        <w:numPr>
          <w:ilvl w:val="0"/>
          <w:numId w:val="1008"/>
        </w:numPr>
      </w:pPr>
      <w:r>
        <w:rPr>
          <w:b/>
          <w:bCs/>
        </w:rPr>
        <w:t xml:space="preserve">Keep the septic system working,</w:t>
      </w:r>
      <w:r>
        <w:t xml:space="preserve"> </w:t>
      </w:r>
      <w:r>
        <w:t xml:space="preserve">and know how far it is from the well (Part 1 of this series).</w:t>
      </w:r>
    </w:p>
    <w:p>
      <w:pPr>
        <w:pStyle w:val="Compact"/>
        <w:numPr>
          <w:ilvl w:val="0"/>
          <w:numId w:val="1008"/>
        </w:numPr>
      </w:pPr>
      <w:r>
        <w:rPr>
          <w:b/>
          <w:bCs/>
        </w:rPr>
        <w:t xml:space="preserve">Babies under six months:</w:t>
      </w:r>
      <w:r>
        <w:t xml:space="preserve"> </w:t>
      </w:r>
      <w:r>
        <w:t xml:space="preserve">use tested or bottled water for formula. Never boil water to</w:t>
      </w:r>
      <w:r>
        <w:t xml:space="preserve"> </w:t>
      </w:r>
      <w:r>
        <w:t xml:space="preserve">“fix”</w:t>
      </w:r>
      <w:r>
        <w:t xml:space="preserve"> </w:t>
      </w:r>
      <w:r>
        <w:t xml:space="preserve">nitrate.</w:t>
      </w:r>
    </w:p>
    <w:p>
      <w:pPr>
        <w:pStyle w:val="Compact"/>
        <w:numPr>
          <w:ilvl w:val="0"/>
          <w:numId w:val="1008"/>
        </w:numPr>
      </w:pPr>
      <w:r>
        <w:rPr>
          <w:b/>
          <w:bCs/>
        </w:rPr>
        <w:t xml:space="preserve">On a low-sodium diet?</w:t>
      </w:r>
      <w:r>
        <w:t xml:space="preserve"> </w:t>
      </w:r>
      <w:r>
        <w:t xml:space="preserve">Sodium above EPA’s 20 mg/L guidance level turned up in 43% of Shore clinic samples [3]. It comes from the Shore’s sediments and from water softeners. Ask your doctor whether you should drink softened water.</w:t>
      </w:r>
    </w:p>
    <w:bookmarkEnd w:id="10"/>
    <w:bookmarkStart w:id="11" w:name="sidebar-where-to-call"/>
    <w:p>
      <w:pPr>
        <w:pStyle w:val="Heading2"/>
      </w:pPr>
      <w:r>
        <w:t xml:space="preserve">Sidebar:</w:t>
      </w:r>
      <w:r>
        <w:t xml:space="preserve"> </w:t>
      </w:r>
      <w:r>
        <w:t xml:space="preserve">“Where to call”</w:t>
      </w:r>
    </w:p>
    <w:p>
      <w:pPr>
        <w:pStyle w:val="Compact"/>
        <w:numPr>
          <w:ilvl w:val="0"/>
          <w:numId w:val="1010"/>
        </w:numPr>
      </w:pPr>
      <w:r>
        <w:rPr>
          <w:b/>
          <w:bCs/>
        </w:rPr>
        <w:t xml:space="preserve">Well testing (Virginia Household Water Quality Program):</w:t>
      </w:r>
    </w:p>
    <w:p>
      <w:pPr>
        <w:pStyle w:val="Compact"/>
        <w:numPr>
          <w:ilvl w:val="1"/>
          <w:numId w:val="1011"/>
        </w:numPr>
      </w:pPr>
      <w:r>
        <w:t xml:space="preserve">Accomack Extension, (757) 787-1361</w:t>
      </w:r>
    </w:p>
    <w:p>
      <w:pPr>
        <w:pStyle w:val="Compact"/>
        <w:numPr>
          <w:ilvl w:val="1"/>
          <w:numId w:val="1011"/>
        </w:numPr>
      </w:pPr>
      <w:r>
        <w:t xml:space="preserve">Northampton Extension, (757) 678-7946</w:t>
      </w:r>
    </w:p>
    <w:p>
      <w:pPr>
        <w:pStyle w:val="Compact"/>
        <w:numPr>
          <w:ilvl w:val="0"/>
          <w:numId w:val="1010"/>
        </w:numPr>
      </w:pPr>
      <w:r>
        <w:rPr>
          <w:b/>
          <w:bCs/>
        </w:rPr>
        <w:t xml:space="preserve">Questions about results, flooded wells, or well records:</w:t>
      </w:r>
      <w:r>
        <w:t xml:space="preserve"> </w:t>
      </w:r>
      <w:r>
        <w:t xml:space="preserve">Eastern Shore Health District, Environmental Health, (757) 787-5886.</w:t>
      </w:r>
    </w:p>
    <w:p>
      <w:pPr>
        <w:pStyle w:val="Compact"/>
        <w:numPr>
          <w:ilvl w:val="0"/>
          <w:numId w:val="1010"/>
        </w:numPr>
      </w:pPr>
      <w:r>
        <w:rPr>
          <w:b/>
          <w:bCs/>
        </w:rPr>
        <w:t xml:space="preserve">Infant formula and nitrate:</w:t>
      </w:r>
      <w:r>
        <w:t xml:space="preserve"> </w:t>
      </w:r>
      <w:r>
        <w:t xml:space="preserve">your child’s pediatrician, or the health district.</w:t>
      </w:r>
    </w:p>
    <w:p>
      <w:pPr>
        <w:pStyle w:val="Compact"/>
        <w:numPr>
          <w:ilvl w:val="0"/>
          <w:numId w:val="1010"/>
        </w:numPr>
      </w:pPr>
      <w:r>
        <w:rPr>
          <w:b/>
          <w:bCs/>
        </w:rPr>
        <w:t xml:space="preserve">Help with the testing fee:</w:t>
      </w:r>
      <w:r>
        <w:t xml:space="preserve"> </w:t>
      </w:r>
      <w:r>
        <w:t xml:space="preserve">ask Extension. SERCAP has helped cover fees for Shore residents.</w:t>
      </w:r>
    </w:p>
    <w:p>
      <w:r>
        <w:pict>
          <v:rect style="width:0;height:1.5pt" o:hralign="center" o:hrstd="t" o:hr="t"/>
        </w:pict>
      </w:r>
    </w:p>
    <w:bookmarkEnd w:id="11"/>
    <w:bookmarkStart w:id="24" w:name="sources-and-citations"/>
    <w:p>
      <w:pPr>
        <w:pStyle w:val="Heading2"/>
      </w:pPr>
      <w:r>
        <w:t xml:space="preserve">Sources and citations</w:t>
      </w:r>
    </w:p>
    <w:p>
      <w:pPr>
        <w:pStyle w:val="FirstParagraph"/>
      </w:pPr>
      <w:r>
        <w:t xml:space="preserve">[1]</w:t>
      </w:r>
      <w:r>
        <w:t xml:space="preserve"> </w:t>
      </w:r>
      <w:r>
        <w:rPr>
          <w:b/>
          <w:bCs/>
        </w:rPr>
        <w:t xml:space="preserve">Virginia does not require private well owners to test</w:t>
      </w:r>
      <w:r>
        <w:t xml:space="preserve"> </w:t>
      </w:r>
      <w:r>
        <w:t xml:space="preserve">(VDH tests only new wells, for bacteria at construction): VDH,</w:t>
      </w:r>
      <w:r>
        <w:t xml:space="preserve"> </w:t>
      </w:r>
      <w:r>
        <w:rPr>
          <w:i/>
          <w:iCs/>
        </w:rPr>
        <w:t xml:space="preserve">Guidance on Testing Your Private Well Water</w:t>
      </w:r>
      <w:r>
        <w:t xml:space="preserve">.</w:t>
      </w:r>
      <w:r>
        <w:t xml:space="preserve"> </w:t>
      </w:r>
      <w:hyperlink r:id="rId12">
        <w:r>
          <w:rPr>
            <w:rStyle w:val="Hyperlink"/>
          </w:rPr>
          <w:t xml:space="preserve">https://www.vdh.virginia.gov/environmental-health/onsite-sewage-water-services-updated/organizations/private-well-water-information/guidance-on-testing-your-private-well-water/</w:t>
        </w:r>
      </w:hyperlink>
    </w:p>
    <w:p>
      <w:pPr>
        <w:pStyle w:val="BodyText"/>
      </w:pPr>
      <w:r>
        <w:t xml:space="preserve">[2]</w:t>
      </w:r>
      <w:r>
        <w:t xml:space="preserve"> </w:t>
      </w:r>
      <w:r>
        <w:rPr>
          <w:b/>
          <w:bCs/>
        </w:rPr>
        <w:t xml:space="preserve">The Safe Drinking Water Act does not cover private wells:</w:t>
      </w:r>
      <w:r>
        <w:t xml:space="preserve"> </w:t>
      </w:r>
      <w:r>
        <w:t xml:space="preserve">U.S. EPA,</w:t>
      </w:r>
      <w:r>
        <w:t xml:space="preserve"> </w:t>
      </w:r>
      <w:r>
        <w:rPr>
          <w:i/>
          <w:iCs/>
        </w:rPr>
        <w:t xml:space="preserve">Private Drinking Water Wells</w:t>
      </w:r>
      <w:r>
        <w:t xml:space="preserve">.</w:t>
      </w:r>
      <w:r>
        <w:t xml:space="preserve"> </w:t>
      </w:r>
      <w:hyperlink r:id="rId13">
        <w:r>
          <w:rPr>
            <w:rStyle w:val="Hyperlink"/>
          </w:rPr>
          <w:t xml:space="preserve">https://www.epa.gov/privatewells</w:t>
        </w:r>
      </w:hyperlink>
    </w:p>
    <w:p>
      <w:pPr>
        <w:pStyle w:val="BodyText"/>
      </w:pPr>
      <w:r>
        <w:t xml:space="preserve">[3]</w:t>
      </w:r>
      <w:r>
        <w:t xml:space="preserve"> </w:t>
      </w:r>
      <w:r>
        <w:rPr>
          <w:b/>
          <w:bCs/>
        </w:rPr>
        <w:t xml:space="preserve">Shore well-testing results (2014–2017; 340 samples):</w:t>
      </w:r>
      <w:r>
        <w:t xml:space="preserve"> </w:t>
      </w:r>
      <w:r>
        <w:t xml:space="preserve">- Coliform 27%, E. coli 4%, other contaminants (including nitrate) under 5%.</w:t>
      </w:r>
      <w:r>
        <w:t xml:space="preserve"> </w:t>
      </w:r>
      <w:r>
        <w:t xml:space="preserve">- Sodium above 20 mg/L in 43%.</w:t>
      </w:r>
      <w:r>
        <w:t xml:space="preserve"> </w:t>
      </w:r>
      <w:r>
        <w:t xml:space="preserve">- About one-third of participants didn’t know their well type.</w:t>
      </w:r>
    </w:p>
    <w:p>
      <w:pPr>
        <w:pStyle w:val="BodyText"/>
      </w:pPr>
      <w:r>
        <w:t xml:space="preserve">Source: Virginia Household Water Quality Program.</w:t>
      </w:r>
      <w:r>
        <w:t xml:space="preserve"> </w:t>
      </w:r>
      <w:r>
        <w:rPr>
          <w:i/>
          <w:iCs/>
        </w:rPr>
        <w:t xml:space="preserve">Household Water Quality, Eastern Shore 2014–2017.</w:t>
      </w:r>
      <w:r>
        <w:t xml:space="preserve"> </w:t>
      </w:r>
      <w:r>
        <w:t xml:space="preserve">Virginia Cooperative Extension (Ling, Benham &amp; Slagle, 2020).</w:t>
      </w:r>
      <w:r>
        <w:t xml:space="preserve"> </w:t>
      </w:r>
      <w:hyperlink r:id="rId14">
        <w:r>
          <w:rPr>
            <w:rStyle w:val="Hyperlink"/>
          </w:rPr>
          <w:t xml:space="preserve">http://hdl.handle.net/10919/98276</w:t>
        </w:r>
      </w:hyperlink>
    </w:p>
    <w:p>
      <w:pPr>
        <w:pStyle w:val="BodyText"/>
      </w:pPr>
      <w:r>
        <w:t xml:space="preserve">See also Ross et al. 2000 (1999 Shore clinics: coliform 22%, E. coli 2%, nitrate above 10 mg/L</w:t>
      </w:r>
      <w:r>
        <w:t xml:space="preserve"> </w:t>
      </w:r>
      <w:r>
        <w:t xml:space="preserve">“not a widespread problem”</w:t>
      </w:r>
      <w:r>
        <w:t xml:space="preserve">).</w:t>
      </w:r>
      <w:r>
        <w:t xml:space="preserve"> </w:t>
      </w:r>
      <w:hyperlink r:id="rId15">
        <w:r>
          <w:rPr>
            <w:rStyle w:val="Hyperlink"/>
          </w:rPr>
          <w:t xml:space="preserve">https://vtechworks.lib.vt.edu/items/02e39b90-b3d8-48dc-b28a-3068b42db804</w:t>
        </w:r>
      </w:hyperlink>
    </w:p>
    <w:p>
      <w:pPr>
        <w:pStyle w:val="BodyText"/>
      </w:pPr>
      <w:r>
        <w:t xml:space="preserve">[4]</w:t>
      </w:r>
      <w:r>
        <w:t xml:space="preserve"> </w:t>
      </w:r>
      <w:r>
        <w:rPr>
          <w:b/>
          <w:bCs/>
        </w:rPr>
        <w:t xml:space="preserve">Most Shore domestic wells draw from the confined Yorktown–Eastover aquifers</w:t>
      </w:r>
      <w:r>
        <w:t xml:space="preserve"> </w:t>
      </w:r>
      <w:r>
        <w:t xml:space="preserve">(median screen depth ~190 ft Accomack, ~160 ft Northampton): Pope JP, Speiran GK, et al. 2008. USGS Scientific Investigations Report 2007-5250.</w:t>
      </w:r>
      <w:r>
        <w:t xml:space="preserve"> </w:t>
      </w:r>
      <w:hyperlink r:id="rId16">
        <w:r>
          <w:rPr>
            <w:rStyle w:val="Hyperlink"/>
          </w:rPr>
          <w:t xml:space="preserve">https://pubs.usgs.gov/sir/2007/5250/</w:t>
        </w:r>
      </w:hyperlink>
    </w:p>
    <w:p>
      <w:pPr>
        <w:pStyle w:val="BodyText"/>
      </w:pPr>
      <w:r>
        <w:t xml:space="preserve">[5]</w:t>
      </w:r>
      <w:r>
        <w:t xml:space="preserve"> </w:t>
      </w:r>
      <w:r>
        <w:rPr>
          <w:b/>
          <w:bCs/>
        </w:rPr>
        <w:t xml:space="preserve">Setbacks between wells and septic components:</w:t>
      </w:r>
      <w:r>
        <w:t xml:space="preserve"> </w:t>
      </w:r>
      <w:r>
        <w:t xml:space="preserve">Private Well Regulations, 12VAC5-630-380, Table 1.</w:t>
      </w:r>
      <w:r>
        <w:t xml:space="preserve"> </w:t>
      </w:r>
      <w:hyperlink r:id="rId17">
        <w:r>
          <w:rPr>
            <w:rStyle w:val="Hyperlink"/>
          </w:rPr>
          <w:t xml:space="preserve">https://law.lis.virginia.gov/admincode/title12/agency5/chapter630/section380/</w:t>
        </w:r>
      </w:hyperlink>
    </w:p>
    <w:p>
      <w:pPr>
        <w:pStyle w:val="BodyText"/>
      </w:pPr>
      <w:r>
        <w:t xml:space="preserve">[6]</w:t>
      </w:r>
      <w:r>
        <w:t xml:space="preserve"> </w:t>
      </w:r>
      <w:r>
        <w:rPr>
          <w:b/>
          <w:bCs/>
        </w:rPr>
        <w:t xml:space="preserve">Testing frequency:</w:t>
      </w:r>
      <w:r>
        <w:t xml:space="preserve"> </w:t>
      </w:r>
      <w:r>
        <w:t xml:space="preserve">- CDC,</w:t>
      </w:r>
      <w:r>
        <w:t xml:space="preserve"> </w:t>
      </w:r>
      <w:r>
        <w:rPr>
          <w:i/>
          <w:iCs/>
        </w:rPr>
        <w:t xml:space="preserve">Guidelines for Testing Well Water.</w:t>
      </w:r>
      <w:r>
        <w:t xml:space="preserve"> </w:t>
      </w:r>
      <w:hyperlink r:id="rId18">
        <w:r>
          <w:rPr>
            <w:rStyle w:val="Hyperlink"/>
          </w:rPr>
          <w:t xml:space="preserve">https://www.cdc.gov/drinking-water/safety/guidelines-for-testing-well-water.html</w:t>
        </w:r>
      </w:hyperlink>
      <w:r>
        <w:t xml:space="preserve"> </w:t>
      </w:r>
      <w:r>
        <w:t xml:space="preserve">- VDH (ref. 1).</w:t>
      </w:r>
    </w:p>
    <w:p>
      <w:pPr>
        <w:pStyle w:val="BodyText"/>
      </w:pPr>
      <w:r>
        <w:t xml:space="preserve">[7]</w:t>
      </w:r>
      <w:r>
        <w:t xml:space="preserve"> </w:t>
      </w:r>
      <w:r>
        <w:rPr>
          <w:b/>
          <w:bCs/>
        </w:rPr>
        <w:t xml:space="preserve">Testing frequency (Extension):</w:t>
      </w:r>
      <w:r>
        <w:t xml:space="preserve"> </w:t>
      </w:r>
      <w:r>
        <w:t xml:space="preserve">Virginia Cooperative Extension, BSE-367 (2025).</w:t>
      </w:r>
      <w:r>
        <w:t xml:space="preserve"> </w:t>
      </w:r>
      <w:hyperlink r:id="rId19">
        <w:r>
          <w:rPr>
            <w:rStyle w:val="Hyperlink"/>
          </w:rPr>
          <w:t xml:space="preserve">https://pubs.ext.vt.edu/BSE/BSE-367/BSE-367.html</w:t>
        </w:r>
      </w:hyperlink>
    </w:p>
    <w:p>
      <w:pPr>
        <w:pStyle w:val="BodyText"/>
      </w:pPr>
      <w:r>
        <w:t xml:space="preserve">[8]</w:t>
      </w:r>
      <w:r>
        <w:t xml:space="preserve"> </w:t>
      </w:r>
      <w:r>
        <w:rPr>
          <w:b/>
          <w:bCs/>
        </w:rPr>
        <w:t xml:space="preserve">Flooded wells:</w:t>
      </w:r>
      <w:r>
        <w:t xml:space="preserve"> </w:t>
      </w:r>
      <w:r>
        <w:t xml:space="preserve">VDH, flood guidance for private wells.</w:t>
      </w:r>
      <w:r>
        <w:t xml:space="preserve"> </w:t>
      </w:r>
      <w:hyperlink r:id="rId20">
        <w:r>
          <w:rPr>
            <w:rStyle w:val="Hyperlink"/>
          </w:rPr>
          <w:t xml:space="preserve">https://vdh.virginia.gov/news/?p=12002</w:t>
        </w:r>
      </w:hyperlink>
    </w:p>
    <w:p>
      <w:pPr>
        <w:pStyle w:val="BodyText"/>
      </w:pPr>
      <w:r>
        <w:t xml:space="preserve">[9]</w:t>
      </w:r>
      <w:r>
        <w:t xml:space="preserve"> </w:t>
      </w:r>
      <w:r>
        <w:rPr>
          <w:b/>
          <w:bCs/>
        </w:rPr>
        <w:t xml:space="preserve">Infant methemoglobinemia; basis of the 10 mg/L nitrate-N standard; breastfed infants not at risk:</w:t>
      </w:r>
      <w:r>
        <w:t xml:space="preserve"> </w:t>
      </w:r>
      <w:r>
        <w:t xml:space="preserve">- Greer FR, Shannon M. 2005. Infant methemoglobinemia: the role of dietary nitrate in food and water.</w:t>
      </w:r>
      <w:r>
        <w:t xml:space="preserve"> </w:t>
      </w:r>
      <w:r>
        <w:rPr>
          <w:i/>
          <w:iCs/>
        </w:rPr>
        <w:t xml:space="preserve">Pediatrics</w:t>
      </w:r>
      <w:r>
        <w:t xml:space="preserve"> </w:t>
      </w:r>
      <w:r>
        <w:t xml:space="preserve">116(3):784–786.</w:t>
      </w:r>
      <w:r>
        <w:t xml:space="preserve"> </w:t>
      </w:r>
      <w:r>
        <w:t xml:space="preserve">- U.S. EPA,</w:t>
      </w:r>
      <w:r>
        <w:t xml:space="preserve"> </w:t>
      </w:r>
      <w:r>
        <w:rPr>
          <w:i/>
          <w:iCs/>
        </w:rPr>
        <w:t xml:space="preserve">Private Wells and Drinking Water Safety and Infants.</w:t>
      </w:r>
      <w:r>
        <w:t xml:space="preserve"> </w:t>
      </w:r>
      <w:hyperlink r:id="rId21">
        <w:r>
          <w:rPr>
            <w:rStyle w:val="Hyperlink"/>
          </w:rPr>
          <w:t xml:space="preserve">https://www.epa.gov/children/private-wells-and-drinking-water-safety-and-infants</w:t>
        </w:r>
      </w:hyperlink>
    </w:p>
    <w:p>
      <w:pPr>
        <w:pStyle w:val="BodyText"/>
      </w:pPr>
      <w:r>
        <w:t xml:space="preserve">[10]</w:t>
      </w:r>
      <w:r>
        <w:t xml:space="preserve"> </w:t>
      </w:r>
      <w:r>
        <w:rPr>
          <w:b/>
          <w:bCs/>
        </w:rPr>
        <w:t xml:space="preserve">Boiling concentrates nitrate:</w:t>
      </w:r>
      <w:r>
        <w:t xml:space="preserve"> </w:t>
      </w:r>
      <w:r>
        <w:t xml:space="preserve">VDH,</w:t>
      </w:r>
      <w:r>
        <w:t xml:space="preserve"> </w:t>
      </w:r>
      <w:r>
        <w:rPr>
          <w:i/>
          <w:iCs/>
        </w:rPr>
        <w:t xml:space="preserve">Nitrate in Private Wells</w:t>
      </w:r>
      <w:r>
        <w:t xml:space="preserve"> </w:t>
      </w:r>
      <w:r>
        <w:t xml:space="preserve">fact sheet.</w:t>
      </w:r>
      <w:r>
        <w:t xml:space="preserve"> </w:t>
      </w:r>
      <w:hyperlink r:id="rId22">
        <w:r>
          <w:rPr>
            <w:rStyle w:val="Hyperlink"/>
          </w:rPr>
          <w:t xml:space="preserve">https://vdh.virginia.gov/content/uploads/sites/20/2017/03/Nitrate-in-private-wells-1.pdf</w:t>
        </w:r>
      </w:hyperlink>
    </w:p>
    <w:p>
      <w:pPr>
        <w:pStyle w:val="BodyText"/>
      </w:pPr>
      <w:r>
        <w:t xml:space="preserve">[11]</w:t>
      </w:r>
      <w:r>
        <w:t xml:space="preserve"> </w:t>
      </w:r>
      <w:r>
        <w:rPr>
          <w:b/>
          <w:bCs/>
        </w:rPr>
        <w:t xml:space="preserve">Adult long-term effects are unsettled:</w:t>
      </w:r>
      <w:r>
        <w:t xml:space="preserve"> </w:t>
      </w:r>
      <w:r>
        <w:t xml:space="preserve">- Ward MH et al. 2018. Drinking water nitrate and human health: an updated review.</w:t>
      </w:r>
      <w:r>
        <w:t xml:space="preserve"> </w:t>
      </w:r>
      <w:r>
        <w:rPr>
          <w:i/>
          <w:iCs/>
        </w:rPr>
        <w:t xml:space="preserve">IJERPH</w:t>
      </w:r>
      <w:r>
        <w:t xml:space="preserve"> </w:t>
      </w:r>
      <w:r>
        <w:t xml:space="preserve">15(7):1557.</w:t>
      </w:r>
      <w:r>
        <w:t xml:space="preserve"> </w:t>
      </w:r>
      <w:r>
        <w:t xml:space="preserve">- Picetti R et al. 2022.</w:t>
      </w:r>
      <w:r>
        <w:t xml:space="preserve"> </w:t>
      </w:r>
      <w:r>
        <w:rPr>
          <w:i/>
          <w:iCs/>
        </w:rPr>
        <w:t xml:space="preserve">Environmental Research</w:t>
      </w:r>
      <w:r>
        <w:t xml:space="preserve"> </w:t>
      </w:r>
      <w:r>
        <w:t xml:space="preserve">210:112988 (meta-analysis: no significant association with colorectal cancer).</w:t>
      </w:r>
    </w:p>
    <w:p>
      <w:pPr>
        <w:pStyle w:val="BodyText"/>
      </w:pPr>
      <w:r>
        <w:t xml:space="preserve">[12]</w:t>
      </w:r>
      <w:r>
        <w:t xml:space="preserve"> </w:t>
      </w:r>
      <w:r>
        <w:rPr>
          <w:b/>
          <w:bCs/>
        </w:rPr>
        <w:t xml:space="preserve">Virginia Household Water Quality Program</w:t>
      </w:r>
      <w:r>
        <w:t xml:space="preserve"> </w:t>
      </w:r>
      <w:r>
        <w:t xml:space="preserve">($70; 28 items; 2026 Eastern Shore clinic Aug. 11):</w:t>
      </w:r>
      <w:r>
        <w:t xml:space="preserve"> </w:t>
      </w:r>
      <w:hyperlink r:id="rId23">
        <w:r>
          <w:rPr>
            <w:rStyle w:val="Hyperlink"/>
          </w:rPr>
          <w:t xml:space="preserve">https://www.wellwater.bse.vt.edu/</w:t>
        </w:r>
      </w:hyperlink>
    </w:p>
    <w:p>
      <w:pPr>
        <w:pStyle w:val="BodyText"/>
      </w:pPr>
      <w:r>
        <w:t xml:space="preserve">[13]</w:t>
      </w:r>
      <w:r>
        <w:t xml:space="preserve"> </w:t>
      </w:r>
      <w:r>
        <w:rPr>
          <w:b/>
          <w:bCs/>
        </w:rPr>
        <w:t xml:space="preserve">Reverse osmosis removes most nitrate but is not recommended for microorganisms:</w:t>
      </w:r>
      <w:r>
        <w:t xml:space="preserve"> </w:t>
      </w:r>
      <w:r>
        <w:t xml:space="preserve">University of Nebraska–Lincoln Extension, G1490,</w:t>
      </w:r>
      <w:r>
        <w:t xml:space="preserve"> </w:t>
      </w:r>
      <w:r>
        <w:rPr>
          <w:i/>
          <w:iCs/>
        </w:rPr>
        <w:t xml:space="preserve">Drinking Water Treatment: Reverse Osmosis.</w:t>
      </w:r>
    </w:p>
    <w:p>
      <w:r>
        <w:pict>
          <v:rect style="width:0;height:1.5pt" o:hralign="center" o:hrstd="t" o:hr="t"/>
        </w:pict>
      </w:r>
    </w:p>
    <w:bookmarkEnd w:id="24"/>
    <w:bookmarkStart w:id="25" w:name="editorial-notes-not-for-publication"/>
    <w:p>
      <w:pPr>
        <w:pStyle w:val="Heading2"/>
      </w:pPr>
      <w:r>
        <w:t xml:space="preserve">Editorial notes (not for publication)</w:t>
      </w:r>
    </w:p>
    <w:p>
      <w:pPr>
        <w:pStyle w:val="FirstParagraph"/>
      </w:pPr>
      <w:r>
        <w:rPr>
          <w:b/>
          <w:bCs/>
        </w:rPr>
        <w:t xml:space="preserve">What changed from the earlier health draft, and why.</w:t>
      </w:r>
      <w:r>
        <w:t xml:space="preserve"> </w:t>
      </w:r>
      <w:r>
        <w:t xml:space="preserve">The October 2026 review found that the earlier draft’s headline numbers didn’t hold up:</w:t>
      </w:r>
    </w:p>
    <w:p>
      <w:pPr>
        <w:pStyle w:val="Compact"/>
        <w:numPr>
          <w:ilvl w:val="0"/>
          <w:numId w:val="1012"/>
        </w:numPr>
      </w:pPr>
      <w:r>
        <w:rPr>
          <w:b/>
          <w:bCs/>
        </w:rPr>
        <w:t xml:space="preserve">“43 percent of tested Shore wells have shown contamination.”</w:t>
      </w:r>
      <w:r>
        <w:t xml:space="preserve"> </w:t>
      </w:r>
      <w:r>
        <w:t xml:space="preserve">The 43% is the share of samples above EPA’s</w:t>
      </w:r>
      <w:r>
        <w:t xml:space="preserve"> </w:t>
      </w:r>
      <w:r>
        <w:rPr>
          <w:i/>
          <w:iCs/>
        </w:rPr>
        <w:t xml:space="preserve">sodium</w:t>
      </w:r>
      <w:r>
        <w:t xml:space="preserve"> </w:t>
      </w:r>
      <w:r>
        <w:t xml:space="preserve">guidance level. The bacteria and nitrate numbers from the same clinics are used here instead.</w:t>
      </w:r>
    </w:p>
    <w:p>
      <w:pPr>
        <w:pStyle w:val="Compact"/>
        <w:numPr>
          <w:ilvl w:val="0"/>
          <w:numId w:val="1012"/>
        </w:numPr>
      </w:pPr>
      <w:r>
        <w:rPr>
          <w:b/>
          <w:bCs/>
        </w:rPr>
        <w:t xml:space="preserve">“The water in your glass came out of the same shallow aquifer your neighbor’s drainfield empties into.”</w:t>
      </w:r>
      <w:r>
        <w:t xml:space="preserve"> </w:t>
      </w:r>
      <w:r>
        <w:t xml:space="preserve">Most Shore household wells are deep and draw from the protected confined aquifers. The honest version is that the weak points are the well itself and what’s near it.</w:t>
      </w:r>
    </w:p>
    <w:p>
      <w:pPr>
        <w:pStyle w:val="Compact"/>
        <w:numPr>
          <w:ilvl w:val="0"/>
          <w:numId w:val="1012"/>
        </w:numPr>
      </w:pPr>
      <w:r>
        <w:rPr>
          <w:b/>
          <w:bCs/>
        </w:rPr>
        <w:t xml:space="preserve">Chincoteague</w:t>
      </w:r>
      <w:r>
        <w:rPr>
          <w:b/>
          <w:bCs/>
        </w:rPr>
        <w:t xml:space="preserve"> </w:t>
      </w:r>
      <w:r>
        <w:rPr>
          <w:b/>
          <w:bCs/>
        </w:rPr>
        <w:t xml:space="preserve">“lost its groundwater to septic.”</w:t>
      </w:r>
      <w:r>
        <w:t xml:space="preserve"> </w:t>
      </w:r>
      <w:r>
        <w:t xml:space="preserve">No source supports a septic cause; island water was brackish. This was removed.</w:t>
      </w:r>
    </w:p>
    <w:p>
      <w:pPr>
        <w:pStyle w:val="Compact"/>
        <w:numPr>
          <w:ilvl w:val="0"/>
          <w:numId w:val="1012"/>
        </w:numPr>
      </w:pPr>
      <w:r>
        <w:rPr>
          <w:b/>
          <w:bCs/>
        </w:rPr>
        <w:t xml:space="preserve">Thyroid disruption at 5 mg/L.</w:t>
      </w:r>
      <w:r>
        <w:t xml:space="preserve"> </w:t>
      </w:r>
      <w:r>
        <w:t xml:space="preserve">The cited study found</w:t>
      </w:r>
      <w:r>
        <w:t xml:space="preserve"> </w:t>
      </w:r>
      <w:r>
        <w:rPr>
          <w:i/>
          <w:iCs/>
        </w:rPr>
        <w:t xml:space="preserve">no</w:t>
      </w:r>
      <w:r>
        <w:t xml:space="preserve"> </w:t>
      </w:r>
      <w:r>
        <w:t xml:space="preserve">link between drinking-water nitrate and thyroid disease. This was removed.</w:t>
      </w:r>
    </w:p>
    <w:p>
      <w:pPr>
        <w:pStyle w:val="Compact"/>
        <w:numPr>
          <w:ilvl w:val="0"/>
          <w:numId w:val="1012"/>
        </w:numPr>
      </w:pPr>
      <w:r>
        <w:rPr>
          <w:b/>
          <w:bCs/>
        </w:rPr>
        <w:t xml:space="preserve">Danish colorectal-cancer study.</w:t>
      </w:r>
      <w:r>
        <w:t xml:space="preserve"> </w:t>
      </w:r>
      <w:r>
        <w:t xml:space="preserve">Accurately reported, it’s a modest association that later meta-analyses don’t confirm, so it was reduced to one hedged sentence. The earlier draft also mixed up mg/L nitrate and mg/L nitrate-N.</w:t>
      </w:r>
    </w:p>
    <w:p>
      <w:pPr>
        <w:pStyle w:val="Compact"/>
        <w:numPr>
          <w:ilvl w:val="0"/>
          <w:numId w:val="1012"/>
        </w:numPr>
      </w:pPr>
      <w:r>
        <w:rPr>
          <w:b/>
          <w:bCs/>
        </w:rPr>
        <w:t xml:space="preserve">“Free testing days”</w:t>
      </w:r>
      <w:r>
        <w:rPr>
          <w:b/>
          <w:bCs/>
        </w:rPr>
        <w:t xml:space="preserve"> </w:t>
      </w:r>
      <w:r>
        <w:rPr>
          <w:b/>
          <w:bCs/>
        </w:rPr>
        <w:t xml:space="preserve">and</w:t>
      </w:r>
      <w:r>
        <w:rPr>
          <w:b/>
          <w:bCs/>
        </w:rPr>
        <w:t xml:space="preserve"> </w:t>
      </w:r>
      <w:r>
        <w:rPr>
          <w:b/>
          <w:bCs/>
        </w:rPr>
        <w:t xml:space="preserve">“subsidized testing on request for families with infants”</w:t>
      </w:r>
      <w:r>
        <w:rPr>
          <w:b/>
          <w:bCs/>
        </w:rPr>
        <w:t xml:space="preserve"> </w:t>
      </w:r>
      <w:r>
        <w:rPr>
          <w:b/>
          <w:bCs/>
        </w:rPr>
        <w:t xml:space="preserve">by the health district.</w:t>
      </w:r>
      <w:r>
        <w:t xml:space="preserve"> </w:t>
      </w:r>
      <w:r>
        <w:t xml:space="preserve">Neither could be confirmed; VDH does not test private wells. Both were removed. Add confirmed ESCC screening dates if and when they’re scheduled.</w:t>
      </w:r>
    </w:p>
    <w:p>
      <w:pPr>
        <w:pStyle w:val="Compact"/>
        <w:numPr>
          <w:ilvl w:val="0"/>
          <w:numId w:val="1012"/>
        </w:numPr>
      </w:pPr>
      <w:r>
        <w:rPr>
          <w:b/>
          <w:bCs/>
        </w:rPr>
        <w:t xml:space="preserve">The $20 test cost</w:t>
      </w:r>
      <w:r>
        <w:t xml:space="preserve"> </w:t>
      </w:r>
      <w:r>
        <w:t xml:space="preserve">contradicted the resource guide. The verified program price ($70) is used.</w:t>
      </w:r>
    </w:p>
    <w:p>
      <w:pPr>
        <w:pStyle w:val="FirstParagraph"/>
      </w:pPr>
      <w:r>
        <w:rPr>
          <w:b/>
          <w:bCs/>
        </w:rPr>
        <w:t xml:space="preserve">What the article now says is consistent with VDH’s observations.</w:t>
      </w:r>
      <w:r>
        <w:t xml:space="preserve"> </w:t>
      </w:r>
      <w:r>
        <w:t xml:space="preserve">No widespread illness is reported, and the clinic data show that serious problems are uncommon. That framing makes the article more credible, not less. The</w:t>
      </w:r>
      <w:r>
        <w:t xml:space="preserve"> </w:t>
      </w:r>
      <w:r>
        <w:t xml:space="preserve">“why test anyway”</w:t>
      </w:r>
      <w:r>
        <w:t xml:space="preserve"> </w:t>
      </w:r>
      <w:r>
        <w:t xml:space="preserve">case rests on facts that are true for every household:</w:t>
      </w:r>
    </w:p>
    <w:p>
      <w:pPr>
        <w:pStyle w:val="Compact"/>
        <w:numPr>
          <w:ilvl w:val="0"/>
          <w:numId w:val="1013"/>
        </w:numPr>
      </w:pPr>
      <w:r>
        <w:t xml:space="preserve">no one else tests your well;</w:t>
      </w:r>
    </w:p>
    <w:p>
      <w:pPr>
        <w:pStyle w:val="Compact"/>
        <w:numPr>
          <w:ilvl w:val="0"/>
          <w:numId w:val="1013"/>
        </w:numPr>
      </w:pPr>
      <w:r>
        <w:t xml:space="preserve">contamination is invisible;</w:t>
      </w:r>
    </w:p>
    <w:p>
      <w:pPr>
        <w:pStyle w:val="Compact"/>
        <w:numPr>
          <w:ilvl w:val="0"/>
          <w:numId w:val="1013"/>
        </w:numPr>
      </w:pPr>
      <w:r>
        <w:t xml:space="preserve">about one in four Shore samples showed coliform;</w:t>
      </w:r>
    </w:p>
    <w:p>
      <w:pPr>
        <w:pStyle w:val="Compact"/>
        <w:numPr>
          <w:ilvl w:val="0"/>
          <w:numId w:val="1013"/>
        </w:numPr>
      </w:pPr>
      <w:r>
        <w:t xml:space="preserve">infants and floods are specific, actionable triggers.</w:t>
      </w:r>
    </w:p>
    <w:p>
      <w:pPr>
        <w:pStyle w:val="FirstParagraph"/>
      </w:pPr>
      <w:r>
        <w:rPr>
          <w:b/>
          <w:bCs/>
        </w:rPr>
        <w:t xml:space="preserve">Why VDH not seeing illness doesn’t settle it.</w:t>
      </w:r>
      <w:r>
        <w:t xml:space="preserve"> </w:t>
      </w:r>
      <w:r>
        <w:t xml:space="preserve">Disease surveillance mostly catches outbreaks. A stomach bug from one household’s well is rarely lab-confirmed or traced to the water (CDC, Benedict et al. 2017,</w:t>
      </w:r>
      <w:r>
        <w:t xml:space="preserve"> </w:t>
      </w:r>
      <w:r>
        <w:rPr>
          <w:i/>
          <w:iCs/>
        </w:rPr>
        <w:t xml:space="preserve">MMWR</w:t>
      </w:r>
      <w:r>
        <w:t xml:space="preserve"> </w:t>
      </w:r>
      <w:r>
        <w:t xml:space="preserve">66:1216). That argues for routine testing; it is not evidence of hidden harm. Don’t put it in the article in a way that implies VDH is missing something.</w:t>
      </w:r>
    </w:p>
    <w:p>
      <w:pPr>
        <w:pStyle w:val="BodyText"/>
      </w:pPr>
      <w:r>
        <w:rPr>
          <w:b/>
          <w:bCs/>
        </w:rPr>
        <w:t xml:space="preserve">Confirm before publication:</w:t>
      </w:r>
      <w:r>
        <w:t xml:space="preserve"> </w:t>
      </w:r>
      <w:r>
        <w:t xml:space="preserve">1.</w:t>
      </w:r>
      <w:r>
        <w:t xml:space="preserve"> </w:t>
      </w:r>
      <w:r>
        <w:rPr>
          <w:b/>
          <w:bCs/>
        </w:rPr>
        <w:t xml:space="preserve">Extension:</w:t>
      </w:r>
      <w:r>
        <w:t xml:space="preserve"> </w:t>
      </w:r>
      <w:r>
        <w:t xml:space="preserve">whether help with the $70 fee is available for 2027, and how residents get on the next clinic list.</w:t>
      </w:r>
      <w:r>
        <w:t xml:space="preserve"> </w:t>
      </w:r>
      <w:r>
        <w:t xml:space="preserve">2.</w:t>
      </w:r>
      <w:r>
        <w:t xml:space="preserve"> </w:t>
      </w:r>
      <w:r>
        <w:rPr>
          <w:b/>
          <w:bCs/>
        </w:rPr>
        <w:t xml:space="preserve">ESHD:</w:t>
      </w:r>
      <w:r>
        <w:t xml:space="preserve"> </w:t>
      </w:r>
      <w:r>
        <w:t xml:space="preserve">the flooded-well guidance and the phone number they’d like printed.</w:t>
      </w:r>
      <w:r>
        <w:t xml:space="preserve"> </w:t>
      </w:r>
      <w:r>
        <w:t xml:space="preserve">3.</w:t>
      </w:r>
      <w:r>
        <w:t xml:space="preserve"> </w:t>
      </w:r>
      <w:r>
        <w:rPr>
          <w:b/>
          <w:bCs/>
        </w:rPr>
        <w:t xml:space="preserve">A pediatrician’s review</w:t>
      </w:r>
      <w:r>
        <w:t xml:space="preserve"> </w:t>
      </w:r>
      <w:r>
        <w:t xml:space="preserve">of the infant section. This is recommended; it is the most safety-critical content.</w:t>
      </w:r>
    </w:p>
    <w:p>
      <w:pPr>
        <w:pStyle w:val="BodyText"/>
      </w:pPr>
      <w:r>
        <w:rPr>
          <w:b/>
          <w:bCs/>
        </w:rPr>
        <w:t xml:space="preserve">Spanish-language version:</w:t>
      </w:r>
      <w:r>
        <w:t xml:space="preserve"> </w:t>
      </w:r>
      <w:r>
        <w:t xml:space="preserve">recommended, especially the infant sidebar.</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hdl.handle.net/10919/98276" TargetMode="External" /><Relationship Type="http://schemas.openxmlformats.org/officeDocument/2006/relationships/hyperlink" Id="rId17" Target="https://law.lis.virginia.gov/admincode/title12/agency5/chapter630/section380/" TargetMode="External" /><Relationship Type="http://schemas.openxmlformats.org/officeDocument/2006/relationships/hyperlink" Id="rId19" Target="https://pubs.ext.vt.edu/BSE/BSE-367/BSE-367.html" TargetMode="External" /><Relationship Type="http://schemas.openxmlformats.org/officeDocument/2006/relationships/hyperlink" Id="rId16" Target="https://pubs.usgs.gov/sir/2007/5250/" TargetMode="External" /><Relationship Type="http://schemas.openxmlformats.org/officeDocument/2006/relationships/hyperlink" Id="rId22" Target="https://vdh.virginia.gov/content/uploads/sites/20/2017/03/Nitrate-in-private-wells-1.pdf" TargetMode="External" /><Relationship Type="http://schemas.openxmlformats.org/officeDocument/2006/relationships/hyperlink" Id="rId20" Target="https://vdh.virginia.gov/news/?p=12002" TargetMode="External" /><Relationship Type="http://schemas.openxmlformats.org/officeDocument/2006/relationships/hyperlink" Id="rId15" Target="https://vtechworks.lib.vt.edu/items/02e39b90-b3d8-48dc-b28a-3068b42db804" TargetMode="External" /><Relationship Type="http://schemas.openxmlformats.org/officeDocument/2006/relationships/hyperlink" Id="rId18" Target="https://www.cdc.gov/drinking-water/safety/guidelines-for-testing-well-water.html" TargetMode="External" /><Relationship Type="http://schemas.openxmlformats.org/officeDocument/2006/relationships/hyperlink" Id="rId21" Target="https://www.epa.gov/children/private-wells-and-drinking-water-safety-and-infants" TargetMode="External" /><Relationship Type="http://schemas.openxmlformats.org/officeDocument/2006/relationships/hyperlink" Id="rId13" Target="https://www.epa.gov/privatewells" TargetMode="External" /><Relationship Type="http://schemas.openxmlformats.org/officeDocument/2006/relationships/hyperlink" Id="rId12" Target="https://www.vdh.virginia.gov/environmental-health/onsite-sewage-water-services-updated/organizations/private-well-water-information/guidance-on-testing-your-private-well-water/" TargetMode="External" /><Relationship Type="http://schemas.openxmlformats.org/officeDocument/2006/relationships/hyperlink" Id="rId23" Target="https://www.wellwater.bse.vt.edu/" TargetMode="External" /></Relationships>
</file>

<file path=word/_rels/footnotes.xml.rels><?xml version="1.0" encoding="UTF-8"?><Relationships xmlns="http://schemas.openxmlformats.org/package/2006/relationships"><Relationship Type="http://schemas.openxmlformats.org/officeDocument/2006/relationships/hyperlink" Id="rId14" Target="http://hdl.handle.net/10919/98276" TargetMode="External" /><Relationship Type="http://schemas.openxmlformats.org/officeDocument/2006/relationships/hyperlink" Id="rId17" Target="https://law.lis.virginia.gov/admincode/title12/agency5/chapter630/section380/" TargetMode="External" /><Relationship Type="http://schemas.openxmlformats.org/officeDocument/2006/relationships/hyperlink" Id="rId19" Target="https://pubs.ext.vt.edu/BSE/BSE-367/BSE-367.html" TargetMode="External" /><Relationship Type="http://schemas.openxmlformats.org/officeDocument/2006/relationships/hyperlink" Id="rId16" Target="https://pubs.usgs.gov/sir/2007/5250/" TargetMode="External" /><Relationship Type="http://schemas.openxmlformats.org/officeDocument/2006/relationships/hyperlink" Id="rId22" Target="https://vdh.virginia.gov/content/uploads/sites/20/2017/03/Nitrate-in-private-wells-1.pdf" TargetMode="External" /><Relationship Type="http://schemas.openxmlformats.org/officeDocument/2006/relationships/hyperlink" Id="rId20" Target="https://vdh.virginia.gov/news/?p=12002" TargetMode="External" /><Relationship Type="http://schemas.openxmlformats.org/officeDocument/2006/relationships/hyperlink" Id="rId15" Target="https://vtechworks.lib.vt.edu/items/02e39b90-b3d8-48dc-b28a-3068b42db804" TargetMode="External" /><Relationship Type="http://schemas.openxmlformats.org/officeDocument/2006/relationships/hyperlink" Id="rId18" Target="https://www.cdc.gov/drinking-water/safety/guidelines-for-testing-well-water.html" TargetMode="External" /><Relationship Type="http://schemas.openxmlformats.org/officeDocument/2006/relationships/hyperlink" Id="rId21" Target="https://www.epa.gov/children/private-wells-and-drinking-water-safety-and-infants" TargetMode="External" /><Relationship Type="http://schemas.openxmlformats.org/officeDocument/2006/relationships/hyperlink" Id="rId13" Target="https://www.epa.gov/privatewells" TargetMode="External" /><Relationship Type="http://schemas.openxmlformats.org/officeDocument/2006/relationships/hyperlink" Id="rId12" Target="https://www.vdh.virginia.gov/environmental-health/onsite-sewage-water-services-updated/organizations/private-well-water-information/guidance-on-testing-your-private-well-water/" TargetMode="External" /><Relationship Type="http://schemas.openxmlformats.org/officeDocument/2006/relationships/hyperlink" Id="rId23" Target="https://www.wellwater.bse.vt.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2026-10-02T14:00:48Z</dcterms:created>
  <dcterms:modified xsi:type="dcterms:W3CDTF">2026-10-02T14:00:48Z</dcterms:modified>
</cp:coreProperties>
</file>

<file path=docProps/custom.xml><?xml version="1.0" encoding="utf-8"?>
<Properties xmlns="http://schemas.openxmlformats.org/officeDocument/2006/custom-properties" xmlns:vt="http://schemas.openxmlformats.org/officeDocument/2006/docPropsVTypes"/>
</file>