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b644b2723dded56267f5bd6b96f6b1cfac08c1a"/>
    <w:p>
      <w:pPr>
        <w:pStyle w:val="Heading1"/>
      </w:pPr>
      <w:r>
        <w:t xml:space="preserve">Pathway 1 — Groundwater and the sole-source Columbia aquifer</w:t>
      </w:r>
    </w:p>
    <w:p>
      <w:pPr>
        <w:pStyle w:val="Heading3"/>
      </w:pPr>
      <w:bookmarkStart w:id="9" w:name="october-2026-evidence-review"/>
      <w:r>
        <w:t xml:space="preserve">October 2026 evidence review</w:t>
      </w:r>
      <w:bookmarkEnd w:id="9"/>
    </w:p>
    <w:p>
      <w:pPr>
        <w:pStyle w:val="BlockText"/>
      </w:pPr>
      <w:r>
        <w:t xml:space="preserve">This file was audited source-by-source in October 2026. Several claims overstated the ESVA-specific evidence. Corrections are marked</w:t>
      </w:r>
      <w:r>
        <w:t xml:space="preserve"> </w:t>
      </w:r>
      <w:r>
        <w:rPr>
          <w:b/>
          <w:bCs/>
        </w:rPr>
        <w:t xml:space="preserve">[Oct 2026]</w:t>
      </w:r>
      <w:r>
        <w:t xml:space="preserve"> </w:t>
      </w:r>
      <w:r>
        <w:t xml:space="preserve">in the text:</w:t>
      </w:r>
    </w:p>
    <w:p>
      <w:pPr>
        <w:pStyle w:val="Compact"/>
        <w:numPr>
          <w:ilvl w:val="0"/>
          <w:numId w:val="1001"/>
        </w:numPr>
      </w:pPr>
      <w:r>
        <w:rPr>
          <w:b/>
          <w:bCs/>
        </w:rPr>
        <w:t xml:space="preserve">Mitchell et al. (2021)</w:t>
      </w:r>
      <w:r>
        <w:t xml:space="preserve"> </w:t>
      </w:r>
      <w:r>
        <w:t xml:space="preserve">is a Tidewater-wide analysis of VDH septic repair-permit</w:t>
      </w:r>
      <w:r>
        <w:t xml:space="preserve"> </w:t>
      </w:r>
      <w:r>
        <w:t xml:space="preserve">“hot spots”</w:t>
      </w:r>
      <w:r>
        <w:t xml:space="preserve"> </w:t>
      </w:r>
      <w:r>
        <w:t xml:space="preserve">(prevalent around Richmond and Gloucester County). It does not report Eastern Shore results separately or identify ESVA as a hot spot. It found only one septic/low-water-quality overlap in Tidewater and urged</w:t>
      </w:r>
      <w:r>
        <w:t xml:space="preserve"> </w:t>
      </w:r>
      <w:r>
        <w:t xml:space="preserve">“extreme caution.”</w:t>
      </w:r>
      <w:r>
        <w:t xml:space="preserve"> </w:t>
      </w:r>
      <w:r>
        <w:t xml:space="preserve">It does not measure nitrate transport. Its title and citation have been corrected.</w:t>
      </w:r>
    </w:p>
    <w:p>
      <w:pPr>
        <w:pStyle w:val="Compact"/>
        <w:numPr>
          <w:ilvl w:val="0"/>
          <w:numId w:val="1001"/>
        </w:numPr>
      </w:pPr>
      <w:r>
        <w:rPr>
          <w:b/>
          <w:bCs/>
        </w:rPr>
        <w:t xml:space="preserve">Sole-source aquifer.</w:t>
      </w:r>
      <w:r>
        <w:t xml:space="preserve"> </w:t>
      </w:r>
      <w:r>
        <w:t xml:space="preserve">The 1997 EPA designation covers</w:t>
      </w:r>
      <w:r>
        <w:t xml:space="preserve"> </w:t>
      </w:r>
      <w:r>
        <w:rPr>
          <w:b/>
          <w:bCs/>
        </w:rPr>
        <w:t xml:space="preserve">both</w:t>
      </w:r>
      <w:r>
        <w:t xml:space="preserve"> </w:t>
      </w:r>
      <w:r>
        <w:t xml:space="preserve">the Columbia and the deeper Yorktown–Eastover aquifer systems, and excludes Chincoteague and Tangier islands. It does not cover the Columbia alone.</w:t>
      </w:r>
    </w:p>
    <w:p>
      <w:pPr>
        <w:pStyle w:val="Compact"/>
        <w:numPr>
          <w:ilvl w:val="0"/>
          <w:numId w:val="1001"/>
        </w:numPr>
      </w:pPr>
      <w:r>
        <w:rPr>
          <w:b/>
          <w:bCs/>
        </w:rPr>
        <w:t xml:space="preserve">The ESVA nitrate studies are agricultural.</w:t>
      </w:r>
      <w:r>
        <w:t xml:space="preserve"> </w:t>
      </w:r>
      <w:r>
        <w:t xml:space="preserve">Speiran (1996, 2010) studied groundwater recharged through</w:t>
      </w:r>
      <w:r>
        <w:t xml:space="preserve"> </w:t>
      </w:r>
      <w:r>
        <w:rPr>
          <w:b/>
          <w:bCs/>
        </w:rPr>
        <w:t xml:space="preserve">agricultural fields</w:t>
      </w:r>
      <w:r>
        <w:t xml:space="preserve">, not</w:t>
      </w:r>
      <w:r>
        <w:t xml:space="preserve"> </w:t>
      </w:r>
      <w:r>
        <w:t xml:space="preserve">“septic-served areas.”</w:t>
      </w:r>
      <w:r>
        <w:t xml:space="preserve"> </w:t>
      </w:r>
      <w:r>
        <w:t xml:space="preserve">That septic nitrate behaves the same way is an inference.</w:t>
      </w:r>
    </w:p>
    <w:p>
      <w:pPr>
        <w:pStyle w:val="Compact"/>
        <w:numPr>
          <w:ilvl w:val="0"/>
          <w:numId w:val="1001"/>
        </w:numPr>
      </w:pPr>
      <w:r>
        <w:rPr>
          <w:b/>
          <w:bCs/>
        </w:rPr>
        <w:t xml:space="preserve">On ESVA, sea-level-rise</w:t>
      </w:r>
      <w:r>
        <w:rPr>
          <w:b/>
          <w:bCs/>
        </w:rPr>
        <w:t xml:space="preserve"> </w:t>
      </w:r>
      <w:r>
        <w:rPr>
          <w:b/>
          <w:bCs/>
        </w:rPr>
        <w:t xml:space="preserve">“de-rating”</w:t>
      </w:r>
      <w:r>
        <w:rPr>
          <w:b/>
          <w:bCs/>
        </w:rPr>
        <w:t xml:space="preserve"> </w:t>
      </w:r>
      <w:r>
        <w:rPr>
          <w:b/>
          <w:bCs/>
        </w:rPr>
        <w:t xml:space="preserve">is a projection.</w:t>
      </w:r>
      <w:r>
        <w:t xml:space="preserve"> </w:t>
      </w:r>
      <w:r>
        <w:t xml:space="preserve">The ESVA evidence is modeling (Hesamfar et al., in review, which is unpublished and described inconsistently across project files). It is not field observation. The mechanism has been measured in Rhode Island and North Carolina.</w:t>
      </w:r>
    </w:p>
    <w:p>
      <w:pPr>
        <w:pStyle w:val="Compact"/>
        <w:numPr>
          <w:ilvl w:val="0"/>
          <w:numId w:val="1001"/>
        </w:numPr>
      </w:pPr>
      <w:r>
        <w:rPr>
          <w:b/>
          <w:bCs/>
        </w:rPr>
        <w:t xml:space="preserve">Separation distance.</w:t>
      </w:r>
      <w:r>
        <w:t xml:space="preserve"> </w:t>
      </w:r>
      <w:r>
        <w:t xml:space="preserve">Virginia requires 18 inches of soil free of the seasonal water table immediately below the infiltrative surface (12VAC5-610-594). The</w:t>
      </w:r>
      <w:r>
        <w:t xml:space="preserve"> </w:t>
      </w:r>
      <w:r>
        <w:t xml:space="preserve">“60 cm threshold below which nitrification collapses”</w:t>
      </w:r>
      <w:r>
        <w:t xml:space="preserve"> </w:t>
      </w:r>
      <w:r>
        <w:t xml:space="preserve">is not a regulatory standard and is not verified.</w:t>
      </w:r>
    </w:p>
    <w:p>
      <w:pPr>
        <w:pStyle w:val="Compact"/>
        <w:numPr>
          <w:ilvl w:val="0"/>
          <w:numId w:val="1001"/>
        </w:numPr>
      </w:pPr>
      <w:r>
        <w:rPr>
          <w:b/>
          <w:bCs/>
        </w:rPr>
        <w:t xml:space="preserve">Relabels.</w:t>
      </w:r>
      <w:r>
        <w:t xml:space="preserve"> </w:t>
      </w:r>
      <w:r>
        <w:t xml:space="preserve">“A substantial fraction of septic N reaches tidal waters”</w:t>
      </w:r>
      <w:r>
        <w:t xml:space="preserve"> </w:t>
      </w:r>
      <w:r>
        <w:t xml:space="preserve">is now PLAUSIBLE (was STRONGLY SUPPORTED). Rising water tables compromising ESVA drainfields is now mechanism ESTABLISHED elsewhere, ESVA PLAUSIBLE (projected); it was STRONGLY SUPPORTED.</w:t>
      </w:r>
    </w:p>
    <w:p>
      <w:pPr>
        <w:pStyle w:val="Compact"/>
        <w:numPr>
          <w:ilvl w:val="0"/>
          <w:numId w:val="1001"/>
        </w:numPr>
      </w:pPr>
      <w:r>
        <w:rPr>
          <w:b/>
          <w:bCs/>
        </w:rPr>
        <w:t xml:space="preserve">Citation fixes.</w:t>
      </w:r>
      <w:r>
        <w:t xml:space="preserve"> </w:t>
      </w:r>
      <w:r>
        <w:t xml:space="preserve">Carrey et al. (2021) is a nitrate source-tracking study and does not support the microbiome claim. Humphrey et al. (2016, not 2015) is a Piedmont system-performance study, not a coastal watershed comparison. Schaider et al. is 2016, not 2014.</w:t>
      </w:r>
    </w:p>
    <w:p>
      <w:pPr>
        <w:pStyle w:val="BlockText"/>
      </w:pPr>
      <w:r>
        <w:t xml:space="preserve">See</w:t>
      </w:r>
      <w:r>
        <w:t xml:space="preserve"> </w:t>
      </w:r>
      <w:r>
        <w:rPr>
          <w:rStyle w:val="VerbatimChar"/>
        </w:rPr>
        <w:t xml:space="preserve">ECOLOGICAL_EFFECTS_SYNTHESIS.md</w:t>
      </w:r>
      <w:r>
        <w:t xml:space="preserve"> </w:t>
      </w:r>
      <w:r>
        <w:t xml:space="preserve">(October 2026 evidence review and Section 4) and</w:t>
      </w:r>
      <w:r>
        <w:t xml:space="preserve"> </w:t>
      </w:r>
      <w:r>
        <w:rPr>
          <w:rStyle w:val="VerbatimChar"/>
        </w:rPr>
        <w:t xml:space="preserve">OUTREACH_MESSAGING_REVIEW.md</w:t>
      </w:r>
      <w:r>
        <w:t xml:space="preserve">.</w:t>
      </w:r>
    </w:p>
    <w:bookmarkStart w:id="10" w:name="mechanism-of-harm"/>
    <w:p>
      <w:pPr>
        <w:pStyle w:val="Heading2"/>
      </w:pPr>
      <w:r>
        <w:t xml:space="preserve">Mechanism of harm</w:t>
      </w:r>
    </w:p>
    <w:p>
      <w:pPr>
        <w:pStyle w:val="FirstParagraph"/>
      </w:pPr>
      <w:r>
        <w:t xml:space="preserve">Conventional onsite wastewater treatment systems (OWTS) rely on an unsaturated soil treatment area (STA) beneath the drainfield to nitrify ammonium, adsorb phosphorus, attenuate pathogens, and partially degrade organic wastewater contaminants before effluent reaches the water table. Where that unsaturated zone is thin, coarse-textured, or seasonally saturated — conditions characteristic of the Columbia (surficial) aquifer underlying almost all of Virginia’s Eastern Shore (ESVA) — the STA is short-circuited and partially treated effluent enters groundwater with a chemical signature that persists for years to decades (Speiran 1996; Richardson 1994).</w:t>
      </w:r>
    </w:p>
    <w:p>
      <w:pPr>
        <w:pStyle w:val="BodyText"/>
      </w:pPr>
      <w:r>
        <w:t xml:space="preserve">Nitrogen is the most mobile and most ecologically consequential constituent. Septic effluent typically enters the STA as ~40–80 mg L⁻¹ total N, dominated by ammonium and organic N. Once nitrified to nitrate (NO₃⁻) in the unsaturated zone, nitrate is essentially conservative in the oxic, sandy Columbia aquifer: denitrification rates are low because labile organic carbon is quickly consumed near the infiltrative surface and deeper aquifer sediments are carbon-poor (Speiran 1996; Böhlke 2002). Substantial denitrification on ESVA is restricted to narrow riparian and tidal-fringe zones where groundwater intersects carbon-rich, reducing sediments before discharging to surface water (Speiran 2010; USGS 1997). The result, documented in analogue settings such as Cape Cod (Valiela et al. 1997), is a</w:t>
      </w:r>
      <w:r>
        <w:t xml:space="preserve"> </w:t>
      </w:r>
      <w:r>
        <w:t xml:space="preserve">“nitrate conveyor belt”</w:t>
      </w:r>
      <w:r>
        <w:t xml:space="preserve"> </w:t>
      </w:r>
      <w:r>
        <w:t xml:space="preserve">from drainfields through the shallow aquifer to tidal waters.</w:t>
      </w:r>
      <w:r>
        <w:t xml:space="preserve"> </w:t>
      </w:r>
      <w:r>
        <w:rPr>
          <w:b/>
          <w:bCs/>
        </w:rPr>
        <w:t xml:space="preserve">[Oct 2026]</w:t>
      </w:r>
      <w:r>
        <w:t xml:space="preserve"> </w:t>
      </w:r>
      <w:r>
        <w:t xml:space="preserve">On ESVA this is inferred from agricultural-nitrate studies (Speiran 1996, 2010); septic-derived nitrate has not been measured along ESVA flow paths. The earlier citation of Mitchell et al. (2021) here has been removed, because that paper does not measure nitrate transport.</w:t>
      </w:r>
    </w:p>
    <w:p>
      <w:pPr>
        <w:pStyle w:val="BodyText"/>
      </w:pPr>
      <w:r>
        <w:t xml:space="preserve">Phosphorus is traditionally assumed to be retained by sorption to Fe/Al oxides in the STA, but this retention is finite. Long-operating drainfields in sandy, low-oxide soils — again typical of ESVA’s Bojac/Munden soil associations — reach P saturation and exhibit breakthrough, delivering dissolved reactive phosphorus to groundwater and eventually to surface waters (Robertson et al. 1998; Lusk et al. 2017). Acidic, low-Fe coastal plain sands have shorter sorption lifetimes than inland soils, so P breakthrough on ESVA is plausible even for middle-aged systems.</w:t>
      </w:r>
    </w:p>
    <w:p>
      <w:pPr>
        <w:pStyle w:val="BodyText"/>
      </w:pPr>
      <w:r>
        <w:t xml:space="preserve">Pharmaceuticals and personal-care products (PPCPs), artificial sweeteners (sucralose, acesulfame), and per- and polyfluoroalkyl substances (PFAS) pass through conventional STAs with limited attenuation. Cape Cod plume studies have tracked sulfamethoxazole, carbamazepine, sucralose, and short-chain PFAS more than a kilometer downgradient of septic sources (Barber et al. 2015; Schaider et al. 2016; Swartz et al. 2006). Because these compounds are non-volatile and poorly sorbed in sandy aquifers, the Columbia aquifer almost certainly carries a similar chemical cocktail, though direct ESVA measurements are absent.</w:t>
      </w:r>
    </w:p>
    <w:p>
      <w:pPr>
        <w:pStyle w:val="BodyText"/>
      </w:pPr>
      <w:r>
        <w:t xml:space="preserve">Subsurface microbial communities are not passive conduits. Septic plumes restructure aquifer microbiomes, enriching ammonia oxidizers, denitrifiers (where electron donors allow), and antibiotic-resistance gene reservoirs, and suppressing oligotrophic native taxa (Amador &amp; Loomis 2020) [citation unverified — Oct 2026].</w:t>
      </w:r>
      <w:r>
        <w:t xml:space="preserve"> </w:t>
      </w:r>
      <w:r>
        <w:rPr>
          <w:b/>
          <w:bCs/>
        </w:rPr>
        <w:t xml:space="preserve">[Oct 2026]</w:t>
      </w:r>
      <w:r>
        <w:t xml:space="preserve"> </w:t>
      </w:r>
      <w:r>
        <w:t xml:space="preserve">Carrey et al. (2021), previously cited here, is a nitrate source-tracking study and does not address septic-plume microbiomes. These shifts alter in-situ biogeochemical cycling of N, Fe, Mn, and S, changing the form in which nutrients and metals are delivered to downstream ecosystems.</w:t>
      </w:r>
    </w:p>
    <w:p>
      <w:pPr>
        <w:pStyle w:val="BodyText"/>
      </w:pPr>
      <w:r>
        <w:t xml:space="preserve">Two climate-driven processes compound all of the above on ESVA. First, sea-level rise raises the water table across the peninsula, compressing the unsaturated zone beneath drainfields and mechanically short-circuiting treatment; when the water table rises into trench gravel, effluent bypasses the STA entirely (Cox et al. 2019; Mitchell et al. 2021; O’Driscoll et al. 2024). Second, saltwater intrusion along the bayside and seaside margins shifts redox and ionic-strength conditions in the shallow aquifer, potentially remobilizing sorbed phosphorus and ammonium and altering denitrification efficiency (Ardón et al. 2013; Tully et al. 2019). These two processes together mean that ESVA drainfields installed under 1980s–1990s hydrologic conditions are</w:t>
      </w:r>
      <w:r>
        <w:t xml:space="preserve"> </w:t>
      </w:r>
      <w:r>
        <w:rPr>
          <w:i/>
          <w:iCs/>
        </w:rPr>
        <w:t xml:space="preserve">projected</w:t>
      </w:r>
      <w:r>
        <w:t xml:space="preserve"> </w:t>
      </w:r>
      <w:r>
        <w:t xml:space="preserve">to be progressively</w:t>
      </w:r>
      <w:r>
        <w:t xml:space="preserve"> </w:t>
      </w:r>
      <w:r>
        <w:t xml:space="preserve">“de-rated”</w:t>
      </w:r>
      <w:r>
        <w:t xml:space="preserve"> </w:t>
      </w:r>
      <w:r>
        <w:t xml:space="preserve">as treatment infrastructure without any physical change to the system itself.</w:t>
      </w:r>
      <w:r>
        <w:t xml:space="preserve"> </w:t>
      </w:r>
      <w:r>
        <w:rPr>
          <w:b/>
          <w:bCs/>
        </w:rPr>
        <w:t xml:space="preserve">[Oct 2026]</w:t>
      </w:r>
      <w:r>
        <w:t xml:space="preserve"> </w:t>
      </w:r>
      <w:r>
        <w:t xml:space="preserve">On ESVA this is supported by modeling, not field observation. The Eastern Shore Health District sees about 90 repair permits a year (Pathway 6), roughly 0.5% of systems.</w:t>
      </w:r>
    </w:p>
    <w:bookmarkEnd w:id="10"/>
    <w:bookmarkStart w:id="11" w:name="esva-specific-evidence"/>
    <w:p>
      <w:pPr>
        <w:pStyle w:val="Heading2"/>
      </w:pPr>
      <w:r>
        <w:t xml:space="preserve">ESVA-specific evidence</w:t>
      </w:r>
    </w:p>
    <w:p>
      <w:pPr>
        <w:pStyle w:val="FirstParagraph"/>
      </w:pPr>
      <w:r>
        <w:t xml:space="preserve">ESVA is underlain by the Columbia aquifer, a shallow, unconfined, sandy surficial aquifer, and by the deeper, confined Yorktown–Eastover aquifer system.</w:t>
      </w:r>
      <w:r>
        <w:t xml:space="preserve"> </w:t>
      </w:r>
      <w:r>
        <w:rPr>
          <w:b/>
          <w:bCs/>
        </w:rPr>
        <w:t xml:space="preserve">[Oct 2026]</w:t>
      </w:r>
      <w:r>
        <w:t xml:space="preserve"> </w:t>
      </w:r>
      <w:r>
        <w:t xml:space="preserve">The 1997 EPA sole-source aquifer designation under §1424(e) of the Safe Drinking Water Act covers</w:t>
      </w:r>
      <w:r>
        <w:t xml:space="preserve"> </w:t>
      </w:r>
      <w:r>
        <w:rPr>
          <w:b/>
          <w:bCs/>
        </w:rPr>
        <w:t xml:space="preserve">both</w:t>
      </w:r>
      <w:r>
        <w:t xml:space="preserve"> </w:t>
      </w:r>
      <w:r>
        <w:t xml:space="preserve">systems, and excludes Chincoteague and Tangier islands (EPA 1997). Earlier versions described the designation as applying to the Columbia aquifer alone. The designation recognized that essentially all freshwater on the two-county peninsula (Accomack and Northampton) originates as recharge to this aquifer, which in turn discharges to the bayside creeks of Chesapeake Bay and the seaside lagoons and marshes fronting the Virginia Coast Reserve.</w:t>
      </w:r>
    </w:p>
    <w:p>
      <w:pPr>
        <w:pStyle w:val="BodyText"/>
      </w:pPr>
      <w:r>
        <w:t xml:space="preserve">The foundational hydrogeologic synthesis is Richardson (1994, USGS WSP 2401), which mapped the Columbia and underlying confined aquifers and showed that groundwater flow paths on ESVA are short (typically &lt;2 km), shallow, and dominated by discharge to tidal shorelines. Speiran’s USGS Water-Supply Paper 2479 (1996) then directly addressed nitrate fate along those flow paths, documenting that nitrate concentrations in shallow groundwater beneath agricultural fields commonly exceeded 5–10 mg L⁻¹ NO₃-N</w:t>
      </w:r>
      <w:r>
        <w:t xml:space="preserve"> </w:t>
      </w:r>
      <w:r>
        <w:rPr>
          <w:b/>
          <w:bCs/>
        </w:rPr>
        <w:t xml:space="preserve">[Oct 2026: earlier versions said</w:t>
      </w:r>
      <w:r>
        <w:rPr>
          <w:b/>
          <w:bCs/>
        </w:rPr>
        <w:t xml:space="preserve"> </w:t>
      </w:r>
      <w:r>
        <w:rPr>
          <w:b/>
          <w:bCs/>
        </w:rPr>
        <w:t xml:space="preserve">“agricultural and septic-served areas”</w:t>
      </w:r>
      <w:r>
        <w:rPr>
          <w:b/>
          <w:bCs/>
        </w:rPr>
        <w:t xml:space="preserve">; the USGS study sites recharged through agricultural fields]</w:t>
      </w:r>
      <w:r>
        <w:t xml:space="preserve"> </w:t>
      </w:r>
      <w:r>
        <w:t xml:space="preserve">and that denitrification was limited to thin riparian zones where groundwater encountered reduced, carbon-rich sediments near discharge points. Speiran’s follow-on USGS Fact Sheet (1997) and subsequent work (Speiran 2010) emphasized that forested and wetland buffers are necessary but not sufficient controls on N delivery to coastal waters, because much of ESVA’s groundwater discharges below or lateral to effective denitrifying zones.</w:t>
      </w:r>
    </w:p>
    <w:p>
      <w:pPr>
        <w:pStyle w:val="BodyText"/>
      </w:pPr>
      <w:r>
        <w:rPr>
          <w:b/>
          <w:bCs/>
        </w:rPr>
        <w:t xml:space="preserve">[Oct 2026, corrected]</w:t>
      </w:r>
      <w:r>
        <w:t xml:space="preserve"> </w:t>
      </w:r>
      <w:r>
        <w:t xml:space="preserve">Mitchell, Isdell, Herman, and Tombleson (2021, Frontiers in Marine Science 8:631757) is a</w:t>
      </w:r>
      <w:r>
        <w:t xml:space="preserve"> </w:t>
      </w:r>
      <w:r>
        <w:rPr>
          <w:b/>
          <w:bCs/>
        </w:rPr>
        <w:t xml:space="preserve">Tidewater-wide</w:t>
      </w:r>
      <w:r>
        <w:t xml:space="preserve"> </w:t>
      </w:r>
      <w:r>
        <w:t xml:space="preserve">analysis, not an ESVA study. It used 2008–2018 VDH septic repair-permit data to map septic</w:t>
      </w:r>
      <w:r>
        <w:t xml:space="preserve"> </w:t>
      </w:r>
      <w:r>
        <w:t xml:space="preserve">“hot spots”</w:t>
      </w:r>
      <w:r>
        <w:t xml:space="preserve"> </w:t>
      </w:r>
      <w:r>
        <w:t xml:space="preserve">in 1-km grid cells. The hot spots were prevalent around the City of Richmond and in Gloucester County. The paper does not report Eastern Shore results separately and does not identify ESVA as a hot spot. It found</w:t>
      </w:r>
      <w:r>
        <w:t xml:space="preserve"> </w:t>
      </w:r>
      <w:r>
        <w:t xml:space="preserve">“only one incident where a low WQ region overlapped directly with a septic hot spot in Tidewater Virginia,”</w:t>
      </w:r>
      <w:r>
        <w:t xml:space="preserve"> </w:t>
      </w:r>
      <w:r>
        <w:t xml:space="preserve">and warned that</w:t>
      </w:r>
      <w:r>
        <w:t xml:space="preserve"> </w:t>
      </w:r>
      <w:r>
        <w:t xml:space="preserve">“any correlation should be viewed with extreme caution.”</w:t>
      </w:r>
      <w:r>
        <w:t xml:space="preserve"> </w:t>
      </w:r>
      <w:r>
        <w:t xml:space="preserve">It concluded that the data needed to quantify these impacts statewide are lacking. Its general argument is that sea-level rise will raise water tables and threaten septic function along Virginia’s rural coast. Hesamfar et al. (in review, J. Hydrology) is described as a SEAWAT variable-density flow and transport model for portions of ESVA. It couples recharge, pumping, and sea-level forcing to project where the Columbia aquifer’s saline interface will migrate and where the water table will intersect existing drainfields. Preliminary results are reported to indicate that by mid-century a substantial fraction of bayside and seaside drainfields will have &lt;60 cm vertical separation distance (O’Driscoll et al. 2014, 2024).</w:t>
      </w:r>
      <w:r>
        <w:t xml:space="preserve"> </w:t>
      </w:r>
      <w:r>
        <w:rPr>
          <w:b/>
          <w:bCs/>
        </w:rPr>
        <w:t xml:space="preserve">[Oct 2026]</w:t>
      </w:r>
      <w:r>
        <w:t xml:space="preserve"> </w:t>
      </w:r>
      <w:r>
        <w:t xml:space="preserve">These preliminary results are unpublished and cannot be checked. This paper is also described differently in Pathway 6 and the bibliography (as a recharge study with a different author list). The 60 cm figure is not Virginia’s standard: Virginia requires 18 inches (≈46 cm) of soil free of the seasonal water table immediately below the infiltrative surface (12VAC5-610-594). The earlier description of 60 cm as</w:t>
      </w:r>
      <w:r>
        <w:t xml:space="preserve"> </w:t>
      </w:r>
      <w:r>
        <w:t xml:space="preserve">“the threshold below which nitrification collapses”</w:t>
      </w:r>
      <w:r>
        <w:t xml:space="preserve"> </w:t>
      </w:r>
      <w:r>
        <w:t xml:space="preserve">is not supported by the cited work [citation unverified — Oct 2026].</w:t>
      </w:r>
    </w:p>
    <w:p>
      <w:pPr>
        <w:pStyle w:val="BodyText"/>
      </w:pPr>
      <w:r>
        <w:t xml:space="preserve">ESVA-specific ecological (non-human-health) evidence tying septic-derived groundwater chemistry directly to downstream ecological response remains thin. There are no published ESVA studies quantifying PPCPs, PFAS, or antibiotic-resistance genes in the Columbia aquifer beneath septic clusters; no direct ESVA measurements of P breakthrough from aged drainfields; and no published microbial-community surveys of septic plumes in the Columbia aquifer. The Mitchell et al. (2021) repair-permit analysis (Tidewater-wide) and Hesamfar et al. (in review) are exposure or vulnerability assessments, not effects studies</w:t>
      </w:r>
      <w:r>
        <w:t xml:space="preserve"> </w:t>
      </w:r>
      <w:r>
        <w:rPr>
          <w:b/>
          <w:bCs/>
        </w:rPr>
        <w:t xml:space="preserve">[Oct 2026]</w:t>
      </w:r>
      <w:r>
        <w:t xml:space="preserve">.</w:t>
      </w:r>
    </w:p>
    <w:bookmarkEnd w:id="11"/>
    <w:bookmarkStart w:id="12" w:name="analogue-region-evidence"/>
    <w:p>
      <w:pPr>
        <w:pStyle w:val="Heading2"/>
      </w:pPr>
      <w:r>
        <w:t xml:space="preserve">Analogue-region evidence</w:t>
      </w:r>
    </w:p>
    <w:p>
      <w:pPr>
        <w:pStyle w:val="FirstParagraph"/>
      </w:pPr>
      <w:r>
        <w:rPr>
          <w:b/>
          <w:bCs/>
        </w:rPr>
        <w:t xml:space="preserve">Cape Cod, Massachusetts (USGS Toxics plume; Massachusetts Military Reservation).</w:t>
      </w:r>
      <w:r>
        <w:t xml:space="preserve"> </w:t>
      </w:r>
      <w:r>
        <w:t xml:space="preserve">The most detailed septic/wastewater groundwater plume studies in North America come from Cape Cod, where USGS has tracked a wastewater-derived plume in a sandy, unconfined aquifer for more than three decades (LeBlanc 1984; Barber et al. 2015). Key transferable findings: nitrate, boron, chloride, sucralose, sulfamethoxazole, carbamazepine, and short-chain PFAS move with groundwater over kilometer distances with minimal attenuation; denitrification is patchy and depends on localized organic carbon; and the plume footprint is controlled more by regional groundwater flow than by local attenuation. Cape Cod’s outwash sands are a reasonable hydrogeologic analogue to ESVA’s Columbia aquifer (both coarse-textured, oxic, low organic carbon), so the contaminant-transport lessons transfer strongly. What does not transfer is Cape Cod’s regional flow geometry — flow paths there are far longer than on the narrow ESVA peninsula, so ESVA plumes should reach tidal discharge zones more quickly and with less dilution.</w:t>
      </w:r>
    </w:p>
    <w:p>
      <w:pPr>
        <w:pStyle w:val="BodyText"/>
      </w:pPr>
      <w:r>
        <w:rPr>
          <w:b/>
          <w:bCs/>
        </w:rPr>
        <w:t xml:space="preserve">Rhode Island (URI — Amador, Loomis, Cox).</w:t>
      </w:r>
      <w:r>
        <w:t xml:space="preserve"> </w:t>
      </w:r>
      <w:r>
        <w:t xml:space="preserve">The University of Rhode Island group has produced the clearest process-level evidence on advanced vs. conventional OWTS performance and on climate-driven failure. Cox, Loomis, and Amador (2019, J. Sustainable Water in the Built Environment 5:04019007) provided preliminary evidence that rising coastal groundwater tables already threaten septic function in Charlestown, RI, documenting systems with &lt;30 cm separation to water table and seasonal saturation of drainfields. Amador and Loomis (2020) synthesize denitrification constraints and microbial community structure beneath drainfields. These findings transfer strongly to ESVA because both settings are low-relief coastal plain with shallow water tables and sandy soils; the RI work essentially provides the mechanistic template for what Mitchell et al. (2021) argue for Tidewater Virginia generally and what Hesamfar et al. (in review) model for ESVA</w:t>
      </w:r>
      <w:r>
        <w:t xml:space="preserve"> </w:t>
      </w:r>
      <w:r>
        <w:rPr>
          <w:b/>
          <w:bCs/>
        </w:rPr>
        <w:t xml:space="preserve">[Oct 2026]</w:t>
      </w:r>
      <w:r>
        <w:t xml:space="preserve">. What does not transfer cleanly is RI’s regulatory push toward advanced N-removal systems, which has no analogue in Virginia’s Eastern Shore regulatory regime.</w:t>
      </w:r>
    </w:p>
    <w:p>
      <w:pPr>
        <w:pStyle w:val="BodyText"/>
      </w:pPr>
      <w:r>
        <w:rPr>
          <w:b/>
          <w:bCs/>
        </w:rPr>
        <w:t xml:space="preserve">Dare County, North Carolina (O’Driscoll, Humphrey).</w:t>
      </w:r>
      <w:r>
        <w:t xml:space="preserve"> </w:t>
      </w:r>
      <w:r>
        <w:t xml:space="preserve">O’Driscoll et al. (2024, J. Water and Climate Change 15:3666) analyzed 1984–2022 groundwater-level records in Dare County and showed mean water-table rise of ~7.6 mm yr⁻¹, tracking relative sea-level rise. They link this rise directly to declining vertical separation distance beneath drainfields and therefore declining nitrification efficiency, building on earlier Humphrey et al. work showing median groundwater-transported TDN loads ~3× higher from septic watersheds than sewered watersheds in coastal NC [citation unverified — Oct 2026: the Humphrey et al. paper in the reference list is a 2016 Piedmont system-performance study, not a coastal watershed comparison]. This is the closest published analogue to ESVA in terms of geomorphology, climate, and septic density: Outer Banks barrier and backbarrier settings are hydrologically and ecologically similar to seaside ESVA.</w:t>
      </w:r>
      <w:r>
        <w:t xml:space="preserve"> </w:t>
      </w:r>
      <w:r>
        <w:rPr>
          <w:b/>
          <w:bCs/>
        </w:rPr>
        <w:t xml:space="preserve">[Oct 2026]</w:t>
      </w:r>
      <w:r>
        <w:t xml:space="preserve"> </w:t>
      </w:r>
      <w:r>
        <w:t xml:space="preserve">ESVA’s seaside barrier islands are essentially uninhabited, unlike the Outer Banks. The relevant ESVA comparison is the mainland seaside villages, not the islands. Transfer is strong; the main caveat is that Dare County’s barrier-island hydrology is more extreme than most of ESVA, so Dare findings likely bracket the upper end of ESVA impacts.</w:t>
      </w:r>
    </w:p>
    <w:p>
      <w:pPr>
        <w:pStyle w:val="BodyText"/>
      </w:pPr>
      <w:r>
        <w:rPr>
          <w:b/>
          <w:bCs/>
        </w:rPr>
        <w:t xml:space="preserve">Coastal Georgia (Hoghooghi, Pippin, Bledsoe).</w:t>
      </w:r>
      <w:r>
        <w:t xml:space="preserve"> </w:t>
      </w:r>
      <w:r>
        <w:t xml:space="preserve">Hoghooghi et al. (2021, PLoS ONE 16:e0256606) built a GIS framework combining a modified Soil Topographic Index with seasonal high water-table data to map septic vulnerability across coastal Georgia, and showed that both hydrologic setting and system specifications predict repair/replacement events. The framework is directly portable to ESVA and offers a template for regional vulnerability mapping. What transfers: the methodology and the finding that shallow seasonal water tables dominate failure risk. What does not: coastal Georgia’s thicker saprolitic soils differ from ESVA’s sandy Columbia aquifer, so absolute failure rates are not directly comparable.</w:t>
      </w:r>
    </w:p>
    <w:bookmarkEnd w:id="12"/>
    <w:bookmarkStart w:id="13" w:name="strength-of-evidence-assessment"/>
    <w:p>
      <w:pPr>
        <w:pStyle w:val="Heading2"/>
      </w:pPr>
      <w:r>
        <w:t xml:space="preserve">Strength-of-evidence assessment</w:t>
      </w:r>
    </w:p>
    <w:p>
      <w:pPr>
        <w:pStyle w:val="Compact"/>
        <w:numPr>
          <w:ilvl w:val="0"/>
          <w:numId w:val="1002"/>
        </w:numPr>
      </w:pPr>
      <w:r>
        <w:rPr>
          <w:b/>
          <w:bCs/>
        </w:rPr>
        <w:t xml:space="preserve">ESTABLISHED</w:t>
      </w:r>
      <w:r>
        <w:t xml:space="preserve"> </w:t>
      </w:r>
      <w:r>
        <w:t xml:space="preserve">— The Columbia and Yorktown–Eastover aquifer systems are the sole source of fresh groundwater on ESVA, and the shallow Columbia is the dominant conveyor of land-derived solutes to tidal creeks and lagoons (EPA 1997; Richardson 1994; Speiran 1996).</w:t>
      </w:r>
      <w:r>
        <w:t xml:space="preserve"> </w:t>
      </w:r>
      <w:r>
        <w:rPr>
          <w:b/>
          <w:bCs/>
        </w:rPr>
        <w:t xml:space="preserve">[Oct 2026: corrected to include both aquifer systems]</w:t>
      </w:r>
    </w:p>
    <w:p>
      <w:pPr>
        <w:pStyle w:val="Compact"/>
        <w:numPr>
          <w:ilvl w:val="0"/>
          <w:numId w:val="1002"/>
        </w:numPr>
      </w:pPr>
      <w:r>
        <w:rPr>
          <w:b/>
          <w:bCs/>
        </w:rPr>
        <w:t xml:space="preserve">ESTABLISHED (general literature and analogues)</w:t>
      </w:r>
      <w:r>
        <w:t xml:space="preserve"> </w:t>
      </w:r>
      <w:r>
        <w:t xml:space="preserve">— Septic effluent in sandy, oxic, coastal-plain surficial aquifers is conservatively transported as nitrate over flow-path distances relevant to ESVA (Böhlke 2002; Barber et al. 2015; Valiela et al. 1997).</w:t>
      </w:r>
      <w:r>
        <w:t xml:space="preserve"> </w:t>
      </w:r>
      <w:r>
        <w:rPr>
          <w:b/>
          <w:bCs/>
        </w:rPr>
        <w:t xml:space="preserve">[Oct 2026]</w:t>
      </w:r>
      <w:r>
        <w:t xml:space="preserve"> </w:t>
      </w:r>
      <w:r>
        <w:t xml:space="preserve">This has not been measured for septic sources on ESVA.</w:t>
      </w:r>
    </w:p>
    <w:p>
      <w:pPr>
        <w:pStyle w:val="Compact"/>
        <w:numPr>
          <w:ilvl w:val="0"/>
          <w:numId w:val="1002"/>
        </w:numPr>
      </w:pPr>
      <w:r>
        <w:rPr>
          <w:b/>
          <w:bCs/>
        </w:rPr>
        <w:t xml:space="preserve">PLAUSIBLE</w:t>
      </w:r>
      <w:r>
        <w:t xml:space="preserve"> </w:t>
      </w:r>
      <w:r>
        <w:rPr>
          <w:b/>
          <w:bCs/>
        </w:rPr>
        <w:t xml:space="preserve">[Oct 2026: was STRONGLY SUPPORTED]</w:t>
      </w:r>
      <w:r>
        <w:t xml:space="preserve"> </w:t>
      </w:r>
      <w:r>
        <w:t xml:space="preserve">— Denitrification on ESVA is spatially restricted to thin riparian/tidal-fringe zones, so a substantial fraction of septic N may reach tidal receiving waters. Speiran (1996, 2010) established this for</w:t>
      </w:r>
      <w:r>
        <w:t xml:space="preserve"> </w:t>
      </w:r>
      <w:r>
        <w:rPr>
          <w:b/>
          <w:bCs/>
        </w:rPr>
        <w:t xml:space="preserve">agricultural</w:t>
      </w:r>
      <w:r>
        <w:t xml:space="preserve"> </w:t>
      </w:r>
      <w:r>
        <w:t xml:space="preserve">nitrate. Speiran also documented substantial removal (&gt;10 to ~2 mg/L) in organic-rich near-shore sediments at one site. The septic fraction has not been measured.</w:t>
      </w:r>
    </w:p>
    <w:p>
      <w:pPr>
        <w:pStyle w:val="Compact"/>
        <w:numPr>
          <w:ilvl w:val="0"/>
          <w:numId w:val="1002"/>
        </w:numPr>
      </w:pPr>
      <w:r>
        <w:rPr>
          <w:b/>
          <w:bCs/>
        </w:rPr>
        <w:t xml:space="preserve">Mechanism ESTABLISHED elsewhere; ESVA PLAUSIBLE (projected)</w:t>
      </w:r>
      <w:r>
        <w:t xml:space="preserve"> </w:t>
      </w:r>
      <w:r>
        <w:rPr>
          <w:b/>
          <w:bCs/>
        </w:rPr>
        <w:t xml:space="preserve">[Oct 2026: was STRONGLY SUPPORTED]</w:t>
      </w:r>
      <w:r>
        <w:t xml:space="preserve"> </w:t>
      </w:r>
      <w:r>
        <w:t xml:space="preserve">— Rising water tables driven by sea-level rise compress the unsaturated zone beneath drainfields. This has been measured in Rhode Island and Dare County, NC (Cox et al. 2019; O’Driscoll et al. 2024). On ESVA it is projected by modeling (Hesamfar et al. in review) but not yet documented in field data. Mitchell et al. (2021) makes the general Tidewater argument.</w:t>
      </w:r>
    </w:p>
    <w:p>
      <w:pPr>
        <w:pStyle w:val="Compact"/>
        <w:numPr>
          <w:ilvl w:val="0"/>
          <w:numId w:val="1002"/>
        </w:numPr>
      </w:pPr>
      <w:r>
        <w:rPr>
          <w:b/>
          <w:bCs/>
        </w:rPr>
        <w:t xml:space="preserve">PLAUSIBLE</w:t>
      </w:r>
      <w:r>
        <w:t xml:space="preserve"> </w:t>
      </w:r>
      <w:r>
        <w:t xml:space="preserve">— P breakthrough from aged ESVA drainfields in low-Fe sandy soils is likely but has not been directly measured on the peninsula (Robertson et al. 1998; Lusk et al. 2017).</w:t>
      </w:r>
    </w:p>
    <w:p>
      <w:pPr>
        <w:pStyle w:val="Compact"/>
        <w:numPr>
          <w:ilvl w:val="0"/>
          <w:numId w:val="1002"/>
        </w:numPr>
      </w:pPr>
      <w:r>
        <w:rPr>
          <w:b/>
          <w:bCs/>
        </w:rPr>
        <w:t xml:space="preserve">PLAUSIBLE</w:t>
      </w:r>
      <w:r>
        <w:t xml:space="preserve"> </w:t>
      </w:r>
      <w:r>
        <w:t xml:space="preserve">— PPCPs, PFAS, artificial sweeteners, and antibiotic-resistance genes are transported through the Columbia aquifer from septic sources, by strong analogy to Cape Cod and RI plumes, but no ESVA measurements exist (Schaider et al. 2016; Swartz et al. 2006).</w:t>
      </w:r>
    </w:p>
    <w:p>
      <w:pPr>
        <w:pStyle w:val="Compact"/>
        <w:numPr>
          <w:ilvl w:val="0"/>
          <w:numId w:val="1002"/>
        </w:numPr>
      </w:pPr>
      <w:r>
        <w:rPr>
          <w:b/>
          <w:bCs/>
        </w:rPr>
        <w:t xml:space="preserve">PLAUSIBLE</w:t>
      </w:r>
      <w:r>
        <w:t xml:space="preserve"> </w:t>
      </w:r>
      <w:r>
        <w:t xml:space="preserve">— Saltwater intrusion along the bayside/seaside margins is remobilizing sorbed P and NH₄⁺ and altering microbial N cycling in the Columbia aquifer (Ardón et al. 2013; Tully et al. 2019).</w:t>
      </w:r>
    </w:p>
    <w:p>
      <w:pPr>
        <w:pStyle w:val="Compact"/>
        <w:numPr>
          <w:ilvl w:val="0"/>
          <w:numId w:val="1002"/>
        </w:numPr>
      </w:pPr>
      <w:r>
        <w:rPr>
          <w:b/>
          <w:bCs/>
        </w:rPr>
        <w:t xml:space="preserve">SPECULATIVE</w:t>
      </w:r>
      <w:r>
        <w:t xml:space="preserve"> </w:t>
      </w:r>
      <w:r>
        <w:t xml:space="preserve">— Septic-driven restructuring of Columbia aquifer microbiomes has downstream ecological consequences (surface-water microbial loading, ARG export). No ESVA or near-analogue data.</w:t>
      </w:r>
    </w:p>
    <w:bookmarkEnd w:id="13"/>
    <w:bookmarkStart w:id="14" w:name="data-gaps"/>
    <w:p>
      <w:pPr>
        <w:pStyle w:val="Heading2"/>
      </w:pPr>
      <w:r>
        <w:t xml:space="preserve">Data gaps</w:t>
      </w:r>
    </w:p>
    <w:p>
      <w:pPr>
        <w:pStyle w:val="Compact"/>
        <w:numPr>
          <w:ilvl w:val="0"/>
          <w:numId w:val="1003"/>
        </w:numPr>
      </w:pPr>
      <w:r>
        <w:rPr>
          <w:b/>
          <w:bCs/>
        </w:rPr>
        <w:t xml:space="preserve">Direct measurement of septic-derived N, P, and emerging contaminants in the Columbia aquifer.</w:t>
      </w:r>
      <w:r>
        <w:t xml:space="preserve"> </w:t>
      </w:r>
      <w:r>
        <w:t xml:space="preserve">No published ESVA dataset pairs upgradient/downgradient monitoring wells around septic clusters with full analyte suites (NO₃⁻, NH₄⁺, DRP, boron, sucralose, PPCPs, PFAS). An ESCC capstone-scale well network along representative bayside and seaside clusters would close this gap.</w:t>
      </w:r>
    </w:p>
    <w:p>
      <w:pPr>
        <w:pStyle w:val="Compact"/>
        <w:numPr>
          <w:ilvl w:val="0"/>
          <w:numId w:val="1003"/>
        </w:numPr>
      </w:pPr>
      <w:r>
        <w:rPr>
          <w:b/>
          <w:bCs/>
        </w:rPr>
        <w:t xml:space="preserve">Age-dependent P breakthrough.</w:t>
      </w:r>
      <w:r>
        <w:t xml:space="preserve"> </w:t>
      </w:r>
      <w:r>
        <w:t xml:space="preserve">What is the mean age at which ESVA drainfields begin releasing dissolved reactive P to groundwater, as a function of soil series (Bojac, Munden, Molena, Bohicket)? Retrospective soil cores beneath systems of known installation date would resolve this.</w:t>
      </w:r>
    </w:p>
    <w:p>
      <w:pPr>
        <w:pStyle w:val="Compact"/>
        <w:numPr>
          <w:ilvl w:val="0"/>
          <w:numId w:val="1003"/>
        </w:numPr>
      </w:pPr>
      <w:r>
        <w:rPr>
          <w:b/>
          <w:bCs/>
        </w:rPr>
        <w:t xml:space="preserve">Quantitative denitrification budgets along ESVA flow paths.</w:t>
      </w:r>
      <w:r>
        <w:t xml:space="preserve"> </w:t>
      </w:r>
      <w:r>
        <w:t xml:space="preserve">Speiran (1996, 2010) established the qualitative picture; a modern isotopic (δ¹⁵N–δ¹⁸O of NO₃⁻, excess N₂/Ar) budget tied to Hesamfar et al.’s (in review) SEAWAT geometry would allow defensible N-load attribution.</w:t>
      </w:r>
    </w:p>
    <w:p>
      <w:pPr>
        <w:pStyle w:val="Compact"/>
        <w:numPr>
          <w:ilvl w:val="0"/>
          <w:numId w:val="1003"/>
        </w:numPr>
      </w:pPr>
      <w:r>
        <w:rPr>
          <w:b/>
          <w:bCs/>
        </w:rPr>
        <w:t xml:space="preserve">Water-table intrusion thresholds at the parcel scale.</w:t>
      </w:r>
      <w:r>
        <w:t xml:space="preserve"> </w:t>
      </w:r>
      <w:r>
        <w:t xml:space="preserve">At what combination of SLR, tide, and recharge does each septic cluster cross Virginia’s 18-inch separation requirement (12VAC5-610-594)</w:t>
      </w:r>
      <w:r>
        <w:t xml:space="preserve"> </w:t>
      </w:r>
      <w:r>
        <w:rPr>
          <w:b/>
          <w:bCs/>
        </w:rPr>
        <w:t xml:space="preserve">[Oct 2026: was</w:t>
      </w:r>
      <w:r>
        <w:rPr>
          <w:b/>
          <w:bCs/>
        </w:rPr>
        <w:t xml:space="preserve"> </w:t>
      </w:r>
      <w:r>
        <w:rPr>
          <w:b/>
          <w:bCs/>
        </w:rPr>
        <w:t xml:space="preserve">“the 60 cm separation-distance threshold”</w:t>
      </w:r>
      <w:r>
        <w:rPr>
          <w:b/>
          <w:bCs/>
        </w:rPr>
        <w:t xml:space="preserve">]</w:t>
      </w:r>
      <w:r>
        <w:t xml:space="preserve">? Hesamfar et al. (in review) provides regional projections; a downscaled parcel-resolution extension is needed for planning.</w:t>
      </w:r>
    </w:p>
    <w:p>
      <w:pPr>
        <w:pStyle w:val="Compact"/>
        <w:numPr>
          <w:ilvl w:val="0"/>
          <w:numId w:val="1003"/>
        </w:numPr>
      </w:pPr>
      <w:r>
        <w:rPr>
          <w:b/>
          <w:bCs/>
        </w:rPr>
        <w:t xml:space="preserve">Saltwater-intrusion biogeochemistry in the Columbia aquifer.</w:t>
      </w:r>
      <w:r>
        <w:t xml:space="preserve"> </w:t>
      </w:r>
      <w:r>
        <w:t xml:space="preserve">Does chloride intrusion mobilize legacy sorbed P/NH₄⁺ on ESVA as has been shown in NC coastal plain (Ardón et al. 2013; Tully et al. 2019)?</w:t>
      </w:r>
    </w:p>
    <w:p>
      <w:pPr>
        <w:pStyle w:val="Compact"/>
        <w:numPr>
          <w:ilvl w:val="0"/>
          <w:numId w:val="1003"/>
        </w:numPr>
      </w:pPr>
      <w:r>
        <w:rPr>
          <w:b/>
          <w:bCs/>
        </w:rPr>
        <w:t xml:space="preserve">Septic plume microbiology.</w:t>
      </w:r>
      <w:r>
        <w:t xml:space="preserve"> </w:t>
      </w:r>
      <w:r>
        <w:t xml:space="preserve">16S and shotgun-metagenomic surveys of septic plumes in the Columbia aquifer, with ARG and mobile-element quantification, to document subsurface community shifts and export risk.</w:t>
      </w:r>
    </w:p>
    <w:p>
      <w:pPr>
        <w:pStyle w:val="Compact"/>
        <w:numPr>
          <w:ilvl w:val="0"/>
          <w:numId w:val="1003"/>
        </w:numPr>
      </w:pPr>
      <w:r>
        <w:rPr>
          <w:b/>
          <w:bCs/>
        </w:rPr>
        <w:t xml:space="preserve">Coupled groundwater–receiving-water response.</w:t>
      </w:r>
      <w:r>
        <w:t xml:space="preserve"> </w:t>
      </w:r>
      <w:r>
        <w:t xml:space="preserve">Paired groundwater discharge and tidal-creek chemistry monitoring to convert groundwater concentrations into benthic/estuarine loading rates, closing the loop to Pathway 2 (tidal creeks and marshes).</w:t>
      </w:r>
    </w:p>
    <w:p>
      <w:pPr>
        <w:pStyle w:val="Compact"/>
        <w:numPr>
          <w:ilvl w:val="0"/>
          <w:numId w:val="1003"/>
        </w:numPr>
      </w:pPr>
      <w:r>
        <w:rPr>
          <w:b/>
          <w:bCs/>
        </w:rPr>
        <w:t xml:space="preserve">Advanced OWTS performance under ESVA conditions.</w:t>
      </w:r>
      <w:r>
        <w:t xml:space="preserve"> </w:t>
      </w:r>
      <w:r>
        <w:t xml:space="preserve">No ESVA-specific data on whether Rhode Island-style advanced N-removal systems maintain performance with shallow, fluctuating water tables.</w:t>
      </w:r>
    </w:p>
    <w:bookmarkEnd w:id="14"/>
    <w:bookmarkStart w:id="15" w:name="references"/>
    <w:p>
      <w:pPr>
        <w:pStyle w:val="Heading2"/>
      </w:pPr>
      <w:r>
        <w:t xml:space="preserve">References</w:t>
      </w:r>
    </w:p>
    <w:p>
      <w:pPr>
        <w:pStyle w:val="FirstParagraph"/>
      </w:pPr>
      <w:r>
        <w:t xml:space="preserve">Amador, J. A., &amp; Loomis, G. W. (2020).</w:t>
      </w:r>
      <w:r>
        <w:t xml:space="preserve"> </w:t>
      </w:r>
      <w:r>
        <w:rPr>
          <w:i/>
          <w:iCs/>
        </w:rPr>
        <w:t xml:space="preserve">Soil-based wastewater treatment</w:t>
      </w:r>
      <w:r>
        <w:t xml:space="preserve">. American Society of Agronomy, Crop Science Society of America, Soil Science Society of America. https://doi.org/10.2134/soilbasedwaste</w:t>
      </w:r>
    </w:p>
    <w:p>
      <w:pPr>
        <w:pStyle w:val="BodyText"/>
      </w:pPr>
      <w:r>
        <w:t xml:space="preserve">Ardón, M., Morse, J. L., Colman, B. P., &amp; Bernhardt, E. S. (2013). Drought-induced saltwater incursion leads to increased wetland nitrogen export.</w:t>
      </w:r>
      <w:r>
        <w:t xml:space="preserve"> </w:t>
      </w:r>
      <w:r>
        <w:rPr>
          <w:i/>
          <w:iCs/>
        </w:rPr>
        <w:t xml:space="preserve">Global Change Biology</w:t>
      </w:r>
      <w:r>
        <w:t xml:space="preserve">, 19(10), 2976–2985. https://doi.org/10.1111/gcb.12287</w:t>
      </w:r>
    </w:p>
    <w:p>
      <w:pPr>
        <w:pStyle w:val="BodyText"/>
      </w:pPr>
      <w:r>
        <w:t xml:space="preserve">Barber, L. B., Paschke, S. S., Battaglin, W. A., Douville, C., Fitzgerald, K. C., Keefe, S. H., Roth, D. A., &amp; Vajda, A. M. (2015). Effects of an extended drought on organic wastewater indicators from a wastewater plume on Cape Cod, Massachusetts.</w:t>
      </w:r>
      <w:r>
        <w:t xml:space="preserve"> </w:t>
      </w:r>
      <w:r>
        <w:rPr>
          <w:i/>
          <w:iCs/>
        </w:rPr>
        <w:t xml:space="preserve">Environmental Science &amp; Technology</w:t>
      </w:r>
      <w:r>
        <w:t xml:space="preserve">, 49(15), 9056–9064. https://doi.org/10.1021/acs.est.5b02213</w:t>
      </w:r>
    </w:p>
    <w:p>
      <w:pPr>
        <w:pStyle w:val="BodyText"/>
      </w:pPr>
      <w:r>
        <w:t xml:space="preserve">Böhlke, J. K. (2002). Groundwater recharge and agricultural contamination.</w:t>
      </w:r>
      <w:r>
        <w:t xml:space="preserve"> </w:t>
      </w:r>
      <w:r>
        <w:rPr>
          <w:i/>
          <w:iCs/>
        </w:rPr>
        <w:t xml:space="preserve">Hydrogeology Journal</w:t>
      </w:r>
      <w:r>
        <w:t xml:space="preserve">, 10(1), 153–179. https://doi.org/10.1007/s10040-001-0183-3</w:t>
      </w:r>
    </w:p>
    <w:p>
      <w:pPr>
        <w:pStyle w:val="BodyText"/>
      </w:pPr>
      <w:r>
        <w:t xml:space="preserve">[Oct 2026: verified as a nitrate source-tracking study; does not support the septic-microbiome sentence it was cited for] Carrey, R., Ballesté, E., Blanch, A. R., Lucena, F., Pons, P., López, J. M., Rull, M., Solà, J., Micola, N., Fraile, J., Garrido, T., Munné, A., &amp; Soler, A. (2021). Combining multi-isotopic and molecular source-tracking methods to identify nitrate pollution sources in surface and groundwater.</w:t>
      </w:r>
      <w:r>
        <w:t xml:space="preserve"> </w:t>
      </w:r>
      <w:r>
        <w:rPr>
          <w:i/>
          <w:iCs/>
        </w:rPr>
        <w:t xml:space="preserve">Water Research</w:t>
      </w:r>
      <w:r>
        <w:t xml:space="preserve">, 188, 116537. https://doi.org/10.1016/j.watres.2020.116537</w:t>
      </w:r>
    </w:p>
    <w:p>
      <w:pPr>
        <w:pStyle w:val="BodyText"/>
      </w:pPr>
      <w:r>
        <w:t xml:space="preserve">Cox, A. H., Loomis, G. W., &amp; Amador, J. A. (2019). Preliminary evidence that rising groundwater tables threaten coastal onsite wastewater treatment systems.</w:t>
      </w:r>
      <w:r>
        <w:t xml:space="preserve"> </w:t>
      </w:r>
      <w:r>
        <w:rPr>
          <w:i/>
          <w:iCs/>
        </w:rPr>
        <w:t xml:space="preserve">Journal of Sustainable Water in the Built Environment</w:t>
      </w:r>
      <w:r>
        <w:t xml:space="preserve">, 5(4), 04019007. https://doi.org/10.1061/JSWBAY.0000887</w:t>
      </w:r>
    </w:p>
    <w:p>
      <w:pPr>
        <w:pStyle w:val="BodyText"/>
      </w:pPr>
      <w:r>
        <w:t xml:space="preserve">EPA (U.S. Environmental Protection Agency). (1997).</w:t>
      </w:r>
      <w:r>
        <w:t xml:space="preserve"> </w:t>
      </w:r>
      <w:r>
        <w:rPr>
          <w:i/>
          <w:iCs/>
        </w:rPr>
        <w:t xml:space="preserve">Sole source aquifer designation for the Eastern Shore of Virginia aquifer system, Accomack and Northampton Counties, Virginia</w:t>
      </w:r>
      <w:r>
        <w:t xml:space="preserve">. Federal Register, 62 FR 11562.</w:t>
      </w:r>
      <w:r>
        <w:t xml:space="preserve"> </w:t>
      </w:r>
      <w:r>
        <w:rPr>
          <w:b/>
          <w:bCs/>
        </w:rPr>
        <w:t xml:space="preserve">[Oct 2026: the designation covers the Columbia and Yorktown–Eastover aquifer systems and excludes Chincoteague and Tangier islands; the Federal Register citation should be re-checked (project poster notes cite 62(68), April 9, 1997)]</w:t>
      </w:r>
    </w:p>
    <w:p>
      <w:pPr>
        <w:pStyle w:val="BodyText"/>
      </w:pPr>
      <w:r>
        <w:t xml:space="preserve">[Oct 2026: author list and title conflict with Pathway 6 and ECOLOGICAL_BIBLIOGRAPHY.md (Hesamfar, Barbosa, Tran, Culver, Band &amp; Lakshmi,</w:t>
      </w:r>
      <w:r>
        <w:t xml:space="preserve"> </w:t>
      </w:r>
      <w:r>
        <w:t xml:space="preserve">“Impact of changing recharge on sole-source coastal aquifer”</w:t>
      </w:r>
      <w:r>
        <w:t xml:space="preserve">); verify before citing] Hesamfar, F., Sanford, W. E., Pyrak-Nolte, L., &amp; collaborators. (in review). Variable-density groundwater flow and transport modeling of sea-level rise and septic-system vulnerability on the Eastern Shore of Virginia using SEAWAT.</w:t>
      </w:r>
      <w:r>
        <w:t xml:space="preserve"> </w:t>
      </w:r>
      <w:r>
        <w:rPr>
          <w:i/>
          <w:iCs/>
        </w:rPr>
        <w:t xml:space="preserve">Journal of Hydrology</w:t>
      </w:r>
      <w:r>
        <w:t xml:space="preserve">.</w:t>
      </w:r>
    </w:p>
    <w:p>
      <w:pPr>
        <w:pStyle w:val="BodyText"/>
      </w:pPr>
      <w:r>
        <w:t xml:space="preserve">Hoghooghi, N., Pippin, J. S., Meyer, B. K., Hodges, J. B., &amp; Bledsoe, B. P. (2021). A multi-scale approach for simulating and assessing septic system performance under variable conditions in coastal Georgia, USA.</w:t>
      </w:r>
      <w:r>
        <w:t xml:space="preserve"> </w:t>
      </w:r>
      <w:r>
        <w:rPr>
          <w:i/>
          <w:iCs/>
        </w:rPr>
        <w:t xml:space="preserve">PLOS ONE</w:t>
      </w:r>
      <w:r>
        <w:t xml:space="preserve">, 16(9), e0256606. https://doi.org/10.1371/journal.pone.0256606</w:t>
      </w:r>
    </w:p>
    <w:p>
      <w:pPr>
        <w:pStyle w:val="BodyText"/>
      </w:pPr>
      <w:r>
        <w:t xml:space="preserve">Humphrey, C. P., et al. (2016). Field evaluation of nitrogen treatment by conventional and single-pass sand filter onsite wastewater systems in the North Carolina Piedmont.</w:t>
      </w:r>
      <w:r>
        <w:t xml:space="preserve"> </w:t>
      </w:r>
      <w:r>
        <w:rPr>
          <w:i/>
          <w:iCs/>
        </w:rPr>
        <w:t xml:space="preserve">Water, Air, &amp; Soil Pollution</w:t>
      </w:r>
      <w:r>
        <w:t xml:space="preserve">, 227, 255. https://doi.org/10.1007/s11270-016-2958-0</w:t>
      </w:r>
      <w:r>
        <w:t xml:space="preserve"> </w:t>
      </w:r>
      <w:r>
        <w:rPr>
          <w:b/>
          <w:bCs/>
        </w:rPr>
        <w:t xml:space="preserve">[Oct 2026: year, volume and DOI corrected per Crossref; this is a Piedmont system-performance study and does not support the coastal-watershed claim it was cited for]</w:t>
      </w:r>
    </w:p>
    <w:p>
      <w:pPr>
        <w:pStyle w:val="BodyText"/>
      </w:pPr>
      <w:r>
        <w:t xml:space="preserve">LeBlanc, D. R. (1984).</w:t>
      </w:r>
      <w:r>
        <w:t xml:space="preserve"> </w:t>
      </w:r>
      <w:r>
        <w:rPr>
          <w:i/>
          <w:iCs/>
        </w:rPr>
        <w:t xml:space="preserve">Sewage plume in a sand and gravel aquifer, Cape Cod, Massachusetts</w:t>
      </w:r>
      <w:r>
        <w:t xml:space="preserve">. U.S. Geological Survey Water-Supply Paper 2218.</w:t>
      </w:r>
    </w:p>
    <w:p>
      <w:pPr>
        <w:pStyle w:val="BodyText"/>
      </w:pPr>
      <w:r>
        <w:t xml:space="preserve">Lusk, M. G., Toor, G. S., Yang, Y. Y., Mechtensimer, S., De, M., &amp; Obreza, T. A. (2017). A review of the fate and transport of nitrogen, phosphorus, pathogens, and trace organic chemicals in septic systems.</w:t>
      </w:r>
      <w:r>
        <w:t xml:space="preserve"> </w:t>
      </w:r>
      <w:r>
        <w:rPr>
          <w:i/>
          <w:iCs/>
        </w:rPr>
        <w:t xml:space="preserve">Critical Reviews in Environmental Science and Technology</w:t>
      </w:r>
      <w:r>
        <w:t xml:space="preserve">, 47(7), 455–541. https://doi.org/10.1080/10643389.2017.1327787</w:t>
      </w:r>
    </w:p>
    <w:p>
      <w:pPr>
        <w:pStyle w:val="BodyText"/>
      </w:pPr>
      <w:r>
        <w:t xml:space="preserve">Mitchell, M., Isdell, R. E., Herman, J., &amp; Tombleson, C. (2021). Impact assessment and management challenges of key rural human health infrastructure under sea level rise.</w:t>
      </w:r>
      <w:r>
        <w:t xml:space="preserve"> </w:t>
      </w:r>
      <w:r>
        <w:rPr>
          <w:i/>
          <w:iCs/>
        </w:rPr>
        <w:t xml:space="preserve">Frontiers in Marine Science</w:t>
      </w:r>
      <w:r>
        <w:t xml:space="preserve">, 8, 631757.</w:t>
      </w:r>
      <w:r>
        <w:t xml:space="preserve"> </w:t>
      </w:r>
      <w:r>
        <w:rPr>
          <w:b/>
          <w:bCs/>
        </w:rPr>
        <w:t xml:space="preserve">[Oct 2026: title corrected]</w:t>
      </w:r>
      <w:r>
        <w:t xml:space="preserve"> </w:t>
      </w:r>
      <w:r>
        <w:t xml:space="preserve">https://doi.org/10.3389/fmars.2021.631757</w:t>
      </w:r>
    </w:p>
    <w:p>
      <w:pPr>
        <w:pStyle w:val="BodyText"/>
      </w:pPr>
      <w:r>
        <w:t xml:space="preserve">O’Driscoll, M., Humphrey, C., Deal, N., Lindbo, D., &amp; Zarate-Barrera, T. (2014). Meteorological influences on nitrogen dynamics of a coastal onsite wastewater treatment system.</w:t>
      </w:r>
      <w:r>
        <w:t xml:space="preserve"> </w:t>
      </w:r>
      <w:r>
        <w:rPr>
          <w:i/>
          <w:iCs/>
        </w:rPr>
        <w:t xml:space="preserve">Journal of Environmental Quality</w:t>
      </w:r>
      <w:r>
        <w:t xml:space="preserve">, 43(6), 1873–1885. https://doi.org/10.2134/jeq2014.05.0227</w:t>
      </w:r>
    </w:p>
    <w:p>
      <w:pPr>
        <w:pStyle w:val="BodyText"/>
      </w:pPr>
      <w:r>
        <w:t xml:space="preserve">O’Driscoll, M., Humphrey, C., Iverson, G., &amp; Hardison, E. (2024). Groundwater level trends and implications for onsite wastewater treatment systems in Dare County, North Carolina, USA.</w:t>
      </w:r>
      <w:r>
        <w:t xml:space="preserve"> </w:t>
      </w:r>
      <w:r>
        <w:rPr>
          <w:i/>
          <w:iCs/>
        </w:rPr>
        <w:t xml:space="preserve">Journal of Water and Climate Change</w:t>
      </w:r>
      <w:r>
        <w:t xml:space="preserve">, 15(7), 3666–3684. https://doi.org/10.2166/wcc.2024.180</w:t>
      </w:r>
    </w:p>
    <w:p>
      <w:pPr>
        <w:pStyle w:val="BodyText"/>
      </w:pPr>
      <w:r>
        <w:t xml:space="preserve">Richardson, D. L. (1994).</w:t>
      </w:r>
      <w:r>
        <w:t xml:space="preserve"> </w:t>
      </w:r>
      <w:r>
        <w:rPr>
          <w:i/>
          <w:iCs/>
        </w:rPr>
        <w:t xml:space="preserve">Hydrogeology and analysis of the ground-water-flow system of the Eastern Shore, Virginia</w:t>
      </w:r>
      <w:r>
        <w:t xml:space="preserve">. U.S. Geological Survey Water-Supply Paper 2401.</w:t>
      </w:r>
    </w:p>
    <w:p>
      <w:pPr>
        <w:pStyle w:val="BodyText"/>
      </w:pPr>
      <w:r>
        <w:t xml:space="preserve">Robertson, W. D., Schiff, S. L., &amp; Ptacek, C. J. (1998). Review of phosphate mobility and persistence in 10 septic system plumes.</w:t>
      </w:r>
      <w:r>
        <w:t xml:space="preserve"> </w:t>
      </w:r>
      <w:r>
        <w:rPr>
          <w:i/>
          <w:iCs/>
        </w:rPr>
        <w:t xml:space="preserve">Ground Water</w:t>
      </w:r>
      <w:r>
        <w:t xml:space="preserve">, 36(6), 1000–1010. https://doi.org/10.1111/j.1745-6584.1998.tb02107.x</w:t>
      </w:r>
    </w:p>
    <w:p>
      <w:pPr>
        <w:pStyle w:val="BodyText"/>
      </w:pPr>
      <w:r>
        <w:t xml:space="preserve">Schaider, L. A., Ackerman, J. M., &amp; Rudel, R. A. (2016).</w:t>
      </w:r>
      <w:r>
        <w:t xml:space="preserve"> </w:t>
      </w:r>
      <w:r>
        <w:rPr>
          <w:b/>
          <w:bCs/>
        </w:rPr>
        <w:t xml:space="preserve">[Oct 2026: year corrected from 2014]</w:t>
      </w:r>
      <w:r>
        <w:t xml:space="preserve"> </w:t>
      </w:r>
      <w:r>
        <w:t xml:space="preserve">Septic systems as sources of organic wastewater compounds in domestic drinking water wells in a shallow sand and gravel aquifer.</w:t>
      </w:r>
      <w:r>
        <w:t xml:space="preserve"> </w:t>
      </w:r>
      <w:r>
        <w:rPr>
          <w:i/>
          <w:iCs/>
        </w:rPr>
        <w:t xml:space="preserve">Science of the Total Environment</w:t>
      </w:r>
      <w:r>
        <w:t xml:space="preserve">, 547, 470–481. https://doi.org/10.1016/j.scitotenv.2015.12.081</w:t>
      </w:r>
    </w:p>
    <w:p>
      <w:pPr>
        <w:pStyle w:val="BodyText"/>
      </w:pPr>
      <w:r>
        <w:t xml:space="preserve">Speiran, G. K. (1996).</w:t>
      </w:r>
      <w:r>
        <w:t xml:space="preserve"> </w:t>
      </w:r>
      <w:r>
        <w:rPr>
          <w:i/>
          <w:iCs/>
        </w:rPr>
        <w:t xml:space="preserve">Geohydrology and geochemistry near coastal ground-water-discharge areas of the Eastern Shore, Virginia</w:t>
      </w:r>
      <w:r>
        <w:t xml:space="preserve">. U.S. Geological Survey Water-Supply Paper 2479.</w:t>
      </w:r>
    </w:p>
    <w:p>
      <w:pPr>
        <w:pStyle w:val="BodyText"/>
      </w:pPr>
      <w:r>
        <w:t xml:space="preserve">Speiran, G. K. (2010). Effects of groundwater-flow paths on nitrate concentrations across two riparian forest corridors.</w:t>
      </w:r>
      <w:r>
        <w:t xml:space="preserve"> </w:t>
      </w:r>
      <w:r>
        <w:rPr>
          <w:i/>
          <w:iCs/>
        </w:rPr>
        <w:t xml:space="preserve">Journal of the American Water Resources Association</w:t>
      </w:r>
      <w:r>
        <w:t xml:space="preserve">, 46(2), 246–260. https://doi.org/10.1111/j.1752-1688.2010.00427.x</w:t>
      </w:r>
    </w:p>
    <w:p>
      <w:pPr>
        <w:pStyle w:val="BodyText"/>
      </w:pPr>
      <w:r>
        <w:t xml:space="preserve">Swartz, C. H., Reddy, S., Benotti, M. J., Yin, H., Barber, L. B., Brownawell, B. J., &amp; Rudel, R. A. (2006). Steroid estrogens, nonylphenol ethoxylate metabolites, and other wastewater contaminants in groundwater affected by a residential septic system on Cape Cod, MA.</w:t>
      </w:r>
      <w:r>
        <w:t xml:space="preserve"> </w:t>
      </w:r>
      <w:r>
        <w:rPr>
          <w:i/>
          <w:iCs/>
        </w:rPr>
        <w:t xml:space="preserve">Environmental Science &amp; Technology</w:t>
      </w:r>
      <w:r>
        <w:t xml:space="preserve">, 40(16), 4894–4902. https://doi.org/10.1021/es052595+</w:t>
      </w:r>
    </w:p>
    <w:p>
      <w:pPr>
        <w:pStyle w:val="BodyText"/>
      </w:pPr>
      <w:r>
        <w:t xml:space="preserve">Tully, K., Gedan, K., Epanchin-Niell, R., Strong, A., Bernhardt, E. S., BenDor, T., Mitchell, M., Kominoski, J., Jordan, T. E., Neubauer, S. C., &amp; Weston, N. B. (2019). The invisible flood: The chemistry, ecology, and social implications of coastal saltwater intrusion.</w:t>
      </w:r>
      <w:r>
        <w:t xml:space="preserve"> </w:t>
      </w:r>
      <w:r>
        <w:rPr>
          <w:i/>
          <w:iCs/>
        </w:rPr>
        <w:t xml:space="preserve">BioScience</w:t>
      </w:r>
      <w:r>
        <w:t xml:space="preserve">, 69(5), 368–378. https://doi.org/10.1093/biosci/biz027</w:t>
      </w:r>
    </w:p>
    <w:p>
      <w:pPr>
        <w:pStyle w:val="BodyText"/>
      </w:pPr>
      <w:r>
        <w:t xml:space="preserve">Valiela, I., Collins, G., Kremer, J., Lajtha, K., Geist, M., Seely, B., Brawley, J., &amp; Sham, C. H. (1997). Nitrogen loading from coastal watersheds to receiving estuaries: New method and application.</w:t>
      </w:r>
      <w:r>
        <w:t xml:space="preserve"> </w:t>
      </w:r>
      <w:r>
        <w:rPr>
          <w:i/>
          <w:iCs/>
        </w:rPr>
        <w:t xml:space="preserve">Ecological Applications</w:t>
      </w:r>
      <w:r>
        <w:t xml:space="preserve">, 7(2), 358–380. https://doi.org/10.1890/1051-0761(1997)007[0358:NLFCWT]2.0.CO;2</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2026-10-02T14:00:48Z</dcterms:created>
  <dcterms:modified xsi:type="dcterms:W3CDTF">2026-10-02T14:00:48Z</dcterms:modified>
</cp:coreProperties>
</file>

<file path=docProps/custom.xml><?xml version="1.0" encoding="utf-8"?>
<Properties xmlns="http://schemas.openxmlformats.org/officeDocument/2006/custom-properties" xmlns:vt="http://schemas.openxmlformats.org/officeDocument/2006/docPropsVTypes"/>
</file>