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d90501ec8871bb6b085b364eb533d797350bd60"/>
    <w:p>
      <w:pPr>
        <w:pStyle w:val="Heading1"/>
      </w:pPr>
      <w:r>
        <w:t xml:space="preserve">Pathway 2 — Tidal creeks and salt marsh nutrient dynamics</w:t>
      </w:r>
    </w:p>
    <w:p>
      <w:pPr>
        <w:pStyle w:val="Heading3"/>
      </w:pPr>
      <w:bookmarkStart w:id="9" w:name="october-2026-evidence-review"/>
      <w:r>
        <w:t xml:space="preserve">October 2026 evidence review</w:t>
      </w:r>
      <w:bookmarkEnd w:id="9"/>
    </w:p>
    <w:p>
      <w:pPr>
        <w:pStyle w:val="BlockText"/>
      </w:pPr>
      <w:r>
        <w:t xml:space="preserve">This file was audited source-by-source in October 2026. Several claims overstated the ESVA-specific evidence. Corrections are marked</w:t>
      </w:r>
      <w:r>
        <w:t xml:space="preserve"> </w:t>
      </w:r>
      <w:r>
        <w:rPr>
          <w:b/>
          <w:bCs/>
        </w:rPr>
        <w:t xml:space="preserve">[Oct 2026]</w:t>
      </w:r>
      <w:r>
        <w:t xml:space="preserve"> </w:t>
      </w:r>
      <w:r>
        <w:t xml:space="preserve">in the text:</w:t>
      </w:r>
    </w:p>
    <w:p>
      <w:pPr>
        <w:pStyle w:val="Compact"/>
        <w:numPr>
          <w:ilvl w:val="0"/>
          <w:numId w:val="1001"/>
        </w:numPr>
      </w:pPr>
      <w:r>
        <w:rPr>
          <w:b/>
          <w:bCs/>
        </w:rPr>
        <w:t xml:space="preserve">The 80% figure</w:t>
      </w:r>
      <w:r>
        <w:t xml:space="preserve"> </w:t>
      </w:r>
      <w:r>
        <w:t xml:space="preserve">comes from the</w:t>
      </w:r>
      <w:r>
        <w:t xml:space="preserve"> </w:t>
      </w:r>
      <w:r>
        <w:rPr>
          <w:i/>
          <w:iCs/>
        </w:rPr>
        <w:t xml:space="preserve">Accomack County Regional Water Supply Plan</w:t>
      </w:r>
      <w:r>
        <w:t xml:space="preserve"> </w:t>
      </w:r>
      <w:r>
        <w:t xml:space="preserve">(April 2010). It applies to Accomack only and is a share of creek</w:t>
      </w:r>
      <w:r>
        <w:t xml:space="preserve"> </w:t>
      </w:r>
      <w:r>
        <w:rPr>
          <w:b/>
          <w:bCs/>
        </w:rPr>
        <w:t xml:space="preserve">freshwater inflow</w:t>
      </w:r>
      <w:r>
        <w:t xml:space="preserve">, not</w:t>
      </w:r>
      <w:r>
        <w:t xml:space="preserve"> </w:t>
      </w:r>
      <w:r>
        <w:t xml:space="preserve">“baseflow.”</w:t>
      </w:r>
      <w:r>
        <w:t xml:space="preserve"> </w:t>
      </w:r>
      <w:r>
        <w:t xml:space="preserve">Tidal exchange supplies far greater total volume. A-NPDC (2022) and Richardson (1994) are not its source.</w:t>
      </w:r>
    </w:p>
    <w:p>
      <w:pPr>
        <w:pStyle w:val="Compact"/>
        <w:numPr>
          <w:ilvl w:val="0"/>
          <w:numId w:val="1001"/>
        </w:numPr>
      </w:pPr>
      <w:r>
        <w:rPr>
          <w:b/>
          <w:bCs/>
        </w:rPr>
        <w:t xml:space="preserve">The ESVA nitrate studies are agricultural.</w:t>
      </w:r>
      <w:r>
        <w:t xml:space="preserve"> </w:t>
      </w:r>
      <w:r>
        <w:t xml:space="preserve">Speiran (1996, 2010) and Bohlke &amp; Denver (1995) traced nitrate from farmland. Stanhope et al. (2009) found ESVA stream nitrogen concentrations tracked % agricultural land. Septic nitrate moving the same way is an inference.</w:t>
      </w:r>
    </w:p>
    <w:p>
      <w:pPr>
        <w:pStyle w:val="Compact"/>
        <w:numPr>
          <w:ilvl w:val="0"/>
          <w:numId w:val="1001"/>
        </w:numPr>
      </w:pPr>
      <w:r>
        <w:rPr>
          <w:b/>
          <w:bCs/>
        </w:rPr>
        <w:t xml:space="preserve">Mitchell et al. (2021)</w:t>
      </w:r>
      <w:r>
        <w:t xml:space="preserve"> </w:t>
      </w:r>
      <w:r>
        <w:t xml:space="preserve">is a Tidewater-wide repair-permit analysis. It did not single out ESVA or its tidal creeks. It found only one septic/low-water-quality overlap in Tidewater and urged</w:t>
      </w:r>
      <w:r>
        <w:t xml:space="preserve"> </w:t>
      </w:r>
      <w:r>
        <w:t xml:space="preserve">“extreme caution.”</w:t>
      </w:r>
    </w:p>
    <w:p>
      <w:pPr>
        <w:pStyle w:val="Compact"/>
        <w:numPr>
          <w:ilvl w:val="0"/>
          <w:numId w:val="1001"/>
        </w:numPr>
      </w:pPr>
      <w:r>
        <w:rPr>
          <w:b/>
          <w:bCs/>
        </w:rPr>
        <w:t xml:space="preserve">Relabels.</w:t>
      </w:r>
      <w:r>
        <w:t xml:space="preserve"> </w:t>
      </w:r>
      <w:r>
        <w:t xml:space="preserve">Groundwater delivery of</w:t>
      </w:r>
      <w:r>
        <w:t xml:space="preserve"> </w:t>
      </w:r>
      <w:r>
        <w:rPr>
          <w:i/>
          <w:iCs/>
        </w:rPr>
        <w:t xml:space="preserve">septic</w:t>
      </w:r>
      <w:r>
        <w:t xml:space="preserve"> </w:t>
      </w:r>
      <w:r>
        <w:t xml:space="preserve">nitrate to ESVA creeks is now PLAUSIBLE (was STRONGLY SUPPORTED). Macroalgal blooms and N recycling remain ESTABLISHED, but watershed loading as their driver is PLAUSIBLE and the septic share is unknown (was a single ESTABLISHED label). Bank collapse at current ESVA loading is now SPECULATIVE (was PLAUSIBLE).</w:t>
      </w:r>
    </w:p>
    <w:p>
      <w:pPr>
        <w:pStyle w:val="Compact"/>
        <w:numPr>
          <w:ilvl w:val="0"/>
          <w:numId w:val="1001"/>
        </w:numPr>
      </w:pPr>
      <w:r>
        <w:rPr>
          <w:b/>
          <w:bCs/>
        </w:rPr>
        <w:t xml:space="preserve">Analogues.</w:t>
      </w:r>
      <w:r>
        <w:t xml:space="preserve"> </w:t>
      </w:r>
      <w:r>
        <w:t xml:space="preserve">Waquoit Bay, Great South Bay and the Indian River Lagoon are far more densely developed than any ESVA catchment. Their septic shares are not transferable as numbers. The 30–75% Waquoit range here conflicts with the 40–80% in Pathway 4 and is unverified.</w:t>
      </w:r>
    </w:p>
    <w:p>
      <w:pPr>
        <w:pStyle w:val="BlockText"/>
      </w:pPr>
      <w:r>
        <w:t xml:space="preserve">See</w:t>
      </w:r>
      <w:r>
        <w:t xml:space="preserve"> </w:t>
      </w:r>
      <w:r>
        <w:rPr>
          <w:rStyle w:val="VerbatimChar"/>
        </w:rPr>
        <w:t xml:space="preserve">ECOLOGICAL_EFFECTS_SYNTHESIS.md</w:t>
      </w:r>
      <w:r>
        <w:t xml:space="preserve"> </w:t>
      </w:r>
      <w:r>
        <w:t xml:space="preserve">(October 2026 evidence review and Section 4) and</w:t>
      </w:r>
      <w:r>
        <w:t xml:space="preserve"> </w:t>
      </w:r>
      <w:r>
        <w:rPr>
          <w:rStyle w:val="VerbatimChar"/>
        </w:rPr>
        <w:t xml:space="preserve">OUTREACH_MESSAGING_REVIEW.md</w:t>
      </w:r>
      <w:r>
        <w:t xml:space="preserve">.</w:t>
      </w:r>
    </w:p>
    <w:p>
      <w:pPr>
        <w:pStyle w:val="FirstParagraph"/>
      </w:pPr>
      <w:r>
        <w:rPr>
          <w:i/>
          <w:iCs/>
        </w:rPr>
        <w:t xml:space="preserve">Draft — ESVA Septic Project ecological synthesis. Author-year citations inline; full references at end.</w:t>
      </w:r>
    </w:p>
    <w:bookmarkStart w:id="10" w:name="mechanism-of-harm"/>
    <w:p>
      <w:pPr>
        <w:pStyle w:val="Heading2"/>
      </w:pPr>
      <w:r>
        <w:t xml:space="preserve">Mechanism of harm</w:t>
      </w:r>
    </w:p>
    <w:p>
      <w:pPr>
        <w:pStyle w:val="FirstParagraph"/>
      </w:pPr>
      <w:r>
        <w:t xml:space="preserve">Tidal creeks and their fringing salt marshes are the transitional zone between upland septic drainfields and the open receiving waters of the Chesapeake Bay and the Atlantic barrier-island lagoons. Four mechanisms link failing decentralized septic systems to ecological harm in this zone.</w:t>
      </w:r>
    </w:p>
    <w:p>
      <w:pPr>
        <w:pStyle w:val="BodyText"/>
      </w:pPr>
      <w:r>
        <w:rPr>
          <w:b/>
          <w:bCs/>
        </w:rPr>
        <w:t xml:space="preserve">1. Groundwater-mediated nitrogen delivery.</w:t>
      </w:r>
      <w:r>
        <w:t xml:space="preserve"> </w:t>
      </w:r>
      <w:r>
        <w:t xml:space="preserve">In coastal plain settings, a large fraction of tidal creek flow originates as groundwater discharge rather than overland runoff. Shallow septic drainfields leach nitrate (NO₃⁻) into the surficial aquifer; nitrate moves laterally with groundwater and emerges at creek banks and creek heads (Bohlke and Denver 1995; Speiran 2010).</w:t>
      </w:r>
      <w:r>
        <w:t xml:space="preserve"> </w:t>
      </w:r>
      <w:r>
        <w:rPr>
          <w:b/>
          <w:bCs/>
        </w:rPr>
        <w:t xml:space="preserve">[Oct 2026]</w:t>
      </w:r>
      <w:r>
        <w:t xml:space="preserve"> </w:t>
      </w:r>
      <w:r>
        <w:t xml:space="preserve">Both cited studies traced</w:t>
      </w:r>
      <w:r>
        <w:t xml:space="preserve"> </w:t>
      </w:r>
      <w:r>
        <w:rPr>
          <w:b/>
          <w:bCs/>
        </w:rPr>
        <w:t xml:space="preserve">agricultural</w:t>
      </w:r>
      <w:r>
        <w:t xml:space="preserve"> </w:t>
      </w:r>
      <w:r>
        <w:t xml:space="preserve">nitrate. Septic nitrate is expected to move the same way, but this has not been measured on ESVA. Because nitrate is mobile in oxygenated groundwater and removal by denitrification requires low-oxygen, carbon-rich conditions, much of the septic-derived nitrogen can reach tidal waters intact (Capps et al. 2020).</w:t>
      </w:r>
    </w:p>
    <w:p>
      <w:pPr>
        <w:pStyle w:val="BodyText"/>
      </w:pPr>
      <w:r>
        <w:rPr>
          <w:b/>
          <w:bCs/>
        </w:rPr>
        <w:t xml:space="preserve">2. Creek and marsh-surface eutrophication.</w:t>
      </w:r>
      <w:r>
        <w:t xml:space="preserve"> </w:t>
      </w:r>
      <w:r>
        <w:t xml:space="preserve">Once in the tidal channel, dissolved inorganic nitrogen fuels phytoplankton growth, benthic microalgae, and especially opportunistic macroalgae such as</w:t>
      </w:r>
      <w:r>
        <w:t xml:space="preserve"> </w:t>
      </w:r>
      <w:r>
        <w:rPr>
          <w:i/>
          <w:iCs/>
        </w:rPr>
        <w:t xml:space="preserve">Ulva</w:t>
      </w:r>
      <w:r>
        <w:t xml:space="preserve"> </w:t>
      </w:r>
      <w:r>
        <w:t xml:space="preserve">and the non-native</w:t>
      </w:r>
      <w:r>
        <w:t xml:space="preserve"> </w:t>
      </w:r>
      <w:r>
        <w:rPr>
          <w:i/>
          <w:iCs/>
        </w:rPr>
        <w:t xml:space="preserve">Gracilaria vermiculophylla</w:t>
      </w:r>
      <w:r>
        <w:t xml:space="preserve"> </w:t>
      </w:r>
      <w:r>
        <w:t xml:space="preserve">(Tyler, McGlathery, and Anderson 2001; Thomsen and McGlathery 2007). Dense macroalgal mats shade submerged aquatic vegetation, alter sediment oxygen conditions, and cycle nitrogen between the water column and porewater in ways that sustain bloom biomass long after external inputs decline (Tyler et al. 2003; McGlathery, Sundbäck, and Anderson 2007).</w:t>
      </w:r>
    </w:p>
    <w:p>
      <w:pPr>
        <w:pStyle w:val="BodyText"/>
      </w:pPr>
      <w:r>
        <w:rPr>
          <w:b/>
          <w:bCs/>
        </w:rPr>
        <w:t xml:space="preserve">3. Salt marsh vegetation response and bank collapse.</w:t>
      </w:r>
      <w:r>
        <w:t xml:space="preserve"> </w:t>
      </w:r>
      <w:r>
        <w:t xml:space="preserve">Chronic nitrogen loading alters how</w:t>
      </w:r>
      <w:r>
        <w:t xml:space="preserve"> </w:t>
      </w:r>
      <w:r>
        <w:rPr>
          <w:i/>
          <w:iCs/>
        </w:rPr>
        <w:t xml:space="preserve">Spartina alterniflora</w:t>
      </w:r>
      <w:r>
        <w:t xml:space="preserve"> </w:t>
      </w:r>
      <w:r>
        <w:t xml:space="preserve">— the dominant salt marsh grass — allocates biomass. Under enrichment, plants invest more carbon in above-ground leaves and less in the dense below-ground rhizome mat that physically holds the marsh peat together. Combined with accelerated microbial decomposition of marsh organic matter under high N, this weakens the structural integrity of creek banks. The nine-year TIDE whole-ecosystem enrichment experiment at Plum Island, Massachusetts (Deegan et al. 2012) found that at roughly 10× ambient nitrogen loading (~1,700 kg N creek⁻¹ yr⁻¹), creek banks began to fracture and slump, converting vegetated marsh edge to unvegetated mudflat. This is the strongest experimental demonstration to date that coastal nutrient loading can drive outright marsh loss through a mechanism distinct from sea-level-rise drowning.</w:t>
      </w:r>
    </w:p>
    <w:p>
      <w:pPr>
        <w:pStyle w:val="BodyText"/>
      </w:pPr>
      <w:r>
        <w:rPr>
          <w:b/>
          <w:bCs/>
        </w:rPr>
        <w:t xml:space="preserve">4. Pathogen delivery via short groundwater flow paths.</w:t>
      </w:r>
      <w:r>
        <w:t xml:space="preserve"> </w:t>
      </w:r>
      <w:r>
        <w:t xml:space="preserve">Where drainfields sit close to tidal creeks and the separation distance between the drainfield trench and the water table is small — conditions widespread on ESVA — bacterial and viral contamination can reach surface waters before soil passage removes them. This pathway primarily matters for the shellfish and human-contact uses covered in Pathway 4, but it also affects creek-bottom microbial communities and nutrient cycling (Carroll et al. 2005).</w:t>
      </w:r>
    </w:p>
    <w:p>
      <w:pPr>
        <w:pStyle w:val="BodyText"/>
      </w:pPr>
      <w:r>
        <w:t xml:space="preserve">These mechanisms interact. Eutrophied creeks support larger macroalgal mats, which when they senesce deposit organic matter on the marsh surface and accelerate peat decomposition, reinforcing bank collapse (Deegan et al. 2012). Sea-level rise further compresses the unsaturated zone above drainfields, shortening the travel path for nitrate and pathogens to reach creeks and shifting marsh denitrification zones landward (Weston 2014; Kirwan and Megonigal 2013). The combined result is a system in which the ecological consequences of septic failure scale nonlinearly with climate change.</w:t>
      </w:r>
    </w:p>
    <w:bookmarkEnd w:id="10"/>
    <w:bookmarkStart w:id="11" w:name="esva-specific-evidence"/>
    <w:p>
      <w:pPr>
        <w:pStyle w:val="Heading2"/>
      </w:pPr>
      <w:r>
        <w:t xml:space="preserve">ESVA-specific evidence</w:t>
      </w:r>
    </w:p>
    <w:p>
      <w:pPr>
        <w:pStyle w:val="FirstParagraph"/>
      </w:pPr>
      <w:r>
        <w:t xml:space="preserve">ESVA is unusually well suited to this pathway because of the peninsula’s hydrography. The Shore has no significant surface streams — a fact EPA cited when designating the aquifer system sole-source — and its tidal creeks are fed principally by groundwater discharge (Richardson 1994; Speiran 1996). The</w:t>
      </w:r>
      <w:r>
        <w:t xml:space="preserve"> </w:t>
      </w:r>
      <w:r>
        <w:rPr>
          <w:i/>
          <w:iCs/>
        </w:rPr>
        <w:t xml:space="preserve">Accomack County Regional Water Supply Plan</w:t>
      </w:r>
      <w:r>
        <w:t xml:space="preserve"> </w:t>
      </w:r>
      <w:r>
        <w:t xml:space="preserve">(April 2010) states that the county’s thirty tidal creeks</w:t>
      </w:r>
      <w:r>
        <w:t xml:space="preserve"> </w:t>
      </w:r>
      <w:r>
        <w:t xml:space="preserve">“are largely supplied from groundwater discharge (approximately 80%).”</w:t>
      </w:r>
      <w:r>
        <w:t xml:space="preserve"> </w:t>
      </w:r>
      <w:r>
        <w:rPr>
          <w:b/>
          <w:bCs/>
        </w:rPr>
        <w:t xml:space="preserve">[Oct 2026]</w:t>
      </w:r>
      <w:r>
        <w:t xml:space="preserve"> </w:t>
      </w:r>
      <w:r>
        <w:t xml:space="preserve">Read</w:t>
      </w:r>
      <w:r>
        <w:t xml:space="preserve"> </w:t>
      </w:r>
      <w:r>
        <w:t xml:space="preserve">“supplied”</w:t>
      </w:r>
      <w:r>
        <w:t xml:space="preserve"> </w:t>
      </w:r>
      <w:r>
        <w:t xml:space="preserve">as</w:t>
      </w:r>
      <w:r>
        <w:t xml:space="preserve"> </w:t>
      </w:r>
      <w:r>
        <w:rPr>
          <w:b/>
          <w:bCs/>
        </w:rPr>
        <w:t xml:space="preserve">freshwater inflow</w:t>
      </w:r>
      <w:r>
        <w:t xml:space="preserve">: tidal exchange supplies far greater total volume.</w:t>
      </w:r>
      <w:r>
        <w:t xml:space="preserve"> </w:t>
      </w:r>
      <w:r>
        <w:rPr>
          <w:i/>
          <w:iCs/>
        </w:rPr>
        <w:t xml:space="preserve">[Scope note: this figure is specific to Accomack County. No equivalent published figure has been located for Northampton, though its hydrogeologic setting is broadly similar. Note also that the claim concerns the share of creek supply/flow, not of baseflow — baseflow is by definition the groundwater-derived component.]</w:t>
      </w:r>
      <w:r>
        <w:t xml:space="preserve"> </w:t>
      </w:r>
      <w:r>
        <w:t xml:space="preserve">This means that whatever enters shallow groundwater, from any source, is closely coupled to creek water quality, and most drainfields sit in the upgradient contributing area of a tidal creek.</w:t>
      </w:r>
      <w:r>
        <w:t xml:space="preserve"> </w:t>
      </w:r>
      <w:r>
        <w:rPr>
          <w:b/>
          <w:bCs/>
        </w:rPr>
        <w:t xml:space="preserve">[Oct 2026]</w:t>
      </w:r>
      <w:r>
        <w:t xml:space="preserve"> </w:t>
      </w:r>
      <w:r>
        <w:t xml:space="preserve">How much septic nitrogen actually reaches the creeks has not been measured.</w:t>
      </w:r>
    </w:p>
    <w:p>
      <w:pPr>
        <w:pStyle w:val="BodyText"/>
      </w:pPr>
      <w:r>
        <w:rPr>
          <w:b/>
          <w:bCs/>
        </w:rPr>
        <w:t xml:space="preserve">USGS riparian buffer study.</w:t>
      </w:r>
      <w:r>
        <w:t xml:space="preserve"> </w:t>
      </w:r>
      <w:r>
        <w:t xml:space="preserve">Speiran (1996, 2010) examined groundwater nitrate transport across two riparian forest corridors on the Eastern Shore. Nitrate concentrations exceeding 10 mg L⁻¹ beneath cropland declined to about 2 mg L⁻¹ beneath the riparian buffer, but the removal was attributable to specific flow-path and organic-soil conditions rather than to the buffer vegetation itself. At the coastal site, groundwater carrying &gt;5 mg L⁻¹ was forced deeper beneath the buffer, bypassing the shallow denitrification zone and delivering nitrate directly to tidal waters. The implication for septic systems is that the usual assumption —</w:t>
      </w:r>
      <w:r>
        <w:t xml:space="preserve"> </w:t>
      </w:r>
      <w:r>
        <w:t xml:space="preserve">“the buffer will catch it”</w:t>
      </w:r>
      <w:r>
        <w:t xml:space="preserve"> </w:t>
      </w:r>
      <w:r>
        <w:t xml:space="preserve">— does not hold under ESVA hydrogeology when source concentrations are high and flow paths are deep.</w:t>
      </w:r>
      <w:r>
        <w:t xml:space="preserve"> </w:t>
      </w:r>
      <w:r>
        <w:rPr>
          <w:b/>
          <w:bCs/>
        </w:rPr>
        <w:t xml:space="preserve">[Oct 2026]</w:t>
      </w:r>
      <w:r>
        <w:t xml:space="preserve"> </w:t>
      </w:r>
      <w:r>
        <w:t xml:space="preserve">This is an inference: the Speiran sites recharged through</w:t>
      </w:r>
      <w:r>
        <w:t xml:space="preserve"> </w:t>
      </w:r>
      <w:r>
        <w:rPr>
          <w:b/>
          <w:bCs/>
        </w:rPr>
        <w:t xml:space="preserve">agricultural fields</w:t>
      </w:r>
      <w:r>
        <w:t xml:space="preserve">, and one site showed substantial nitrate removal. Stanhope et al. (2009) sampled baseflow in 14 first-order ESVA streams. Total dissolved nitrogen concentrations rose with % agricultural land; yields also rose with % developed land. That is consistent with agriculture being the dominant nitrogen source in many Shore catchments.</w:t>
      </w:r>
    </w:p>
    <w:p>
      <w:pPr>
        <w:pStyle w:val="BodyText"/>
      </w:pPr>
      <w:r>
        <w:rPr>
          <w:b/>
          <w:bCs/>
        </w:rPr>
        <w:t xml:space="preserve">Virginia Coast Reserve LTER salt marsh research.</w:t>
      </w:r>
      <w:r>
        <w:t xml:space="preserve"> </w:t>
      </w:r>
      <w:r>
        <w:t xml:space="preserve">The VCR LTER (NSF-funded since 1987) has produced the most sustained ecological research program on ESVA salt marshes. Work by the McGlathery group has shown that VCR salt marshes are typically nitrogen-limited in young marshes, with nitrogen fixation supplementing plant N supply (Tyler, McGlathery, and Anderson 2003; Thomsen et al. 2007). This baseline N limitation is precisely what makes these marshes responsive to septic-derived enrichment — added N translates directly into vegetation and algal response. The TIDE-type bank-collapse mechanism documented at Plum Island (Deegan et al. 2012) has not been tested experimentally on ESVA, but the VCR marshes share the microtidal regime,</w:t>
      </w:r>
      <w:r>
        <w:t xml:space="preserve"> </w:t>
      </w:r>
      <w:r>
        <w:rPr>
          <w:i/>
          <w:iCs/>
        </w:rPr>
        <w:t xml:space="preserve">Spartina</w:t>
      </w:r>
      <w:r>
        <w:t xml:space="preserve">-dominated vegetation, and organic-rich peat that make the Plum Island findings mechanistically transferable.</w:t>
      </w:r>
    </w:p>
    <w:p>
      <w:pPr>
        <w:pStyle w:val="BodyText"/>
      </w:pPr>
      <w:r>
        <w:rPr>
          <w:b/>
          <w:bCs/>
        </w:rPr>
        <w:t xml:space="preserve">Macroalgal blooms in Hog Island Bay.</w:t>
      </w:r>
      <w:r>
        <w:t xml:space="preserve"> </w:t>
      </w:r>
      <w:r>
        <w:t xml:space="preserve">A multi-year VCR LTER time series documented persistent macroalgal blooms in the shallow lagoon system bordered by ESVA tidal creeks.</w:t>
      </w:r>
      <w:r>
        <w:t xml:space="preserve"> </w:t>
      </w:r>
      <w:r>
        <w:rPr>
          <w:i/>
          <w:iCs/>
        </w:rPr>
        <w:t xml:space="preserve">Gracilaria vermiculophylla</w:t>
      </w:r>
      <w:r>
        <w:t xml:space="preserve"> </w:t>
      </w:r>
      <w:r>
        <w:t xml:space="preserve">— a non-native red alga — dominated macroalgal biomass, making up roughly 74 to 90 percent of total algal biomass across seasons and sites (Thomsen and McGlathery 2007; Thomsen 2010). Tyler, McGlathery, and Anderson (2001) measured the nitrogen-release rates of these mats and found that average daily release equaled roughly 67 percent of gross uptake, meaning the macroalgal biomass functions as a slow-release nitrogen reservoir that sustains blooms long after the original loading pulse. This dynamic is directly relevant to septic-driven creek eutrophication: chronic low-level septic inputs can support persistent blooms without requiring acute spikes.</w:t>
      </w:r>
    </w:p>
    <w:p>
      <w:pPr>
        <w:pStyle w:val="BodyText"/>
      </w:pPr>
      <w:r>
        <w:rPr>
          <w:b/>
          <w:bCs/>
        </w:rPr>
        <w:t xml:space="preserve">Marsh stability and sea-level-rise interaction.</w:t>
      </w:r>
      <w:r>
        <w:t xml:space="preserve"> </w:t>
      </w:r>
      <w:r>
        <w:t xml:space="preserve">Work by Kirwan and collaborators at the Virginia Institute of Marine Science has documented that ESVA salt marshes are losing ground to open water at rates among the highest in the mid-Atlantic (Kirwan et al. 2016; Kirwan and Megonigal 2013). The dominant mechanism attributed in most analyses is relative sea-level rise outpacing vertical accretion, but the Deegan et al. (2012) bank-collapse pathway is a plausible compounding contributor that has not been systematically partitioned for ESVA. Coupled eutrophication–SLR marsh dynamics are an active area in Kirwan’s recent work.</w:t>
      </w:r>
    </w:p>
    <w:p>
      <w:pPr>
        <w:pStyle w:val="BodyText"/>
      </w:pPr>
      <w:r>
        <w:rPr>
          <w:b/>
          <w:bCs/>
        </w:rPr>
        <w:t xml:space="preserve">Mitchell et al. 2021 regional assessment.</w:t>
      </w:r>
      <w:r>
        <w:t xml:space="preserve"> </w:t>
      </w:r>
      <w:r>
        <w:rPr>
          <w:b/>
          <w:bCs/>
        </w:rPr>
        <w:t xml:space="preserve">[Oct 2026, corrected]</w:t>
      </w:r>
      <w:r>
        <w:t xml:space="preserve"> </w:t>
      </w:r>
      <w:r>
        <w:t xml:space="preserve">Mitchell, Isdell, Herman, and Tombleson (2021) mapped septic repair-permit</w:t>
      </w:r>
      <w:r>
        <w:t xml:space="preserve"> </w:t>
      </w:r>
      <w:r>
        <w:t xml:space="preserve">“hot spots”</w:t>
      </w:r>
      <w:r>
        <w:t xml:space="preserve"> </w:t>
      </w:r>
      <w:r>
        <w:t xml:space="preserve">across Tidewater Virginia. The hot spots were prevalent around Richmond and Gloucester County. The paper does not report ESVA results separately and does not discuss ESVA tidal creeks. It found</w:t>
      </w:r>
      <w:r>
        <w:t xml:space="preserve"> </w:t>
      </w:r>
      <w:r>
        <w:t xml:space="preserve">“only one incident where a low WQ region overlapped directly with a septic hot spot in Tidewater Virginia”</w:t>
      </w:r>
      <w:r>
        <w:t xml:space="preserve"> </w:t>
      </w:r>
      <w:r>
        <w:t xml:space="preserve">and cautioned that</w:t>
      </w:r>
      <w:r>
        <w:t xml:space="preserve"> </w:t>
      </w:r>
      <w:r>
        <w:t xml:space="preserve">“any correlation should be viewed with extreme caution.”</w:t>
      </w:r>
      <w:r>
        <w:t xml:space="preserve"> </w:t>
      </w:r>
      <w:r>
        <w:t xml:space="preserve">Earlier versions said it</w:t>
      </w:r>
      <w:r>
        <w:t xml:space="preserve"> </w:t>
      </w:r>
      <w:r>
        <w:t xml:space="preserve">“specifically noted”</w:t>
      </w:r>
      <w:r>
        <w:t xml:space="preserve"> </w:t>
      </w:r>
      <w:r>
        <w:t xml:space="preserve">ESVA septic density near tidal creeks and</w:t>
      </w:r>
      <w:r>
        <w:t xml:space="preserve"> </w:t>
      </w:r>
      <w:r>
        <w:t xml:space="preserve">“established”</w:t>
      </w:r>
      <w:r>
        <w:t xml:space="preserve"> </w:t>
      </w:r>
      <w:r>
        <w:t xml:space="preserve">ESVA septic positions relative to tidal waters. It does neither.</w:t>
      </w:r>
    </w:p>
    <w:p>
      <w:pPr>
        <w:pStyle w:val="BodyText"/>
      </w:pPr>
      <w:r>
        <w:t xml:space="preserve">ESVA-specific evidence tying</w:t>
      </w:r>
      <w:r>
        <w:t xml:space="preserve"> </w:t>
      </w:r>
      <w:r>
        <w:rPr>
          <w:b/>
          <w:bCs/>
        </w:rPr>
        <w:t xml:space="preserve">failing septic systems</w:t>
      </w:r>
      <w:r>
        <w:t xml:space="preserve"> </w:t>
      </w:r>
      <w:r>
        <w:t xml:space="preserve">(as distinct from operating septic systems) to</w:t>
      </w:r>
      <w:r>
        <w:t xml:space="preserve"> </w:t>
      </w:r>
      <w:r>
        <w:rPr>
          <w:b/>
          <w:bCs/>
        </w:rPr>
        <w:t xml:space="preserve">specific ecological outcomes in tidal creeks</w:t>
      </w:r>
      <w:r>
        <w:t xml:space="preserve"> </w:t>
      </w:r>
      <w:r>
        <w:t xml:space="preserve">remains thin. The mechanistic chain is well supported by local hydrology, local marsh research, and analogue experiments, but end-to-end attribution studies on ESVA creeks have not yet been published.</w:t>
      </w:r>
    </w:p>
    <w:bookmarkEnd w:id="11"/>
    <w:bookmarkStart w:id="12" w:name="analogue-region-evidence"/>
    <w:p>
      <w:pPr>
        <w:pStyle w:val="Heading2"/>
      </w:pPr>
      <w:r>
        <w:t xml:space="preserve">Analogue-region evidence</w:t>
      </w:r>
    </w:p>
    <w:p>
      <w:pPr>
        <w:pStyle w:val="FirstParagraph"/>
      </w:pPr>
      <w:r>
        <w:t xml:space="preserve">Because ESVA-specific end-to-end attribution studies are limited, the strongest experimental and attribution evidence for this pathway comes from three analogue systems.</w:t>
      </w:r>
    </w:p>
    <w:p>
      <w:pPr>
        <w:pStyle w:val="BodyText"/>
      </w:pPr>
      <w:r>
        <w:rPr>
          <w:b/>
          <w:bCs/>
        </w:rPr>
        <w:t xml:space="preserve">Plum Island Ecosystems LTER, Massachusetts (TIDE experiment).</w:t>
      </w:r>
      <w:r>
        <w:t xml:space="preserve"> </w:t>
      </w:r>
      <w:r>
        <w:t xml:space="preserve">The nine-year TIDE experiment (Deegan et al. 2012) remains the definitive demonstration that coastal-scale nitrogen enrichment can convert vegetated salt marsh to unvegetated mudflat. Researchers added nitrate at roughly 10× ambient loading to whole tidal creeks and their fringing marshes for nine consecutive growing seasons. The experiment documented increased above-ground</w:t>
      </w:r>
      <w:r>
        <w:t xml:space="preserve"> </w:t>
      </w:r>
      <w:r>
        <w:rPr>
          <w:i/>
          <w:iCs/>
        </w:rPr>
        <w:t xml:space="preserve">Spartina</w:t>
      </w:r>
      <w:r>
        <w:t xml:space="preserve"> </w:t>
      </w:r>
      <w:r>
        <w:t xml:space="preserve">biomass, decreased below-ground rhizome mass, elevated microbial decomposition of marsh peat, and ultimately the fracturing and slumping of creek banks. The enrichment loading (1,700 kg N creek⁻¹ yr⁻¹) was chosen specifically to match the loads receiving estuaries commonly see in developed coastal watersheds. Transferability to ESVA is strong: Plum Island and ESVA both have microtidal regimes,</w:t>
      </w:r>
      <w:r>
        <w:t xml:space="preserve"> </w:t>
      </w:r>
      <w:r>
        <w:rPr>
          <w:i/>
          <w:iCs/>
        </w:rPr>
        <w:t xml:space="preserve">Spartina alterniflora</w:t>
      </w:r>
      <w:r>
        <w:t xml:space="preserve">-dominated vegetation, organic peat banks, and tidal creek networks of comparable dimension. The main difference is salinity regime — Plum Island is somewhat fresher at the marsh platform — but the mechanism does not depend on salinity.</w:t>
      </w:r>
    </w:p>
    <w:p>
      <w:pPr>
        <w:pStyle w:val="BodyText"/>
      </w:pPr>
      <w:r>
        <w:rPr>
          <w:b/>
          <w:bCs/>
        </w:rPr>
        <w:t xml:space="preserve">Waquoit Bay, Massachusetts (Cape Cod septic-N studies).</w:t>
      </w:r>
      <w:r>
        <w:t xml:space="preserve"> </w:t>
      </w:r>
      <w:r>
        <w:t xml:space="preserve">Valiela and collaborators built the foundational attribution framework for septic-derived nitrogen loading to a coastal-plain embayment. Using nitrogen stable isotopes, land-use gradients, and mass balance, the Waquoit Bay studies demonstrated that septic systems on a sandy coastal plain can contribute 30–75 percent of total nitrogen load to downgradient estuaries [citation unverified — Oct 2026: Pathway 4 gives 40–80% for the same studies], with the exact share dependent on housing density, drainfield–to–creek distance, and groundwater travel time (Valiela et al. 1997; Bowen and Valiela 2001, 2008). These studies remain the cleanest demonstrations that residential septic density, independent of agricultural sources, can dominate nutrient budgets in a small coastal watershed.</w:t>
      </w:r>
      <w:r>
        <w:t xml:space="preserve"> </w:t>
      </w:r>
      <w:r>
        <w:rPr>
          <w:b/>
          <w:bCs/>
        </w:rPr>
        <w:t xml:space="preserve">[Oct 2026]</w:t>
      </w:r>
      <w:r>
        <w:t xml:space="preserve"> </w:t>
      </w:r>
      <w:r>
        <w:t xml:space="preserve">Waquoit’s residential density is far higher than any ESVA sub-watershed. The method transfers, but the percentages do not. Earlier text said transferability to ESVA is high for the Bayside sub-watersheds where septic density is elevated and groundwater flow paths are short; lower for the more agriculturally dominated northern Accomack sub-basins where agricultural nitrogen is likely to swamp the septic signal.</w:t>
      </w:r>
    </w:p>
    <w:p>
      <w:pPr>
        <w:pStyle w:val="BodyText"/>
      </w:pPr>
      <w:r>
        <w:rPr>
          <w:b/>
          <w:bCs/>
        </w:rPr>
        <w:t xml:space="preserve">Great South Bay, New York and Indian River Lagoon, Florida.</w:t>
      </w:r>
      <w:r>
        <w:t xml:space="preserve"> </w:t>
      </w:r>
      <w:r>
        <w:t xml:space="preserve">Both are shallow lagoon systems that experienced progressive ecological decline linked to increasing watershed nitrogen loading. Great South Bay suffered the</w:t>
      </w:r>
      <w:r>
        <w:t xml:space="preserve"> </w:t>
      </w:r>
      <w:r>
        <w:rPr>
          <w:i/>
          <w:iCs/>
        </w:rPr>
        <w:t xml:space="preserve">Aureococcus anophagefferens</w:t>
      </w:r>
      <w:r>
        <w:t xml:space="preserve"> </w:t>
      </w:r>
      <w:r>
        <w:t xml:space="preserve">brown tide and eelgrass collapse that has been attributed in part to septic nitrogen loading from the dense residential development of Long Island (Gobler, Boneillo, and Debenham 2005; Kinney and Valiela 2011). Indian River Lagoon has undergone repeated seagrass collapse events and persistent HABs, with septic-system nitrogen identified as a significant and growing contributor (Phlips et al. 2015; Lapointe et al. 2015, 2020). Both systems show the nonlinear, regime-shift character of shallow lagoon eutrophication that is directly relevant to the ESVA seaside system covered in Pathway 3b, but the tidal creek dynamics — nutrient delivery via groundwater, macroalgal response, and marsh edge consequences — are shared.</w:t>
      </w:r>
    </w:p>
    <w:p>
      <w:pPr>
        <w:pStyle w:val="BodyText"/>
      </w:pPr>
      <w:r>
        <w:t xml:space="preserve">None of these analogues is a perfect ESVA substitute. Plum Island has better experimental control but different salinity and geomorphology. Waquoit Bay has the cleanest septic attribution but a much smaller watershed. Great South Bay and Indian River Lagoon have ecological outcomes that approach worst-case trajectories but reflect decades of loading history ESVA has not yet accumulated. Taken together, however, they converge on a consistent picture: chronic nitrogen loading from dense residential septic systems in coastal-plain watersheds alters tidal creek and marsh ecology through mechanisms that are mechanistically understood, experimentally validated, and repeatedly observed.</w:t>
      </w:r>
    </w:p>
    <w:bookmarkEnd w:id="12"/>
    <w:bookmarkStart w:id="13" w:name="strength-of-evidence-assessment"/>
    <w:p>
      <w:pPr>
        <w:pStyle w:val="Heading2"/>
      </w:pPr>
      <w:r>
        <w:t xml:space="preserve">Strength-of-evidence assessment</w:t>
      </w:r>
    </w:p>
    <w:p>
      <w:pPr>
        <w:pStyle w:val="FirstParagraph"/>
      </w:pPr>
      <w:r>
        <w:t xml:space="preserve">Using the synthesis’s four-level labeling scheme (ESTABLISHED / STRONGLY SUPPORTED / PLAUSIBLE / SPECULATIVE):</w:t>
      </w:r>
    </w:p>
    <w:p>
      <w:pPr>
        <w:numPr>
          <w:ilvl w:val="0"/>
          <w:numId w:val="1002"/>
        </w:numPr>
      </w:pPr>
      <w:r>
        <w:rPr>
          <w:b/>
          <w:bCs/>
        </w:rPr>
        <w:t xml:space="preserve">Groundwater-mediated delivery of septic nitrate to ESVA tidal creeks — PLAUSIBLE</w:t>
      </w:r>
      <w:r>
        <w:t xml:space="preserve"> </w:t>
      </w:r>
      <w:r>
        <w:rPr>
          <w:b/>
          <w:bCs/>
        </w:rPr>
        <w:t xml:space="preserve">[Oct 2026: was STRONGLY SUPPORTED]</w:t>
      </w:r>
      <w:r>
        <w:t xml:space="preserve">. The hydrogeologic architecture is well documented: a shallow Columbia aquifer, short flow paths, and ~80 percent of Accomack creek freshwater inflow from groundwater (Richardson 1994; Speiran 1996, 2010; Accomack County Regional Water Supply Plan 2010). The ESVA nitrate data are agricultural. What is ESTABLISHED in analogue systems (Waquoit Bay) is mechanistically transferable to ESVA with high confidence, but direct ESVA-specific attribution studies have not yet been published.</w:t>
      </w:r>
    </w:p>
    <w:p>
      <w:pPr>
        <w:numPr>
          <w:ilvl w:val="0"/>
          <w:numId w:val="1002"/>
        </w:numPr>
      </w:pPr>
      <w:r>
        <w:rPr>
          <w:b/>
          <w:bCs/>
        </w:rPr>
        <w:t xml:space="preserve">Macroalgal blooms and macroalgal N recycling in ESVA lagoons — ESTABLISHED. Chronic external N loading as the driver of those blooms — PLAUSIBLE</w:t>
      </w:r>
      <w:r>
        <w:t xml:space="preserve"> </w:t>
      </w:r>
      <w:r>
        <w:rPr>
          <w:b/>
          <w:bCs/>
        </w:rPr>
        <w:t xml:space="preserve">[Oct 2026: was a single ESTABLISHED label]</w:t>
      </w:r>
      <w:r>
        <w:t xml:space="preserve">. The Hog Island Bay time series (Tyler, McGlathery, and Anderson 2001, 2003; Thomsen and McGlathery 2007) documented the blooms and their internal N cycling. The fraction of the loading attributable to septic versus agricultural versus atmospheric sources is not yet partitioned for ESVA.</w:t>
      </w:r>
    </w:p>
    <w:p>
      <w:pPr>
        <w:numPr>
          <w:ilvl w:val="0"/>
          <w:numId w:val="1002"/>
        </w:numPr>
      </w:pPr>
      <w:r>
        <w:rPr>
          <w:b/>
          <w:bCs/>
        </w:rPr>
        <w:t xml:space="preserve">Nitrogen loading at TIDE-experiment levels causes salt marsh bank collapse — ESTABLISHED.</w:t>
      </w:r>
      <w:r>
        <w:t xml:space="preserve"> </w:t>
      </w:r>
      <w:r>
        <w:t xml:space="preserve">The Deegan et al. (2012) experimental evidence is definitive within its system.</w:t>
      </w:r>
    </w:p>
    <w:p>
      <w:pPr>
        <w:numPr>
          <w:ilvl w:val="0"/>
          <w:numId w:val="1002"/>
        </w:numPr>
      </w:pPr>
      <w:r>
        <w:rPr>
          <w:b/>
          <w:bCs/>
        </w:rPr>
        <w:t xml:space="preserve">Bank-collapse mechanism is operative at current ESVA loading rates — SPECULATIVE</w:t>
      </w:r>
      <w:r>
        <w:t xml:space="preserve"> </w:t>
      </w:r>
      <w:r>
        <w:rPr>
          <w:b/>
          <w:bCs/>
        </w:rPr>
        <w:t xml:space="preserve">[Oct 2026: was PLAUSIBLE; no ESVA loading estimate exists to compare with TIDE]</w:t>
      </w:r>
      <w:r>
        <w:t xml:space="preserve">. The experimental loading in TIDE (~10× reference) is higher than best estimates of current ESVA loading. The mechanism likely operates at lower rates as well, but the dose–response curve is not well characterized and the threshold for ecologically meaningful change is uncertain. Chronic low-level enrichment may contribute to observed marsh loss on ESVA but cannot yet be partitioned from sea-level rise as the dominant driver.</w:t>
      </w:r>
    </w:p>
    <w:p>
      <w:pPr>
        <w:numPr>
          <w:ilvl w:val="0"/>
          <w:numId w:val="1002"/>
        </w:numPr>
      </w:pPr>
      <w:r>
        <w:rPr>
          <w:b/>
          <w:bCs/>
        </w:rPr>
        <w:t xml:space="preserve">Failing (as opposed to operating) septic systems on ESVA are a measurable contributor to current creek nitrogen loads — PLAUSIBLE.</w:t>
      </w:r>
      <w:r>
        <w:t xml:space="preserve"> </w:t>
      </w:r>
      <w:r>
        <w:t xml:space="preserve">Mechanism is sound; direct measurement is absent.</w:t>
      </w:r>
    </w:p>
    <w:p>
      <w:pPr>
        <w:numPr>
          <w:ilvl w:val="0"/>
          <w:numId w:val="1002"/>
        </w:numPr>
      </w:pPr>
      <w:r>
        <w:rPr>
          <w:b/>
          <w:bCs/>
        </w:rPr>
        <w:t xml:space="preserve">Marsh collapse on ESVA is currently being accelerated by septic-derived nitrogen — SPECULATIVE.</w:t>
      </w:r>
      <w:r>
        <w:t xml:space="preserve"> </w:t>
      </w:r>
      <w:r>
        <w:t xml:space="preserve">Would require partitioning among SLR, legacy agricultural loading, and septic loading that has not been attempted.</w:t>
      </w:r>
    </w:p>
    <w:bookmarkEnd w:id="13"/>
    <w:bookmarkStart w:id="14" w:name="data-gaps"/>
    <w:p>
      <w:pPr>
        <w:pStyle w:val="Heading2"/>
      </w:pPr>
      <w:r>
        <w:t xml:space="preserve">Data gaps</w:t>
      </w:r>
    </w:p>
    <w:p>
      <w:pPr>
        <w:pStyle w:val="FirstParagraph"/>
      </w:pPr>
      <w:r>
        <w:t xml:space="preserve">The most important open questions on this pathway, framed as actionable research targets for the project’s Expansion Stage and for ESCC capstone projects:</w:t>
      </w:r>
    </w:p>
    <w:p>
      <w:pPr>
        <w:numPr>
          <w:ilvl w:val="0"/>
          <w:numId w:val="1003"/>
        </w:numPr>
      </w:pPr>
      <w:r>
        <w:rPr>
          <w:b/>
          <w:bCs/>
        </w:rPr>
        <w:t xml:space="preserve">Source attribution for nitrogen loads in ESVA tidal creeks.</w:t>
      </w:r>
      <w:r>
        <w:t xml:space="preserve"> </w:t>
      </w:r>
      <w:r>
        <w:t xml:space="preserve">What fraction of the dissolved inorganic nitrogen flux reaching individual ESVA tidal creeks comes from septic systems versus agricultural applications versus atmospheric deposition? Methods exist (stable isotope mixing models, co-tracer approaches using caffeine or acesulfame, Bayesian mixing analysis); the work has simply not been done on ESVA creeks. A single well-designed synoptic sampling study across 5–10 creeks spanning a septic-density gradient would substantially close this gap.</w:t>
      </w:r>
    </w:p>
    <w:p>
      <w:pPr>
        <w:numPr>
          <w:ilvl w:val="0"/>
          <w:numId w:val="1003"/>
        </w:numPr>
      </w:pPr>
      <w:r>
        <w:rPr>
          <w:b/>
          <w:bCs/>
        </w:rPr>
        <w:t xml:space="preserve">Baseline macroalgal biomass and loading dose–response.</w:t>
      </w:r>
      <w:r>
        <w:t xml:space="preserve"> </w:t>
      </w:r>
      <w:r>
        <w:t xml:space="preserve">Current macroalgal dynamics in Hog Island Bay and other seaside bays are documented, but a loading dose–response that would let managers forecast bloom changes under different septic-mitigation scenarios is absent. VCR LTER data are the obvious starting point.</w:t>
      </w:r>
    </w:p>
    <w:p>
      <w:pPr>
        <w:numPr>
          <w:ilvl w:val="0"/>
          <w:numId w:val="1003"/>
        </w:numPr>
      </w:pPr>
      <w:r>
        <w:rPr>
          <w:b/>
          <w:bCs/>
        </w:rPr>
        <w:t xml:space="preserve">In-creek denitrification capacity.</w:t>
      </w:r>
      <w:r>
        <w:t xml:space="preserve"> </w:t>
      </w:r>
      <w:r>
        <w:t xml:space="preserve">How much of the septic-derived nitrogen that reaches ESVA tidal creeks is removed within the creek and its fringing marsh before it reaches the lagoons or the Bay? If the answer is</w:t>
      </w:r>
      <w:r>
        <w:t xml:space="preserve"> </w:t>
      </w:r>
      <w:r>
        <w:t xml:space="preserve">“most of it,”</w:t>
      </w:r>
      <w:r>
        <w:t xml:space="preserve"> </w:t>
      </w:r>
      <w:r>
        <w:t xml:space="preserve">then ecological harm is concentrated at creek scale and the receiving-water pathways (3a, 3b) are partially protected; if little, then the tidal creek is simply a conveyor. This question is tractable with established methods (N₂ flux chambers, push-pull tests).</w:t>
      </w:r>
    </w:p>
    <w:p>
      <w:pPr>
        <w:numPr>
          <w:ilvl w:val="0"/>
          <w:numId w:val="1003"/>
        </w:numPr>
      </w:pPr>
      <w:r>
        <w:rPr>
          <w:b/>
          <w:bCs/>
        </w:rPr>
        <w:t xml:space="preserve">Creek bank retreat rates partitioned by driver.</w:t>
      </w:r>
      <w:r>
        <w:t xml:space="preserve"> </w:t>
      </w:r>
      <w:r>
        <w:t xml:space="preserve">High-resolution aerial or UAV-based monitoring of creek bank retreat, combined with loading estimates, could test whether ESVA creek banks are retreating faster in higher-septic-density sub-watersheds. This is an ideal ESCC capstone project: the method is straightforward, the data sources are public, and the result would directly test the Deegan pathway at ESVA scale.</w:t>
      </w:r>
    </w:p>
    <w:p>
      <w:pPr>
        <w:numPr>
          <w:ilvl w:val="0"/>
          <w:numId w:val="1003"/>
        </w:numPr>
      </w:pPr>
      <w:r>
        <w:rPr>
          <w:b/>
          <w:bCs/>
        </w:rPr>
        <w:t xml:space="preserve">Long-term septic-derived nutrient loading trajectory.</w:t>
      </w:r>
      <w:r>
        <w:t xml:space="preserve"> </w:t>
      </w:r>
      <w:r>
        <w:t xml:space="preserve">Most septic systems on ESVA were installed decades ago, which means the groundwater system is currently receiving legacy loading from decades of operation. How much of the nutrient currently reaching tidal creeks is a legacy signal from historical loading versus a current-input signal? Groundwater age-dating (³H/³He, CFCs) can address this.</w:t>
      </w:r>
    </w:p>
    <w:p>
      <w:pPr>
        <w:numPr>
          <w:ilvl w:val="0"/>
          <w:numId w:val="1003"/>
        </w:numPr>
      </w:pPr>
      <w:r>
        <w:rPr>
          <w:b/>
          <w:bCs/>
        </w:rPr>
        <w:t xml:space="preserve">Integration with sea-level-rise compression of the unsaturated zone.</w:t>
      </w:r>
      <w:r>
        <w:t xml:space="preserve"> </w:t>
      </w:r>
      <w:r>
        <w:t xml:space="preserve">As the water table rises, the vertical separation between drainfields and groundwater shrinks, increasing nutrient throughput and shortening pathogen travel paths. The coupled effect of rising groundwater and nutrient loading on tidal creek ecology has not been quantitatively modeled for ESVA; the Hesamfar/Culver SEAWAT framework is the natural modeling platform.</w:t>
      </w:r>
    </w:p>
    <w:bookmarkEnd w:id="14"/>
    <w:bookmarkStart w:id="17" w:name="references"/>
    <w:p>
      <w:pPr>
        <w:pStyle w:val="Heading2"/>
      </w:pPr>
      <w:r>
        <w:t xml:space="preserve">References</w:t>
      </w:r>
    </w:p>
    <w:p>
      <w:pPr>
        <w:pStyle w:val="FirstParagraph"/>
      </w:pPr>
      <w:r>
        <w:t xml:space="preserve">Accomack County. 2010.</w:t>
      </w:r>
      <w:r>
        <w:t xml:space="preserve"> </w:t>
      </w:r>
      <w:r>
        <w:rPr>
          <w:i/>
          <w:iCs/>
        </w:rPr>
        <w:t xml:space="preserve">Accomack County Regional Water Supply Plan</w:t>
      </w:r>
      <w:r>
        <w:t xml:space="preserve"> </w:t>
      </w:r>
      <w:r>
        <w:t xml:space="preserve">(April 2010). Prepared with the Accomack–Northampton Planning District Commission.</w:t>
      </w:r>
      <w:r>
        <w:t xml:space="preserve"> </w:t>
      </w:r>
      <w:hyperlink r:id="rId15">
        <w:r>
          <w:rPr>
            <w:rStyle w:val="Hyperlink"/>
          </w:rPr>
          <w:t xml:space="preserve">https://www.esvaplan.org/wp-content/uploads/2024/05/Accomack-County-Water-Supply-Plan.pdf</w:t>
        </w:r>
      </w:hyperlink>
    </w:p>
    <w:p>
      <w:pPr>
        <w:pStyle w:val="BodyText"/>
      </w:pPr>
      <w:r>
        <w:t xml:space="preserve">A-NPDC (Accomack-Northampton Planning District Commission). 2022.</w:t>
      </w:r>
      <w:r>
        <w:t xml:space="preserve"> </w:t>
      </w:r>
      <w:r>
        <w:rPr>
          <w:b/>
          <w:bCs/>
        </w:rPr>
        <w:t xml:space="preserve">[Oct 2026: not the source of the 80% figure]</w:t>
      </w:r>
      <w:r>
        <w:t xml:space="preserve"> </w:t>
      </w:r>
      <w:r>
        <w:rPr>
          <w:i/>
          <w:iCs/>
        </w:rPr>
        <w:t xml:space="preserve">Facts about the Eastern Shore of Virginia’s Groundwater.</w:t>
      </w:r>
      <w:r>
        <w:t xml:space="preserve"> </w:t>
      </w:r>
      <w:hyperlink r:id="rId16">
        <w:r>
          <w:rPr>
            <w:rStyle w:val="Hyperlink"/>
          </w:rPr>
          <w:t xml:space="preserve">https://www.esvaplan.org/wp-content/uploads/2022/03/Facts-about-the-ESVA-Groundwater.pdf</w:t>
        </w:r>
      </w:hyperlink>
    </w:p>
    <w:p>
      <w:pPr>
        <w:pStyle w:val="BodyText"/>
      </w:pPr>
      <w:r>
        <w:t xml:space="preserve">Bohlke, J. K., and J. M. Denver. 1995. Combined use of groundwater dating, chemical, and isotopic analyses to resolve the history and fate of nitrate contamination in two agricultural watersheds, Atlantic coastal plain, Maryland.</w:t>
      </w:r>
      <w:r>
        <w:t xml:space="preserve"> </w:t>
      </w:r>
      <w:r>
        <w:rPr>
          <w:i/>
          <w:iCs/>
        </w:rPr>
        <w:t xml:space="preserve">Water Resources Research</w:t>
      </w:r>
      <w:r>
        <w:t xml:space="preserve"> </w:t>
      </w:r>
      <w:r>
        <w:t xml:space="preserve">31(9): 2319–2339.</w:t>
      </w:r>
    </w:p>
    <w:p>
      <w:pPr>
        <w:pStyle w:val="BodyText"/>
      </w:pPr>
      <w:r>
        <w:t xml:space="preserve">Bowen, J. L., and I. Valiela. 2001. The ecological effects of urbanization of coastal watersheds: historical increases in nitrogen loads and eutrophication of Waquoit Bay estuaries.</w:t>
      </w:r>
      <w:r>
        <w:t xml:space="preserve"> </w:t>
      </w:r>
      <w:r>
        <w:rPr>
          <w:i/>
          <w:iCs/>
        </w:rPr>
        <w:t xml:space="preserve">Canadian Journal of Fisheries and Aquatic Sciences</w:t>
      </w:r>
      <w:r>
        <w:t xml:space="preserve"> </w:t>
      </w:r>
      <w:r>
        <w:t xml:space="preserve">58(8): 1489–1500.</w:t>
      </w:r>
    </w:p>
    <w:p>
      <w:pPr>
        <w:pStyle w:val="BodyText"/>
      </w:pPr>
      <w:r>
        <w:t xml:space="preserve">Bowen, J. L., and I. Valiela. 2008. Using δ¹⁵N to assess coupling between watersheds and estuaries in temperate and tropical regions.</w:t>
      </w:r>
      <w:r>
        <w:t xml:space="preserve"> </w:t>
      </w:r>
      <w:r>
        <w:rPr>
          <w:i/>
          <w:iCs/>
        </w:rPr>
        <w:t xml:space="preserve">Journal of Coastal Research</w:t>
      </w:r>
      <w:r>
        <w:t xml:space="preserve"> </w:t>
      </w:r>
      <w:r>
        <w:t xml:space="preserve">24(3): 804–813.</w:t>
      </w:r>
    </w:p>
    <w:p>
      <w:pPr>
        <w:pStyle w:val="BodyText"/>
      </w:pPr>
      <w:r>
        <w:t xml:space="preserve">Capps, K. A., J. M. Bateman McDonald, N. Gaur, and R. Parsons. 2020. Assessing the socio-environmental risk of onsite wastewater treatment systems to inform management decisions.</w:t>
      </w:r>
      <w:r>
        <w:t xml:space="preserve"> </w:t>
      </w:r>
      <w:r>
        <w:rPr>
          <w:i/>
          <w:iCs/>
        </w:rPr>
        <w:t xml:space="preserve">Environmental Science &amp; Technology</w:t>
      </w:r>
      <w:r>
        <w:t xml:space="preserve"> </w:t>
      </w:r>
      <w:r>
        <w:t xml:space="preserve">54(23): 14843–14853. doi:10.1021/acs.est.0c03909.</w:t>
      </w:r>
    </w:p>
    <w:p>
      <w:pPr>
        <w:pStyle w:val="BodyText"/>
      </w:pPr>
      <w:r>
        <w:t xml:space="preserve">Carroll, S., A. Goonetilleke, E. Thomas, M. Hargreaves, R. Frost, and L. Dawes. 2005. Integrated risk framework for onsite wastewater treatment systems.</w:t>
      </w:r>
      <w:r>
        <w:t xml:space="preserve"> </w:t>
      </w:r>
      <w:r>
        <w:rPr>
          <w:i/>
          <w:iCs/>
        </w:rPr>
        <w:t xml:space="preserve">Environmental Management</w:t>
      </w:r>
      <w:r>
        <w:t xml:space="preserve"> </w:t>
      </w:r>
      <w:r>
        <w:t xml:space="preserve">38(2): 286–303.</w:t>
      </w:r>
    </w:p>
    <w:p>
      <w:pPr>
        <w:pStyle w:val="BodyText"/>
      </w:pPr>
      <w:r>
        <w:t xml:space="preserve">Deegan, L. A., D. S. Johnson, R. S. Warren, B. J. Peterson, J. W. Fleeger, S. Fagherazzi, and W. M. Wollheim. 2012. Coastal eutrophication as a driver of salt marsh loss.</w:t>
      </w:r>
      <w:r>
        <w:t xml:space="preserve"> </w:t>
      </w:r>
      <w:r>
        <w:rPr>
          <w:i/>
          <w:iCs/>
        </w:rPr>
        <w:t xml:space="preserve">Nature</w:t>
      </w:r>
      <w:r>
        <w:t xml:space="preserve"> </w:t>
      </w:r>
      <w:r>
        <w:t xml:space="preserve">490(7420): 388–392. doi:10.1038/nature11533.</w:t>
      </w:r>
    </w:p>
    <w:p>
      <w:pPr>
        <w:pStyle w:val="BodyText"/>
      </w:pPr>
      <w:r>
        <w:t xml:space="preserve">Gobler, C. J., G. E. Boneillo, and C. J. Debenham. 2005. Ecology, phylogeny, and physiology of the harmful brown tide alga,</w:t>
      </w:r>
      <w:r>
        <w:t xml:space="preserve"> </w:t>
      </w:r>
      <w:r>
        <w:rPr>
          <w:i/>
          <w:iCs/>
        </w:rPr>
        <w:t xml:space="preserve">Aureococcus anophagefferens. Harmful Algae</w:t>
      </w:r>
      <w:r>
        <w:t xml:space="preserve"> </w:t>
      </w:r>
      <w:r>
        <w:t xml:space="preserve">4(4): 649–669.</w:t>
      </w:r>
    </w:p>
    <w:p>
      <w:pPr>
        <w:pStyle w:val="BodyText"/>
      </w:pPr>
      <w:r>
        <w:t xml:space="preserve">Kinney, E. L., and I. Valiela. 2011. Nitrogen loading to Great South Bay: land use, sources, retention, and transport from land to bay.</w:t>
      </w:r>
      <w:r>
        <w:t xml:space="preserve"> </w:t>
      </w:r>
      <w:r>
        <w:rPr>
          <w:i/>
          <w:iCs/>
        </w:rPr>
        <w:t xml:space="preserve">Journal of Coastal Research</w:t>
      </w:r>
      <w:r>
        <w:t xml:space="preserve"> </w:t>
      </w:r>
      <w:r>
        <w:t xml:space="preserve">27(4): 672–686.</w:t>
      </w:r>
    </w:p>
    <w:p>
      <w:pPr>
        <w:pStyle w:val="BodyText"/>
      </w:pPr>
      <w:r>
        <w:t xml:space="preserve">Kirwan, M. L., and J. P. Megonigal. 2013. Tidal wetland stability in the face of human impacts and sea-level rise.</w:t>
      </w:r>
      <w:r>
        <w:t xml:space="preserve"> </w:t>
      </w:r>
      <w:r>
        <w:rPr>
          <w:i/>
          <w:iCs/>
        </w:rPr>
        <w:t xml:space="preserve">Nature</w:t>
      </w:r>
      <w:r>
        <w:t xml:space="preserve"> </w:t>
      </w:r>
      <w:r>
        <w:t xml:space="preserve">504(7478): 53–60.</w:t>
      </w:r>
    </w:p>
    <w:p>
      <w:pPr>
        <w:pStyle w:val="BodyText"/>
      </w:pPr>
      <w:r>
        <w:t xml:space="preserve">Kirwan, M. L., S. Temmerman, E. E. Skeehan, G. R. Guntenspergen, and S. Fagherazzi. 2016. Overestimation of marsh vulnerability to sea level rise.</w:t>
      </w:r>
      <w:r>
        <w:t xml:space="preserve"> </w:t>
      </w:r>
      <w:r>
        <w:rPr>
          <w:i/>
          <w:iCs/>
        </w:rPr>
        <w:t xml:space="preserve">Nature Climate Change</w:t>
      </w:r>
      <w:r>
        <w:t xml:space="preserve"> </w:t>
      </w:r>
      <w:r>
        <w:t xml:space="preserve">6: 253–260.</w:t>
      </w:r>
    </w:p>
    <w:p>
      <w:pPr>
        <w:pStyle w:val="BodyText"/>
      </w:pPr>
      <w:r>
        <w:t xml:space="preserve">Lapointe, B. E., L. W. Herren, D. D. Debortoli, and M. A. Vogel. 2015. Evidence of sewage-driven eutrophication and harmful algal blooms in Florida’s Indian River Lagoon.</w:t>
      </w:r>
      <w:r>
        <w:t xml:space="preserve"> </w:t>
      </w:r>
      <w:r>
        <w:rPr>
          <w:i/>
          <w:iCs/>
        </w:rPr>
        <w:t xml:space="preserve">Harmful Algae</w:t>
      </w:r>
      <w:r>
        <w:t xml:space="preserve"> </w:t>
      </w:r>
      <w:r>
        <w:t xml:space="preserve">43: 82–102.</w:t>
      </w:r>
    </w:p>
    <w:p>
      <w:pPr>
        <w:pStyle w:val="BodyText"/>
      </w:pPr>
      <w:r>
        <w:t xml:space="preserve">Lapointe, B. E., L. W. Herren, R. A. Brewton, and P. K. Alderman. 2020. Nutrient over-enrichment and light limitation of seagrass communities in the Indian River Lagoon, an urbanized subtropical estuary.</w:t>
      </w:r>
      <w:r>
        <w:t xml:space="preserve"> </w:t>
      </w:r>
      <w:r>
        <w:rPr>
          <w:i/>
          <w:iCs/>
        </w:rPr>
        <w:t xml:space="preserve">Science of the Total Environment</w:t>
      </w:r>
      <w:r>
        <w:t xml:space="preserve"> </w:t>
      </w:r>
      <w:r>
        <w:t xml:space="preserve">699: 134068.</w:t>
      </w:r>
    </w:p>
    <w:p>
      <w:pPr>
        <w:pStyle w:val="BodyText"/>
      </w:pPr>
      <w:r>
        <w:t xml:space="preserve">McGlathery, K. J., K. Sundbäck, and I. C. Anderson. 2007. Eutrophication in shallow coastal bays and lagoons: the role of plants in the coastal filter.</w:t>
      </w:r>
      <w:r>
        <w:t xml:space="preserve"> </w:t>
      </w:r>
      <w:r>
        <w:rPr>
          <w:i/>
          <w:iCs/>
        </w:rPr>
        <w:t xml:space="preserve">Marine Ecology Progress Series</w:t>
      </w:r>
      <w:r>
        <w:t xml:space="preserve"> </w:t>
      </w:r>
      <w:r>
        <w:t xml:space="preserve">348: 1–18.</w:t>
      </w:r>
    </w:p>
    <w:p>
      <w:pPr>
        <w:pStyle w:val="BodyText"/>
      </w:pPr>
      <w:r>
        <w:t xml:space="preserve">Mitchell, M., R. E. Isdell, J. Herman, and C. Tombleson. 2021. Impact assessment and management challenges of key rural human health infrastructure under sea level rise.</w:t>
      </w:r>
      <w:r>
        <w:t xml:space="preserve"> </w:t>
      </w:r>
      <w:r>
        <w:rPr>
          <w:i/>
          <w:iCs/>
        </w:rPr>
        <w:t xml:space="preserve">Frontiers in Marine Science</w:t>
      </w:r>
      <w:r>
        <w:t xml:space="preserve"> </w:t>
      </w:r>
      <w:r>
        <w:t xml:space="preserve">8: 631757. doi:10.3389/fmars.2021.631757.</w:t>
      </w:r>
    </w:p>
    <w:p>
      <w:pPr>
        <w:pStyle w:val="BodyText"/>
      </w:pPr>
      <w:r>
        <w:t xml:space="preserve">Phlips, E. J., S. Badylak, M. A. Lasi, R. Chamberlain, W. C. Green, L. M. Hall, J. A. Hart, J. C. Lockwood, J. D. Miller, L. J. Morris, and J. S. Steward. 2015. From red tides to green and brown tides: bloom dynamics in a restricted subtropical lagoon under shifting climatic conditions.</w:t>
      </w:r>
      <w:r>
        <w:t xml:space="preserve"> </w:t>
      </w:r>
      <w:r>
        <w:rPr>
          <w:i/>
          <w:iCs/>
        </w:rPr>
        <w:t xml:space="preserve">Estuaries and Coasts</w:t>
      </w:r>
      <w:r>
        <w:t xml:space="preserve"> </w:t>
      </w:r>
      <w:r>
        <w:t xml:space="preserve">38: 886–904.</w:t>
      </w:r>
    </w:p>
    <w:p>
      <w:pPr>
        <w:pStyle w:val="BodyText"/>
      </w:pPr>
      <w:r>
        <w:t xml:space="preserve">Richardson, D. L. 1994.</w:t>
      </w:r>
      <w:r>
        <w:t xml:space="preserve"> </w:t>
      </w:r>
      <w:r>
        <w:rPr>
          <w:i/>
          <w:iCs/>
        </w:rPr>
        <w:t xml:space="preserve">Hydrogeology and analysis of the ground-water-flow system of the Eastern Shore, Virginia.</w:t>
      </w:r>
      <w:r>
        <w:t xml:space="preserve"> </w:t>
      </w:r>
      <w:r>
        <w:t xml:space="preserve">U.S. Geological Survey Water-Supply Paper 2401.</w:t>
      </w:r>
    </w:p>
    <w:p>
      <w:pPr>
        <w:pStyle w:val="BodyText"/>
      </w:pPr>
      <w:r>
        <w:t xml:space="preserve">Speiran, G. K. 1996.</w:t>
      </w:r>
      <w:r>
        <w:t xml:space="preserve"> </w:t>
      </w:r>
      <w:r>
        <w:rPr>
          <w:i/>
          <w:iCs/>
        </w:rPr>
        <w:t xml:space="preserve">Geohydrology and geochemistry near coastal ground-water-discharge areas of the Eastern Shore, Virginia.</w:t>
      </w:r>
      <w:r>
        <w:t xml:space="preserve"> </w:t>
      </w:r>
      <w:r>
        <w:t xml:space="preserve">U.S. Geological Survey Water-Supply Paper 2479.</w:t>
      </w:r>
    </w:p>
    <w:p>
      <w:pPr>
        <w:pStyle w:val="BodyText"/>
      </w:pPr>
      <w:r>
        <w:t xml:space="preserve">Speiran, G. K. 2010. Effects of groundwater-flow paths on nitrate concentrations across two riparian forest corridors.</w:t>
      </w:r>
      <w:r>
        <w:t xml:space="preserve"> </w:t>
      </w:r>
      <w:r>
        <w:rPr>
          <w:i/>
          <w:iCs/>
        </w:rPr>
        <w:t xml:space="preserve">Journal of the American Water Resources Association</w:t>
      </w:r>
      <w:r>
        <w:t xml:space="preserve"> </w:t>
      </w:r>
      <w:r>
        <w:t xml:space="preserve">46(2): 246–260.</w:t>
      </w:r>
    </w:p>
    <w:p>
      <w:pPr>
        <w:pStyle w:val="BodyText"/>
      </w:pPr>
      <w:r>
        <w:t xml:space="preserve">Stanhope, J. W., I. C. Anderson, and W. G. Reay. 2009. Base flow nutrient discharges from lower Delmarva Peninsula watersheds of Virginia, USA.</w:t>
      </w:r>
      <w:r>
        <w:t xml:space="preserve"> </w:t>
      </w:r>
      <w:r>
        <w:rPr>
          <w:i/>
          <w:iCs/>
        </w:rPr>
        <w:t xml:space="preserve">Journal of Environmental Quality</w:t>
      </w:r>
      <w:r>
        <w:t xml:space="preserve"> </w:t>
      </w:r>
      <w:r>
        <w:t xml:space="preserve">38: 2070–2083. doi:10.2134/jeq2008.0358.</w:t>
      </w:r>
      <w:r>
        <w:t xml:space="preserve"> </w:t>
      </w:r>
      <w:r>
        <w:rPr>
          <w:b/>
          <w:bCs/>
        </w:rPr>
        <w:t xml:space="preserve">[Oct 2026: added; abstract verified]</w:t>
      </w:r>
    </w:p>
    <w:p>
      <w:pPr>
        <w:pStyle w:val="BodyText"/>
      </w:pPr>
      <w:r>
        <w:t xml:space="preserve">Thomsen, M. S. 2010. Experimental evidence for positive effects of invasive seaweed on native invertebrates via habitat-formation in a seagrass bed.</w:t>
      </w:r>
      <w:r>
        <w:t xml:space="preserve"> </w:t>
      </w:r>
      <w:r>
        <w:rPr>
          <w:i/>
          <w:iCs/>
        </w:rPr>
        <w:t xml:space="preserve">Aquatic Invasions</w:t>
      </w:r>
      <w:r>
        <w:t xml:space="preserve"> </w:t>
      </w:r>
      <w:r>
        <w:t xml:space="preserve">5(4): 341–346.</w:t>
      </w:r>
    </w:p>
    <w:p>
      <w:pPr>
        <w:pStyle w:val="BodyText"/>
      </w:pPr>
      <w:r>
        <w:t xml:space="preserve">Thomsen, M. S., and K. J. McGlathery. 2007. Stress tolerance of the invasive macroalgae</w:t>
      </w:r>
      <w:r>
        <w:t xml:space="preserve"> </w:t>
      </w:r>
      <w:r>
        <w:rPr>
          <w:i/>
          <w:iCs/>
        </w:rPr>
        <w:t xml:space="preserve">Codium fragile</w:t>
      </w:r>
      <w:r>
        <w:t xml:space="preserve"> </w:t>
      </w:r>
      <w:r>
        <w:t xml:space="preserve">and</w:t>
      </w:r>
      <w:r>
        <w:t xml:space="preserve"> </w:t>
      </w:r>
      <w:r>
        <w:rPr>
          <w:i/>
          <w:iCs/>
        </w:rPr>
        <w:t xml:space="preserve">Gracilaria vermiculophylla</w:t>
      </w:r>
      <w:r>
        <w:t xml:space="preserve"> </w:t>
      </w:r>
      <w:r>
        <w:t xml:space="preserve">in a soft-bottom turbid lagoon.</w:t>
      </w:r>
      <w:r>
        <w:t xml:space="preserve"> </w:t>
      </w:r>
      <w:r>
        <w:rPr>
          <w:i/>
          <w:iCs/>
        </w:rPr>
        <w:t xml:space="preserve">Biological Invasions</w:t>
      </w:r>
      <w:r>
        <w:t xml:space="preserve"> </w:t>
      </w:r>
      <w:r>
        <w:t xml:space="preserve">9(5): 499–513.</w:t>
      </w:r>
    </w:p>
    <w:p>
      <w:pPr>
        <w:pStyle w:val="BodyText"/>
      </w:pPr>
      <w:r>
        <w:t xml:space="preserve">Thomsen, M. S., K. J. McGlathery, and A. C. Tyler. 2007. Macroalgal distribution patterns in a shallow, soft-bottom lagoon, with emphasis on the non-native</w:t>
      </w:r>
      <w:r>
        <w:t xml:space="preserve"> </w:t>
      </w:r>
      <w:r>
        <w:rPr>
          <w:i/>
          <w:iCs/>
        </w:rPr>
        <w:t xml:space="preserve">Gracilaria vermiculophylla</w:t>
      </w:r>
      <w:r>
        <w:t xml:space="preserve"> </w:t>
      </w:r>
      <w:r>
        <w:t xml:space="preserve">and</w:t>
      </w:r>
      <w:r>
        <w:t xml:space="preserve"> </w:t>
      </w:r>
      <w:r>
        <w:rPr>
          <w:i/>
          <w:iCs/>
        </w:rPr>
        <w:t xml:space="preserve">Codium fragile. Estuaries and Coasts</w:t>
      </w:r>
      <w:r>
        <w:t xml:space="preserve"> </w:t>
      </w:r>
      <w:r>
        <w:t xml:space="preserve">29(3): 465–473.</w:t>
      </w:r>
    </w:p>
    <w:p>
      <w:pPr>
        <w:pStyle w:val="BodyText"/>
      </w:pPr>
      <w:r>
        <w:t xml:space="preserve">Tyler, A. C., K. J. McGlathery, and I. C. Anderson. 2001. Macroalgae mediation of dissolved organic nitrogen fluxes in a temperate coastal lagoon.</w:t>
      </w:r>
      <w:r>
        <w:t xml:space="preserve"> </w:t>
      </w:r>
      <w:r>
        <w:rPr>
          <w:i/>
          <w:iCs/>
        </w:rPr>
        <w:t xml:space="preserve">Estuarine, Coastal and Shelf Science</w:t>
      </w:r>
      <w:r>
        <w:t xml:space="preserve"> </w:t>
      </w:r>
      <w:r>
        <w:t xml:space="preserve">53(2): 155–168.</w:t>
      </w:r>
    </w:p>
    <w:p>
      <w:pPr>
        <w:pStyle w:val="BodyText"/>
      </w:pPr>
      <w:r>
        <w:t xml:space="preserve">Tyler, A. C., K. J. McGlathery, and I. C. Anderson. 2003. Benthic algae control sediment–water column fluxes of organic and inorganic nitrogen compounds in a temperate lagoon.</w:t>
      </w:r>
      <w:r>
        <w:t xml:space="preserve"> </w:t>
      </w:r>
      <w:r>
        <w:rPr>
          <w:i/>
          <w:iCs/>
        </w:rPr>
        <w:t xml:space="preserve">Limnology and Oceanography</w:t>
      </w:r>
      <w:r>
        <w:t xml:space="preserve"> </w:t>
      </w:r>
      <w:r>
        <w:t xml:space="preserve">48(6): 2125–2137.</w:t>
      </w:r>
    </w:p>
    <w:p>
      <w:pPr>
        <w:pStyle w:val="BodyText"/>
      </w:pPr>
      <w:r>
        <w:t xml:space="preserve">Valiela, I., G. Collins, J. Kremer, K. Lajtha, M. Geist, B. Seely, J. Brawley, and C. H. Sham. 1997. Nitrogen loading from coastal watersheds to receiving estuaries: new method and application.</w:t>
      </w:r>
      <w:r>
        <w:t xml:space="preserve"> </w:t>
      </w:r>
      <w:r>
        <w:rPr>
          <w:i/>
          <w:iCs/>
        </w:rPr>
        <w:t xml:space="preserve">Ecological Applications</w:t>
      </w:r>
      <w:r>
        <w:t xml:space="preserve"> </w:t>
      </w:r>
      <w:r>
        <w:t xml:space="preserve">7(2): 358–380.</w:t>
      </w:r>
    </w:p>
    <w:p>
      <w:pPr>
        <w:pStyle w:val="BodyText"/>
      </w:pPr>
      <w:r>
        <w:t xml:space="preserve">Weston, N. B. 2014. Declining sediments and rising seas: an unfortunate convergence for tidal wetlands.</w:t>
      </w:r>
      <w:r>
        <w:t xml:space="preserve"> </w:t>
      </w:r>
      <w:r>
        <w:rPr>
          <w:i/>
          <w:iCs/>
        </w:rPr>
        <w:t xml:space="preserve">Estuaries and Coasts</w:t>
      </w:r>
      <w:r>
        <w:t xml:space="preserve"> </w:t>
      </w:r>
      <w:r>
        <w:t xml:space="preserve">37(1): 1–23.</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www.esvaplan.org/wp-content/uploads/2022/03/Facts-about-the-ESVA-Groundwater.pdf" TargetMode="External" /><Relationship Type="http://schemas.openxmlformats.org/officeDocument/2006/relationships/hyperlink" Id="rId15" Target="https://www.esvaplan.org/wp-content/uploads/2024/05/Accomack-County-Water-Supply-Plan.pdf" TargetMode="External" /></Relationships>
</file>

<file path=word/_rels/footnotes.xml.rels><?xml version="1.0" encoding="UTF-8"?><Relationships xmlns="http://schemas.openxmlformats.org/package/2006/relationships"><Relationship Type="http://schemas.openxmlformats.org/officeDocument/2006/relationships/hyperlink" Id="rId16" Target="https://www.esvaplan.org/wp-content/uploads/2022/03/Facts-about-the-ESVA-Groundwater.pdf" TargetMode="External" /><Relationship Type="http://schemas.openxmlformats.org/officeDocument/2006/relationships/hyperlink" Id="rId15" Target="https://www.esvaplan.org/wp-content/uploads/2024/05/Accomack-County-Water-Supply-Pla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2026-10-02T14:00:48Z</dcterms:created>
  <dcterms:modified xsi:type="dcterms:W3CDTF">2026-10-02T14:00:48Z</dcterms:modified>
</cp:coreProperties>
</file>

<file path=docProps/custom.xml><?xml version="1.0" encoding="utf-8"?>
<Properties xmlns="http://schemas.openxmlformats.org/officeDocument/2006/custom-properties" xmlns:vt="http://schemas.openxmlformats.org/officeDocument/2006/docPropsVTypes"/>
</file>