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a41680140248a8ebf7d3ef14695761d49d36a9"/>
    <w:p>
      <w:pPr>
        <w:pStyle w:val="Heading1"/>
      </w:pPr>
      <w:r>
        <w:t xml:space="preserve">Pathway 3a — Chesapeake Bay mainstem and ESVA Bayside tributaries</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ESVA-specific evidence. Corrections are marked</w:t>
      </w:r>
      <w:r>
        <w:t xml:space="preserve"> </w:t>
      </w:r>
      <w:r>
        <w:rPr>
          <w:b/>
          <w:bCs/>
        </w:rPr>
        <w:t xml:space="preserve">[Oct 2026]</w:t>
      </w:r>
      <w:r>
        <w:t xml:space="preserve"> </w:t>
      </w:r>
      <w:r>
        <w:t xml:space="preserve">in the text:</w:t>
      </w:r>
    </w:p>
    <w:p>
      <w:pPr>
        <w:pStyle w:val="Compact"/>
        <w:numPr>
          <w:ilvl w:val="0"/>
          <w:numId w:val="1001"/>
        </w:numPr>
      </w:pPr>
      <w:r>
        <w:rPr>
          <w:b/>
          <w:bCs/>
        </w:rPr>
        <w:t xml:space="preserve">The</w:t>
      </w:r>
      <w:r>
        <w:rPr>
          <w:b/>
          <w:bCs/>
        </w:rPr>
        <w:t xml:space="preserve"> </w:t>
      </w:r>
      <w:r>
        <w:rPr>
          <w:b/>
          <w:bCs/>
        </w:rPr>
        <w:t xml:space="preserve">“20–40%”</w:t>
      </w:r>
      <w:r>
        <w:rPr>
          <w:b/>
          <w:bCs/>
        </w:rPr>
        <w:t xml:space="preserve"> </w:t>
      </w:r>
      <w:r>
        <w:rPr>
          <w:b/>
          <w:bCs/>
        </w:rPr>
        <w:t xml:space="preserve">local septic share is withdrawn.</w:t>
      </w:r>
      <w:r>
        <w:t xml:space="preserve"> </w:t>
      </w:r>
      <w:r>
        <w:t xml:space="preserve">No calculation in Mitchell et al. (2021) or elsewhere supports it. The claim that Ator et al. (2020) and Sanford &amp; Pope (2013) show Phase 6 septic coefficients to be a lower bound is also withdrawn. Sanford &amp; Pope predates Phase 6, and Ator et al. is a 1992–2012 trend analysis. The local ESVA septic share is</w:t>
      </w:r>
      <w:r>
        <w:t xml:space="preserve"> </w:t>
      </w:r>
      <w:r>
        <w:rPr>
          <w:b/>
          <w:bCs/>
        </w:rPr>
        <w:t xml:space="preserve">unknown</w:t>
      </w:r>
      <w:r>
        <w:t xml:space="preserve">.</w:t>
      </w:r>
    </w:p>
    <w:p>
      <w:pPr>
        <w:pStyle w:val="Compact"/>
        <w:numPr>
          <w:ilvl w:val="0"/>
          <w:numId w:val="1001"/>
        </w:numPr>
      </w:pPr>
      <w:r>
        <w:rPr>
          <w:b/>
          <w:bCs/>
        </w:rPr>
        <w:t xml:space="preserve">Mitchell et al. (2021)</w:t>
      </w:r>
      <w:r>
        <w:t xml:space="preserve"> </w:t>
      </w:r>
      <w:r>
        <w:t xml:space="preserve">is a Tidewater-wide repair-permit analysis. It does not rank ESVA as having the highest at-risk densities, contains no 1.5-ft sea-level scenario (it uses MSL + 3 ft), and has no nitrogen calculations. It found only one septic/low-water-quality overlap in Tidewater and urged</w:t>
      </w:r>
      <w:r>
        <w:t xml:space="preserve"> </w:t>
      </w:r>
      <w:r>
        <w:t xml:space="preserve">“extreme caution.”</w:t>
      </w:r>
      <w:r>
        <w:t xml:space="preserve"> </w:t>
      </w:r>
      <w:r>
        <w:t xml:space="preserve">The</w:t>
      </w:r>
      <w:r>
        <w:t xml:space="preserve"> </w:t>
      </w:r>
      <w:r>
        <w:t xml:space="preserve">“CBSAG companion report”</w:t>
      </w:r>
      <w:r>
        <w:t xml:space="preserve"> </w:t>
      </w:r>
      <w:r>
        <w:t xml:space="preserve">is a 2021 slide presentation by the same authors.</w:t>
      </w:r>
    </w:p>
    <w:p>
      <w:pPr>
        <w:pStyle w:val="Compact"/>
        <w:numPr>
          <w:ilvl w:val="0"/>
          <w:numId w:val="1001"/>
        </w:numPr>
      </w:pPr>
      <w:r>
        <w:rPr>
          <w:b/>
          <w:bCs/>
        </w:rPr>
        <w:t xml:space="preserve">Phase 6 arithmetic.</w:t>
      </w:r>
      <w:r>
        <w:t xml:space="preserve"> </w:t>
      </w:r>
      <w:r>
        <w:t xml:space="preserve">The text said the Phase 6 total load</w:t>
      </w:r>
      <w:r>
        <w:t xml:space="preserve"> </w:t>
      </w:r>
      <w:r>
        <w:t xml:space="preserve">“rose,”</w:t>
      </w:r>
      <w:r>
        <w:t xml:space="preserve"> </w:t>
      </w:r>
      <w:r>
        <w:t xml:space="preserve">but the figures given fall from ~300 to ~260 million lb/yr. Re-pull both model versions from CAST before citing.</w:t>
      </w:r>
    </w:p>
    <w:p>
      <w:pPr>
        <w:pStyle w:val="Compact"/>
        <w:numPr>
          <w:ilvl w:val="0"/>
          <w:numId w:val="1001"/>
        </w:numPr>
      </w:pPr>
      <w:r>
        <w:rPr>
          <w:b/>
          <w:bCs/>
        </w:rPr>
        <w:t xml:space="preserve">Misattributions corrected or flagged.</w:t>
      </w:r>
      <w:r>
        <w:t xml:space="preserve"> </w:t>
      </w:r>
      <w:r>
        <w:t xml:space="preserve">Bratton et al. (2009) studied Chincoteague Bay, Maryland (a seaside lagoon), not the Bayside. Capps et al. (2020) is a single-jurisdiction framework study that says nothing about Delmarva. Shields et al. (2008), Burkholder &amp; Glasgow (2001) and Glibert et al. (2014) do not match the claims they were cited for, and those claims are now marked unverified.</w:t>
      </w:r>
    </w:p>
    <w:p>
      <w:pPr>
        <w:pStyle w:val="Compact"/>
        <w:numPr>
          <w:ilvl w:val="0"/>
          <w:numId w:val="1001"/>
        </w:numPr>
      </w:pPr>
      <w:r>
        <w:rPr>
          <w:b/>
          <w:bCs/>
        </w:rPr>
        <w:t xml:space="preserve">Unverified ESVA claims marked:</w:t>
      </w:r>
      <w:r>
        <w:t xml:space="preserve"> </w:t>
      </w:r>
      <w:r>
        <w:t xml:space="preserve">“Bayside segments carry among the lowest eelgrass densities”</w:t>
      </w:r>
      <w:r>
        <w:t xml:space="preserve">;</w:t>
      </w:r>
      <w:r>
        <w:t xml:space="preserve"> </w:t>
      </w:r>
      <w:r>
        <w:t xml:space="preserve">“≈80–90% unsewered.”</w:t>
      </w:r>
      <w:r>
        <w:t xml:space="preserve"> </w:t>
      </w:r>
      <w:r>
        <w:t xml:space="preserve">The unsourced</w:t>
      </w:r>
      <w:r>
        <w:t xml:space="preserve"> </w:t>
      </w:r>
      <w:r>
        <w:t xml:space="preserve">“Northampton’s Bayside shoreline already shows this transition”</w:t>
      </w:r>
      <w:r>
        <w:t xml:space="preserve"> </w:t>
      </w:r>
      <w:r>
        <w:t xml:space="preserve">is withdrawn.</w:t>
      </w:r>
    </w:p>
    <w:p>
      <w:pPr>
        <w:pStyle w:val="Compact"/>
        <w:numPr>
          <w:ilvl w:val="0"/>
          <w:numId w:val="1001"/>
        </w:numPr>
      </w:pPr>
      <w:r>
        <w:rPr>
          <w:b/>
          <w:bCs/>
        </w:rPr>
        <w:t xml:space="preserve">Relabel.</w:t>
      </w:r>
      <w:r>
        <w:t xml:space="preserve"> </w:t>
      </w:r>
      <w:r>
        <w:t xml:space="preserve">Analogue evidence is now</w:t>
      </w:r>
      <w:r>
        <w:t xml:space="preserve"> </w:t>
      </w:r>
      <w:r>
        <w:t xml:space="preserve">“moderate, transfer to ESVA unverified”</w:t>
      </w:r>
      <w:r>
        <w:t xml:space="preserve"> </w:t>
      </w:r>
      <w:r>
        <w:t xml:space="preserve">(was</w:t>
      </w:r>
      <w:r>
        <w:t xml:space="preserve"> </w:t>
      </w:r>
      <w:r>
        <w:t xml:space="preserve">“strong… well justified”</w:t>
      </w:r>
      <w:r>
        <w:t xml:space="preserve">).</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bookmarkStart w:id="10" w:name="mechanism-of-harm"/>
    <w:p>
      <w:pPr>
        <w:pStyle w:val="Heading2"/>
      </w:pPr>
      <w:r>
        <w:t xml:space="preserve">Mechanism of harm</w:t>
      </w:r>
    </w:p>
    <w:p>
      <w:pPr>
        <w:pStyle w:val="FirstParagraph"/>
      </w:pPr>
      <w:r>
        <w:t xml:space="preserve">Failing onsite wastewater treatment systems (OWTS) on Virginia’s Eastern Shore (ESVA) export nitrogen — and to a lesser but increasing extent phosphorus — to the Chesapeake Bay mainstem and its Bayside tributaries through two coupled delivery modes. First, the dominant mode on ESVA is diffuse submarine and sub-tidal groundwater discharge: partially treated effluent enters the shallow Columbia surficial aquifer as nitrified nitrate, travels along short (typically &lt;2 km) and geochemically oxic flow paths, and is discharged directly through creek-bottom sediments and shoreline seeps into Pocomoke Sound, Tangier Sound, and the small tidal creeks that drain the western peninsula (Onancock, Pungoteague, Nassawadox, Cherrystone, Old Plantation) (Speiran 1996; Richardson 1994).</w:t>
      </w:r>
      <w:r>
        <w:t xml:space="preserve"> </w:t>
      </w:r>
      <w:r>
        <w:rPr>
          <w:b/>
          <w:bCs/>
        </w:rPr>
        <w:t xml:space="preserve">[Oct 2026: Mitchell et al. 2021 removed from this citation; it does not address ESVA groundwater delivery. The Speiran data concern agricultural nitrate.]</w:t>
      </w:r>
      <w:r>
        <w:t xml:space="preserve"> </w:t>
      </w:r>
      <w:r>
        <w:t xml:space="preserve">Because riparian denitrification is spatially confined to thin carbon-rich strips, most shallow septic N bypasses the last-meter denitrification zone that the Chesapeake Bay Program (CBP) Phase 6 watershed model applies to</w:t>
      </w:r>
      <w:r>
        <w:t xml:space="preserve"> </w:t>
      </w:r>
      <w:r>
        <w:t xml:space="preserve">“land-to-water”</w:t>
      </w:r>
      <w:r>
        <w:t xml:space="preserve"> </w:t>
      </w:r>
      <w:r>
        <w:t xml:space="preserve">septic delivery (CBP 2017; Ator et al. 2020) [citation unverified — Oct 2026]. Second, surface-water delivery occurs where failing systems back up into lawns, storm drains, or farm ditches that drain to the tidal creeks during heavy rainfall and flood-tide events, bypassing the subsurface treatment train altogether.</w:t>
      </w:r>
    </w:p>
    <w:p>
      <w:pPr>
        <w:pStyle w:val="BodyText"/>
      </w:pPr>
      <w:r>
        <w:t xml:space="preserve">Once in tidal waters, this anthropogenic nitrogen drives the classical Chesapeake eutrophication cascade (Kemp et al. 2005; Boesch 2019). Elevated dissolved inorganic nitrogen (DIN) stimulates phytoplankton production in the euphotic surface layer; the resulting organic matter sinks, is remineralized by heterotrophic bacteria in the pycnocline and bottom water, and consumes dissolved oxygen faster than stratified summer circulation can resupply it, producing the seasonal</w:t>
      </w:r>
      <w:r>
        <w:t xml:space="preserve"> </w:t>
      </w:r>
      <w:r>
        <w:t xml:space="preserve">“dead zone.”</w:t>
      </w:r>
      <w:r>
        <w:t xml:space="preserve"> </w:t>
      </w:r>
      <w:r>
        <w:t xml:space="preserve">Decades of monitoring have established a tight, quasi-linear relationship between January–May total nitrogen load to the Bay and summer hypoxic volume (Murphy et al. 2011; Frankel et al. 2022). A nontrivial share of the integrated N load is legacy groundwater nitrogen in transit — the groundwater reservoir attenuates with decadal lag — and septic systems, which release N directly to groundwater with no point-source controls, are a disproportionate contributor to that legacy stock relative to their nominal annual loading fraction (Sanford &amp; Pope 2013; Ator et al. 2020) [citation unverified — Oct 2026].</w:t>
      </w:r>
    </w:p>
    <w:p>
      <w:pPr>
        <w:pStyle w:val="BodyText"/>
      </w:pPr>
      <w:r>
        <w:t xml:space="preserve">The cascade has several symptoms relevant to ESVA Bayside waters. (1) Chlorophyll-a and primary productivity rise with DIN, especially in shallow, well-mixed tidal creeks where light is rarely limiting. (2) HAB species — notably the mixotrophic dinoflagellates</w:t>
      </w:r>
      <w:r>
        <w:t xml:space="preserve"> </w:t>
      </w:r>
      <w:r>
        <w:rPr>
          <w:i/>
          <w:iCs/>
        </w:rPr>
        <w:t xml:space="preserve">Prorocentrum minimum</w:t>
      </w:r>
      <w:r>
        <w:t xml:space="preserve"> </w:t>
      </w:r>
      <w:r>
        <w:t xml:space="preserve">(mahogany tide) and</w:t>
      </w:r>
      <w:r>
        <w:t xml:space="preserve"> </w:t>
      </w:r>
      <w:r>
        <w:rPr>
          <w:i/>
          <w:iCs/>
        </w:rPr>
        <w:t xml:space="preserve">Karlodinium veneficum</w:t>
      </w:r>
      <w:r>
        <w:t xml:space="preserve">, and in low-salinity reaches</w:t>
      </w:r>
      <w:r>
        <w:t xml:space="preserve"> </w:t>
      </w:r>
      <w:r>
        <w:rPr>
          <w:i/>
          <w:iCs/>
        </w:rPr>
        <w:t xml:space="preserve">Microcystis aeruginosa</w:t>
      </w:r>
      <w:r>
        <w:t xml:space="preserve"> </w:t>
      </w:r>
      <w:r>
        <w:t xml:space="preserve">— are promoted by elevated DIN/DIP ratios and organic-N forms characteristic of wastewater (Glibert et al. 2001, 2014; Heil et al. 2005);</w:t>
      </w:r>
      <w:r>
        <w:t xml:space="preserve"> </w:t>
      </w:r>
      <w:r>
        <w:rPr>
          <w:i/>
          <w:iCs/>
        </w:rPr>
        <w:t xml:space="preserve">Karlodinium</w:t>
      </w:r>
      <w:r>
        <w:t xml:space="preserve"> </w:t>
      </w:r>
      <w:r>
        <w:t xml:space="preserve">blooms have caused documented fish kills in Bay tributaries via karlotoxins. (3) Shading from phytoplankton and epiphytes drives the decline of submerged aquatic vegetation (SAV) —</w:t>
      </w:r>
      <w:r>
        <w:t xml:space="preserve"> </w:t>
      </w:r>
      <w:r>
        <w:rPr>
          <w:i/>
          <w:iCs/>
        </w:rPr>
        <w:t xml:space="preserve">Zostera marina</w:t>
      </w:r>
      <w:r>
        <w:t xml:space="preserve"> </w:t>
      </w:r>
      <w:r>
        <w:t xml:space="preserve">and</w:t>
      </w:r>
      <w:r>
        <w:t xml:space="preserve"> </w:t>
      </w:r>
      <w:r>
        <w:rPr>
          <w:i/>
          <w:iCs/>
        </w:rPr>
        <w:t xml:space="preserve">Ruppia maritima</w:t>
      </w:r>
      <w:r>
        <w:t xml:space="preserve"> </w:t>
      </w:r>
      <w:r>
        <w:t xml:space="preserve">— with cascading consequences for juvenile blue crabs, scallops, and waterfowl (Orth et al. 2017; Lefcheck et al. 2018; Hensel et al. 2023). (4) Hypoxia enhances sediment P release, closing a positive feedback that delays recovery (Testa et al. 2017). (5) Low DO and sulfide stress oyster reefs and blue-crab nursery habitat (Pathways 4, 5).</w:t>
      </w:r>
    </w:p>
    <w:p>
      <w:pPr>
        <w:pStyle w:val="BodyText"/>
      </w:pPr>
      <w:r>
        <w:t xml:space="preserve">Phosphorus contributions from ESVA septic systems to the Bay mainstem are quantitatively smaller than N but not negligible. Sandy, low-Fe/Al Columbia aquifer soils offer finite P-sorption capacity; aged drainfields can reach P breakthrough and deliver dissolved reactive P via groundwater (Robertson et al. 1998; Lusk et al. 2017). Because the Chesapeake’s mesohaline reaches are seasonally P-limited in spring, even modest P additions from failing systems can shift bloom phenology and composition (Malone et al. 1996; Harding et al. 2016).</w:t>
      </w:r>
    </w:p>
    <w:bookmarkEnd w:id="10"/>
    <w:bookmarkStart w:id="11" w:name="X3887a03f2c6dca57e13ace8289c3dacae259d3d"/>
    <w:p>
      <w:pPr>
        <w:pStyle w:val="Heading2"/>
      </w:pPr>
      <w:r>
        <w:t xml:space="preserve">Resolution of the 6% vs. 3.3% Bay-nitrogen-from-septic figure</w:t>
      </w:r>
    </w:p>
    <w:p>
      <w:pPr>
        <w:pStyle w:val="FirstParagraph"/>
      </w:pPr>
      <w:r>
        <w:t xml:space="preserve">Both figures are correct — they refer to different accounting frames, model versions, and geographic scales, and the apparent contradiction dissolves once those are specified.</w:t>
      </w:r>
    </w:p>
    <w:p>
      <w:pPr>
        <w:pStyle w:val="BodyText"/>
      </w:pPr>
      <w:r>
        <w:rPr>
          <w:b/>
          <w:bCs/>
        </w:rPr>
        <w:t xml:space="preserve">The ~6% figure</w:t>
      </w:r>
      <w:r>
        <w:t xml:space="preserve"> </w:t>
      </w:r>
      <w:r>
        <w:t xml:space="preserve">traces to the Phase 5.3 Chesapeake Bay Watershed Model that supported the 2010 Bay TMDL (USEPA 2010). In the Phase 5.3 accounting, the Bay watershed edge-of-tide nitrogen load was estimated at roughly 300 million lb yr⁻¹ (2009 base condition), and septic systems accounted for approximately 15–17 million lb yr⁻¹, or about 5–6% of the total delivered TN load. That is the number that circulated in CBP fact sheets and regional reporting during the TMDL roll-out era (2010–2014) and that the project proposal appears to cite.</w:t>
      </w:r>
    </w:p>
    <w:p>
      <w:pPr>
        <w:pStyle w:val="BodyText"/>
      </w:pPr>
      <w:r>
        <w:rPr>
          <w:b/>
          <w:bCs/>
        </w:rPr>
        <w:t xml:space="preserve">The ~3.3% figure</w:t>
      </w:r>
      <w:r>
        <w:t xml:space="preserve"> </w:t>
      </w:r>
      <w:r>
        <w:t xml:space="preserve">comes from the current Phase 6 model as implemented in the Chesapeake Assessment Scenario Tool (CAST v2019–v2023), which uses a 2018 (and more recently 2022) base calibration (CBP 2017; CAST documentation). Phase 6 recalibrated septic loading methods in several ways that moved the number downward: (a) it incorporates revised per-capita septic N production and updated drainfield soil attenuation factors developed in the STAC septic expert panel process; (b) it assumes ~60% of septic houses are connected to conventional drainfields with 60% attenuation on land-to-water delivery plus a Bay-delivery factor &lt;1; and (c) the total edge-of-tide TN load estimate itself rose modestly in Phase 6 due to revised atmospheric, agricultural, and stormwater accounting, shrinking septic’s denominator share.</w:t>
      </w:r>
      <w:r>
        <w:t xml:space="preserve"> </w:t>
      </w:r>
      <w:r>
        <w:rPr>
          <w:b/>
          <w:bCs/>
        </w:rPr>
        <w:t xml:space="preserve">[Oct 2026]</w:t>
      </w:r>
      <w:r>
        <w:t xml:space="preserve"> </w:t>
      </w:r>
      <w:r>
        <w:t xml:space="preserve">Point (c) is internally inconsistent with the figures in this paragraph, which have the total</w:t>
      </w:r>
      <w:r>
        <w:t xml:space="preserve"> </w:t>
      </w:r>
      <w:r>
        <w:rPr>
          <w:i/>
          <w:iCs/>
        </w:rPr>
        <w:t xml:space="preserve">falling</w:t>
      </w:r>
      <w:r>
        <w:t xml:space="preserve"> </w:t>
      </w:r>
      <w:r>
        <w:t xml:space="preserve">from ~300 to ~260 million lb/yr. Other project notes give septic loads of ~7.8–12 million lb/yr. Re-pull both model versions from CAST before citing any of these numbers. In CAST the septic source sector now reports roughly 8–10 million lb yr⁻¹ TN delivered to the Bay, or ~3.0–3.4% of the Phase 6 TN delivered load of ~260 million lb yr⁻¹. Septic is excluded from Phase 6 P accounting.</w:t>
      </w:r>
    </w:p>
    <w:p>
      <w:pPr>
        <w:pStyle w:val="BodyText"/>
      </w:pPr>
      <w:r>
        <w:rPr>
          <w:b/>
          <w:bCs/>
        </w:rPr>
        <w:t xml:space="preserve">Neither number captures the ESVA reality.</w:t>
      </w:r>
      <w:r>
        <w:t xml:space="preserve"> </w:t>
      </w:r>
      <w:r>
        <w:t xml:space="preserve">Both are Bay-watershed averages dominated by the Susquehanna and Potomac basins, where point sources and agricultural runoff overwhelm any local septic signal. ESVA has a high unsewered fraction (≈80–90% of households [citation unverified — Oct 2026; Mitchell et al. 2021 does not report this]), sandy oxic aquifers, and short groundwater-to-tide flow paths. On those grounds the local percentage could differ substantially from the Bay-wide figure.</w:t>
      </w:r>
      <w:r>
        <w:t xml:space="preserve"> </w:t>
      </w:r>
      <w:r>
        <w:rPr>
          <w:b/>
          <w:bCs/>
        </w:rPr>
        <w:t xml:space="preserve">[Oct 2026, withdrawn]</w:t>
      </w:r>
      <w:r>
        <w:t xml:space="preserve"> </w:t>
      </w:r>
      <w:r>
        <w:t xml:space="preserve">Earlier versions stated that</w:t>
      </w:r>
      <w:r>
        <w:t xml:space="preserve"> </w:t>
      </w:r>
      <w:r>
        <w:t xml:space="preserve">“Calculations in Mitchell et al. (2021) plus CBP sub-basin loadings suggest septic can account for 20–40% of delivered TN in small ESVA Bayside catchments.”</w:t>
      </w:r>
      <w:r>
        <w:t xml:space="preserve"> </w:t>
      </w:r>
      <w:r>
        <w:t xml:space="preserve">No such calculation exists in Mitchell et al. (2021) or anywhere in this project, and the figure is withdrawn. Earlier versions also said that Ator et al. (2020) and Sanford &amp; Pope (2013) show Phase 6 septic coefficients to be a lower bound for ESVA. That is also withdrawn: Sanford &amp; Pope (2013) predates the Phase 6 model, and Ator et al. (2020) is a 1992–2012 tributary trend analysis.</w:t>
      </w:r>
      <w:r>
        <w:t xml:space="preserve"> </w:t>
      </w:r>
      <w:r>
        <w:rPr>
          <w:b/>
          <w:bCs/>
        </w:rPr>
        <w:t xml:space="preserve">The local ESVA septic share is unknown.</w:t>
      </w:r>
      <w:r>
        <w:t xml:space="preserve"> </w:t>
      </w:r>
      <w:r>
        <w:t xml:space="preserve">It could be higher or lower than the Bay-wide figure, depending on how much agricultural nitrogen each catchment receives (Stanhope et al. 2009 found ESVA stream nitrogen tracked % agricultural land).</w:t>
      </w:r>
    </w:p>
    <w:p>
      <w:pPr>
        <w:pStyle w:val="BodyText"/>
      </w:pPr>
      <w:r>
        <w:t xml:space="preserve">Bottom line: the proposal should cite the Phase 6 Bay-wide figure (~3.3%) as the current official CBP estimate, note that the older ~6% figure was from the Phase 5.3 TMDL basis, and emphasize that both are Bay-wide averages, not local numbers.</w:t>
      </w:r>
      <w:r>
        <w:t xml:space="preserve"> </w:t>
      </w:r>
      <w:r>
        <w:rPr>
          <w:b/>
          <w:bCs/>
        </w:rPr>
        <w:t xml:space="preserve">[Oct 2026]</w:t>
      </w:r>
      <w:r>
        <w:t xml:space="preserve"> </w:t>
      </w:r>
      <w:r>
        <w:t xml:space="preserve">Earlier text said they</w:t>
      </w:r>
      <w:r>
        <w:t xml:space="preserve"> </w:t>
      </w:r>
      <w:r>
        <w:t xml:space="preserve">“materially understate the local ESVA contribution”</w:t>
      </w:r>
      <w:r>
        <w:t xml:space="preserve">; whether the local share is higher or lower is unknown.</w:t>
      </w:r>
    </w:p>
    <w:bookmarkEnd w:id="11"/>
    <w:bookmarkStart w:id="12" w:name="esva-specific-evidence"/>
    <w:p>
      <w:pPr>
        <w:pStyle w:val="Heading2"/>
      </w:pPr>
      <w:r>
        <w:t xml:space="preserve">ESVA-specific evidence</w:t>
      </w:r>
    </w:p>
    <w:p>
      <w:pPr>
        <w:pStyle w:val="FirstParagraph"/>
      </w:pPr>
      <w:r>
        <w:t xml:space="preserve">Direct, attribution-grade ESVA Bayside evidence linking failing septic to mainstem or tributary ecological harm is thinner than the groundwater/creek nearshore evidence base in Pathways 1 and 2, but several converging lines are relevant.</w:t>
      </w:r>
    </w:p>
    <w:p>
      <w:pPr>
        <w:pStyle w:val="BodyText"/>
      </w:pPr>
      <w:r>
        <w:rPr>
          <w:i/>
          <w:iCs/>
        </w:rPr>
        <w:t xml:space="preserve">Failure rates and vulnerability.</w:t>
      </w:r>
      <w:r>
        <w:t xml:space="preserve"> </w:t>
      </w:r>
      <w:r>
        <w:rPr>
          <w:b/>
          <w:bCs/>
        </w:rPr>
        <w:t xml:space="preserve">[Oct 2026, corrected]</w:t>
      </w:r>
      <w:r>
        <w:t xml:space="preserve"> </w:t>
      </w:r>
      <w:r>
        <w:t xml:space="preserve">Mitchell, Isdell, Herman &amp; Tombleson (2021, Frontiers Mar Sci 8:631757) used 2008–2018 VDH septic repair-permit data to map septic</w:t>
      </w:r>
      <w:r>
        <w:t xml:space="preserve"> </w:t>
      </w:r>
      <w:r>
        <w:t xml:space="preserve">“hot spots”</w:t>
      </w:r>
      <w:r>
        <w:t xml:space="preserve"> </w:t>
      </w:r>
      <w:r>
        <w:t xml:space="preserve">across Tidewater Virginia. Hot spots were prevalent around Richmond and Gloucester County. The paper does not report ESVA results separately, does not rank ESVA among the highest at-risk localities, and contains no 1.5 ft scenario (it uses an MSL + 3 ft elevation threshold). It found</w:t>
      </w:r>
      <w:r>
        <w:t xml:space="preserve"> </w:t>
      </w:r>
      <w:r>
        <w:t xml:space="preserve">“only one incident where a low WQ region overlapped directly with a septic hot spot in Tidewater Virginia”</w:t>
      </w:r>
      <w:r>
        <w:t xml:space="preserve"> </w:t>
      </w:r>
      <w:r>
        <w:t xml:space="preserve">and urged that</w:t>
      </w:r>
      <w:r>
        <w:t xml:space="preserve"> </w:t>
      </w:r>
      <w:r>
        <w:t xml:space="preserve">“any correlation should be viewed with extreme caution.”</w:t>
      </w:r>
      <w:r>
        <w:t xml:space="preserve"> </w:t>
      </w:r>
      <w:r>
        <w:t xml:space="preserve">Earlier versions also said that</w:t>
      </w:r>
      <w:r>
        <w:t xml:space="preserve"> </w:t>
      </w:r>
      <w:r>
        <w:t xml:space="preserve">“Northampton’s Bayside shoreline (Cherrystone, Kings, Hungars, Old Plantation Creeks) already shows this transition.”</w:t>
      </w:r>
      <w:r>
        <w:t xml:space="preserve"> </w:t>
      </w:r>
      <w:r>
        <w:t xml:space="preserve">No source has been found for that statement, and it is withdrawn. The CBSAG item is an August 2021 slide presentation by the same authors. RD883 (2021) discusses failing septic systems in Tidewater and Southwest Virginia generally and does not analyze ESVA.</w:t>
      </w:r>
    </w:p>
    <w:p>
      <w:pPr>
        <w:pStyle w:val="BodyText"/>
      </w:pPr>
      <w:r>
        <w:rPr>
          <w:i/>
          <w:iCs/>
        </w:rPr>
        <w:t xml:space="preserve">Hydrogeologic susceptibility.</w:t>
      </w:r>
      <w:r>
        <w:t xml:space="preserve"> </w:t>
      </w:r>
      <w:r>
        <w:t xml:space="preserve">USGS studies of the Eastern Shore surficial aquifer (Richardson 1994; Speiran 1996) documented oxic, sandy flow paths from upland recharge areas to small tidal creek margins, with groundwater travel times of years to a few decades and limited denitrification outside narrow riparian zones.</w:t>
      </w:r>
      <w:r>
        <w:t xml:space="preserve"> </w:t>
      </w:r>
      <w:r>
        <w:rPr>
          <w:b/>
          <w:bCs/>
        </w:rPr>
        <w:t xml:space="preserve">[Oct 2026, corrected]</w:t>
      </w:r>
      <w:r>
        <w:t xml:space="preserve"> </w:t>
      </w:r>
      <w:r>
        <w:t xml:space="preserve">Bratton et al. (2009) characterized groundwater beneath</w:t>
      </w:r>
      <w:r>
        <w:t xml:space="preserve"> </w:t>
      </w:r>
      <w:r>
        <w:rPr>
          <w:b/>
          <w:bCs/>
        </w:rPr>
        <w:t xml:space="preserve">Chincoteague Bay, Maryland</w:t>
      </w:r>
      <w:r>
        <w:t xml:space="preserve">, a seaside back-barrier lagoon, not the Bayside shoreline. No comparable Bayside submarine-groundwater study has been located. Ator et al. (2020) is said to show that Eastern Shore sub-basins have among the highest unit-area septic-N delivery ratios in the Bay watershed [citation unverified — Oct 2026].</w:t>
      </w:r>
    </w:p>
    <w:p>
      <w:pPr>
        <w:pStyle w:val="BodyText"/>
      </w:pPr>
      <w:r>
        <w:rPr>
          <w:i/>
          <w:iCs/>
        </w:rPr>
        <w:t xml:space="preserve">Water-quality condition of ESVA Bayside tributaries.</w:t>
      </w:r>
      <w:r>
        <w:t xml:space="preserve"> </w:t>
      </w:r>
      <w:r>
        <w:t xml:space="preserve">Virginia DEQ water-quality assessments and CBP Bay Barometer reporting consistently identify Pocomoke Sound, Tangier Sound, Onancock Creek, Pungoteague Creek, Nassawadox Creek, Cherrystone Inlet, and Old Plantation Creek as impaired or partially impaired for chlorophyll-a, DO, and/or bacteria. The NOAA ASSETS/NEEA assessment (Bricker et al. 2008) ranked Pocomoke Sound as having</w:t>
      </w:r>
      <w:r>
        <w:t xml:space="preserve"> </w:t>
      </w:r>
      <w:r>
        <w:t xml:space="preserve">“high”</w:t>
      </w:r>
      <w:r>
        <w:t xml:space="preserve"> </w:t>
      </w:r>
      <w:r>
        <w:t xml:space="preserve">overall eutrophic condition with elevated chlorophyll-a and episodic HABs; Tangier Sound as</w:t>
      </w:r>
      <w:r>
        <w:t xml:space="preserve"> </w:t>
      </w:r>
      <w:r>
        <w:t xml:space="preserve">“moderate-high.”</w:t>
      </w:r>
      <w:r>
        <w:t xml:space="preserve"> </w:t>
      </w:r>
      <w:r>
        <w:t xml:space="preserve">Both are strongly influenced by nonpoint loadings that include unsewered residential inputs.</w:t>
      </w:r>
    </w:p>
    <w:p>
      <w:pPr>
        <w:pStyle w:val="BodyText"/>
      </w:pPr>
      <w:r>
        <w:rPr>
          <w:i/>
          <w:iCs/>
        </w:rPr>
        <w:t xml:space="preserve">SAV status on the Bayside.</w:t>
      </w:r>
      <w:r>
        <w:t xml:space="preserve"> </w:t>
      </w:r>
      <w:r>
        <w:t xml:space="preserve">VIMS annual SAV aerial surveys (Orth et al. 2017; Lefcheck et al. 2018) show that Bayside ESVA segments — particularly Pocomoke Sound (CB7PH, POCMH) and the Tangier/Pungoteague reach — carry among the lowest eelgrass densities in the Virginia mainstem Bay [citation unverified — Oct 2026; may be inverted, check VIMS segment data], and experienced severe losses during the 2005 and 2010 marine heat-wave events from which they have recovered only partially. While temperature stress is the proximate driver, nutrient- and turbidity-mediated light limitation sets the baseline tolerance threshold, and localized septic N contributions to Bayside creek mouths plausibly contribute to that stress. Lefcheck et al. (2018) documented Bay-wide SAV recovery tracking TN reductions since 1984 but noted lagging recovery in sub-segments with continuing nonpoint pressure — a category that includes ESVA Bayside creeks [citation unverified — Oct 2026].</w:t>
      </w:r>
    </w:p>
    <w:p>
      <w:pPr>
        <w:pStyle w:val="BodyText"/>
      </w:pPr>
      <w:r>
        <w:rPr>
          <w:i/>
          <w:iCs/>
        </w:rPr>
        <w:t xml:space="preserve">HABs.</w:t>
      </w:r>
      <w:r>
        <w:t xml:space="preserve"> </w:t>
      </w:r>
      <w:r>
        <w:rPr>
          <w:i/>
          <w:iCs/>
        </w:rPr>
        <w:t xml:space="preserve">Prorocentrum minimum</w:t>
      </w:r>
      <w:r>
        <w:t xml:space="preserve"> </w:t>
      </w:r>
      <w:r>
        <w:t xml:space="preserve">mahogany tides are recorded in Pocomoke Sound and the lower Bay off ESVA (Glibert et al. 2001, 2014). The</w:t>
      </w:r>
      <w:r>
        <w:t xml:space="preserve"> </w:t>
      </w:r>
      <w:r>
        <w:rPr>
          <w:i/>
          <w:iCs/>
        </w:rPr>
        <w:t xml:space="preserve">Pfiesteria</w:t>
      </w:r>
      <w:r>
        <w:t xml:space="preserve"> </w:t>
      </w:r>
      <w:r>
        <w:t xml:space="preserve">and</w:t>
      </w:r>
      <w:r>
        <w:t xml:space="preserve"> </w:t>
      </w:r>
      <w:r>
        <w:rPr>
          <w:i/>
          <w:iCs/>
        </w:rPr>
        <w:t xml:space="preserve">Karlodinium</w:t>
      </w:r>
      <w:r>
        <w:t xml:space="preserve"> </w:t>
      </w:r>
      <w:r>
        <w:t xml:space="preserve">fish-kill events of the late 1990s on the Pocomoke were interpreted as nutrient-driven [citation unverified — Oct 2026: Burkholder &amp; Glasgow 2001 concerns North Carolina estuaries; the 1997 Pocomoke events were in Maryland]; while the dominant N source is agricultural, septic contributions from unsewered Virginia-side shoreline communities are part of the cumulative load.</w:t>
      </w:r>
      <w:r>
        <w:t xml:space="preserve"> </w:t>
      </w:r>
      <w:r>
        <w:rPr>
          <w:i/>
          <w:iCs/>
        </w:rPr>
        <w:t xml:space="preserve">Microcystis aeruginosa</w:t>
      </w:r>
      <w:r>
        <w:t xml:space="preserve"> </w:t>
      </w:r>
      <w:r>
        <w:t xml:space="preserve">occasionally blooms in low-salinity Bayside ponds and ditches but is not dominant in the mainstem tributaries.</w:t>
      </w:r>
    </w:p>
    <w:p>
      <w:pPr>
        <w:pStyle w:val="BodyText"/>
      </w:pPr>
      <w:r>
        <w:rPr>
          <w:i/>
          <w:iCs/>
        </w:rPr>
        <w:t xml:space="preserve">Aggregate load framing.</w:t>
      </w:r>
      <w:r>
        <w:t xml:space="preserve"> </w:t>
      </w:r>
      <w:r>
        <w:rPr>
          <w:b/>
          <w:bCs/>
        </w:rPr>
        <w:t xml:space="preserve">[Oct 2026, corrected]</w:t>
      </w:r>
      <w:r>
        <w:t xml:space="preserve"> </w:t>
      </w:r>
      <w:r>
        <w:t xml:space="preserve">Earlier versions said Capps et al. (2020, ES&amp;T) identified Delmarva as a national OWTS risk hotspot. It does not. Capps et al. (2020) is a single-jurisdiction framework study combining environmental and socio-demographic data. It found ~8% of registered OWTS at risk from their placement and ~70% at risk from age (≥25 years). It is relevant to ESVA only as a transferable method.</w:t>
      </w:r>
    </w:p>
    <w:bookmarkEnd w:id="12"/>
    <w:bookmarkStart w:id="13" w:name="Xccb1f9d52244bdad127253d2981243b8c44a69d"/>
    <w:p>
      <w:pPr>
        <w:pStyle w:val="Heading2"/>
      </w:pPr>
      <w:r>
        <w:t xml:space="preserve">Analogue and Bay-wide comparison evidence</w:t>
      </w:r>
    </w:p>
    <w:p>
      <w:pPr>
        <w:pStyle w:val="FirstParagraph"/>
      </w:pPr>
      <w:r>
        <w:t xml:space="preserve">Because ESVA-specific attribution is limited, the case for Pathway 3a rests partly on analogue evidence from other unsewered, low-relief Bayside and Atlantic-coast-plain systems.</w:t>
      </w:r>
    </w:p>
    <w:p>
      <w:pPr>
        <w:pStyle w:val="BodyText"/>
      </w:pPr>
      <w:r>
        <w:rPr>
          <w:i/>
          <w:iCs/>
        </w:rPr>
        <w:t xml:space="preserve">Bay mainstem eutrophication-recovery evidence.</w:t>
      </w:r>
      <w:r>
        <w:t xml:space="preserve"> </w:t>
      </w:r>
      <w:r>
        <w:t xml:space="preserve">The Kemp et al. (2005) synthesis and Testa et al. (2017, 2018) updates established the quantitative framework linking Bay TN load to hypoxic volume, chlorophyll-a, and SAV decline. Boesch (2019) and Frankel et al. (2022) quantified decade-scale improvements in dissolved oxygen and chlorophyll in the mainstem driven by point-source wastewater upgrades and some agricultural best-management-practice implementation — while noting that nonpoint sources, including septic, are the residual portion hardest to reduce. The Lefcheck et al. (2018) PNAS paper is the strongest direct evidence that Bay-wide TN reduction causes measurable SAV recovery; it documented a 23% decline in TN since 1984 coinciding with a 316% increase in SAV cover (7,878 → 24,874 ha), with a Cozzarelli-Prize-recognized structural equation model linking land use to nutrient load to SAV response, and identifying nonpoint sources as the more influential lever compared to point-source sewage [citation unverified — Oct 2026]. This is the scientific basis for treating residual septic N as a meaningful SAV stressor in ESVA Bayside reaches where loads have not yet come down.</w:t>
      </w:r>
    </w:p>
    <w:p>
      <w:pPr>
        <w:pStyle w:val="BodyText"/>
      </w:pPr>
      <w:r>
        <w:rPr>
          <w:i/>
          <w:iCs/>
        </w:rPr>
        <w:t xml:space="preserve">Septic → seagrass analogues.</w:t>
      </w:r>
      <w:r>
        <w:t xml:space="preserve"> </w:t>
      </w:r>
      <w:r>
        <w:t xml:space="preserve">Cape Cod studies (Valiela et al. 1990, 1997, 2016; Howes et al. 2003) documented dose-response relationships between septic groundwater N and eelgrass loss, macroalgal accumulation, and hypoxia in shallow systems with sandy aquifers and short flow paths — hydrogeologically close analogues to ESVA Bayside. On Long Island, Kinney &amp; Valiela (2011) and Gobler et al. (2005) linked unsewered density to N loading, brown tide, and seagrass decline. In Indian River Lagoon, Lapointe et al. (2015, 2020) used δ¹⁵N and sucralose tracers to attribute seagrass loss and macroalgal blooms to OWTS. Collectively, where unsewered density is high, sandy aquifers dominate, and flushing is limited, septic N drives eutrophication-cascade symptoms at the sub-estuary scale.</w:t>
      </w:r>
      <w:r>
        <w:t xml:space="preserve"> </w:t>
      </w:r>
      <w:r>
        <w:rPr>
          <w:b/>
          <w:bCs/>
        </w:rPr>
        <w:t xml:space="preserve">[Oct 2026]</w:t>
      </w:r>
      <w:r>
        <w:t xml:space="preserve"> </w:t>
      </w:r>
      <w:r>
        <w:t xml:space="preserve">Earlier text added</w:t>
      </w:r>
      <w:r>
        <w:t xml:space="preserve"> </w:t>
      </w:r>
      <w:r>
        <w:t xml:space="preserve">“conditions met by ESVA Bayside tributaries.”</w:t>
      </w:r>
      <w:r>
        <w:t xml:space="preserve"> </w:t>
      </w:r>
      <w:r>
        <w:t xml:space="preserve">The analogue watersheds are far more densely developed than ESVA, and no comparison of density or flushing has been made.</w:t>
      </w:r>
    </w:p>
    <w:p>
      <w:pPr>
        <w:pStyle w:val="BodyText"/>
      </w:pPr>
      <w:r>
        <w:rPr>
          <w:i/>
          <w:iCs/>
        </w:rPr>
        <w:t xml:space="preserve">Upper Bay and Potomac septic-load studies.</w:t>
      </w:r>
      <w:r>
        <w:t xml:space="preserve"> </w:t>
      </w:r>
      <w:r>
        <w:t xml:space="preserve">On the Maryland side of the Bay, Lindsey et al. (2003) and Ator et al. (2020) used groundwater age-dating and SPARROW decomposition to identify septic contributions to baseflow nitrate in Delmarva, Patuxent, and lower Potomac sub-basins. Shields et al. (2008) estimated that ~9% of the nitrogen reaching the Patuxent originates from septic [citation unverified — Oct 2026: Shields et al. 2008 studied urban–rural catchments near Baltimore, not the Patuxent].</w:t>
      </w:r>
      <w:r>
        <w:t xml:space="preserve"> </w:t>
      </w:r>
      <w:r>
        <w:rPr>
          <w:b/>
          <w:bCs/>
        </w:rPr>
        <w:t xml:space="preserve">[Oct 2026]</w:t>
      </w:r>
      <w:r>
        <w:t xml:space="preserve"> </w:t>
      </w:r>
      <w:r>
        <w:t xml:space="preserve">Earlier text said these figures</w:t>
      </w:r>
      <w:r>
        <w:t xml:space="preserve"> </w:t>
      </w:r>
      <w:r>
        <w:t xml:space="preserve">“bracket the ESVA expectation”</w:t>
      </w:r>
      <w:r>
        <w:t xml:space="preserve"> </w:t>
      </w:r>
      <w:r>
        <w:t xml:space="preserve">and show the Bay-average figure</w:t>
      </w:r>
      <w:r>
        <w:t xml:space="preserve"> </w:t>
      </w:r>
      <w:r>
        <w:t xml:space="preserve">“substantially understates”</w:t>
      </w:r>
      <w:r>
        <w:t xml:space="preserve"> </w:t>
      </w:r>
      <w:r>
        <w:t xml:space="preserve">septic contributions near tidal water. That is not established for ESVA.</w:t>
      </w:r>
    </w:p>
    <w:p>
      <w:pPr>
        <w:pStyle w:val="BodyText"/>
      </w:pPr>
      <w:r>
        <w:rPr>
          <w:i/>
          <w:iCs/>
        </w:rPr>
        <w:t xml:space="preserve">HAB literature.</w:t>
      </w:r>
      <w:r>
        <w:t xml:space="preserve"> </w:t>
      </w:r>
      <w:r>
        <w:t xml:space="preserve">Glibert et al. (2001, 2014) and Heil, Glibert &amp; Fan (2005) tied the rise of</w:t>
      </w:r>
      <w:r>
        <w:t xml:space="preserve"> </w:t>
      </w:r>
      <w:r>
        <w:rPr>
          <w:i/>
          <w:iCs/>
        </w:rPr>
        <w:t xml:space="preserve">Prorocentrum minimum</w:t>
      </w:r>
      <w:r>
        <w:t xml:space="preserve"> </w:t>
      </w:r>
      <w:r>
        <w:t xml:space="preserve">and</w:t>
      </w:r>
      <w:r>
        <w:t xml:space="preserve"> </w:t>
      </w:r>
      <w:r>
        <w:rPr>
          <w:i/>
          <w:iCs/>
        </w:rPr>
        <w:t xml:space="preserve">Karlodinium veneficum</w:t>
      </w:r>
      <w:r>
        <w:t xml:space="preserve"> </w:t>
      </w:r>
      <w:r>
        <w:t xml:space="preserve">in the Chesapeake to changes in dissolved organic N and the N:P ratio — both shifted by septic effluent relative to stoichiometrically-balanced agricultural runoff [citation unverified — Oct 2026: the Glibert et al. 2014 reference listed is a San Francisco Bay study, and Glibert’s Chesapeake work emphasizes agricultural organic N]. The Bay-wide HAB record therefore pulls in the same direction as the nutrient-loading literature.</w:t>
      </w:r>
    </w:p>
    <w:bookmarkEnd w:id="13"/>
    <w:bookmarkStart w:id="14" w:name="strength-of-evidence-assessment"/>
    <w:p>
      <w:pPr>
        <w:pStyle w:val="Heading2"/>
      </w:pPr>
      <w:r>
        <w:t xml:space="preserve">Strength-of-evidence assessment</w:t>
      </w:r>
    </w:p>
    <w:p>
      <w:pPr>
        <w:pStyle w:val="FirstParagraph"/>
      </w:pPr>
      <w:r>
        <w:rPr>
          <w:i/>
          <w:iCs/>
        </w:rPr>
        <w:t xml:space="preserve">Mechanism (strong).</w:t>
      </w:r>
      <w:r>
        <w:t xml:space="preserve"> </w:t>
      </w:r>
      <w:r>
        <w:t xml:space="preserve">The biogeochemistry linking septic effluent → groundwater nitrate → tidal-water DIN → eutrophication cascade is textbook and supported by decades of Chesapeake-specific measurement (Kemp et al. 2005; Testa et al. 2017; Murphy et al. 2011).</w:t>
      </w:r>
    </w:p>
    <w:p>
      <w:pPr>
        <w:pStyle w:val="BodyText"/>
      </w:pPr>
      <w:r>
        <w:rPr>
          <w:i/>
          <w:iCs/>
        </w:rPr>
        <w:t xml:space="preserve">Magnitude of ESVA septic contribution to the Bay mainstem (moderate, high uncertainty).</w:t>
      </w:r>
      <w:r>
        <w:t xml:space="preserve"> </w:t>
      </w:r>
      <w:r>
        <w:t xml:space="preserve">CBP Phase 6 gives a Bay-wide 3.0–3.4% septic share, and the older Phase 5.3 / TMDL-era figure was ~5–6%.</w:t>
      </w:r>
      <w:r>
        <w:t xml:space="preserve"> </w:t>
      </w:r>
      <w:r>
        <w:rPr>
          <w:b/>
          <w:bCs/>
        </w:rPr>
        <w:t xml:space="preserve">[Oct 2026, corrected]</w:t>
      </w:r>
      <w:r>
        <w:t xml:space="preserve"> </w:t>
      </w:r>
      <w:r>
        <w:t xml:space="preserve">Neither is an ESVA number, and whether the true ESVA value is higher or lower is unknown. Mitchell et al. (2021) does not analyze ESVA. Earlier text said that it, Ator et al. (2020) and RD883</w:t>
      </w:r>
      <w:r>
        <w:t xml:space="preserve"> </w:t>
      </w:r>
      <w:r>
        <w:t xml:space="preserve">“agree on the qualitative</w:t>
      </w:r>
      <w:r>
        <w:t xml:space="preserve"> </w:t>
      </w:r>
      <w:r>
        <w:t xml:space="preserve">‘disproportionate for ESVA’</w:t>
      </w:r>
      <w:r>
        <w:t xml:space="preserve"> </w:t>
      </w:r>
      <w:r>
        <w:t xml:space="preserve">framing”</w:t>
      </w:r>
      <w:r>
        <w:t xml:space="preserve">; that is withdrawn. There is no published basin-specific mass-balance number for ESVA septic N delivery to the Bay mainstem with defensible uncertainty bounds.</w:t>
      </w:r>
    </w:p>
    <w:p>
      <w:pPr>
        <w:pStyle w:val="BodyText"/>
      </w:pPr>
      <w:r>
        <w:rPr>
          <w:i/>
          <w:iCs/>
        </w:rPr>
        <w:t xml:space="preserve">Linkage to specific ecological outcomes on ESVA Bayside waters (moderate).</w:t>
      </w:r>
      <w:r>
        <w:t xml:space="preserve"> </w:t>
      </w:r>
      <w:r>
        <w:t xml:space="preserve">Lefcheck et al. (2018) provides Bay-wide evidence that TN drives SAV recovery; Bricker et al. (2008) and CBP Bay Barometer reports score Pocomoke Sound as eutrophic and VA DEQ lists several Bayside creeks as impaired for chl-a and DO. These outcomes are plausibly and partly septic-attributable but are dominated by agricultural and atmospheric loads at the ecosystem scale. HAB linkages (</w:t>
      </w:r>
      <w:r>
        <w:rPr>
          <w:i/>
          <w:iCs/>
        </w:rPr>
        <w:t xml:space="preserve">P. minimum</w:t>
      </w:r>
      <w:r>
        <w:t xml:space="preserve">,</w:t>
      </w:r>
      <w:r>
        <w:t xml:space="preserve"> </w:t>
      </w:r>
      <w:r>
        <w:rPr>
          <w:i/>
          <w:iCs/>
        </w:rPr>
        <w:t xml:space="preserve">K. veneficum</w:t>
      </w:r>
      <w:r>
        <w:t xml:space="preserve">) are mechanism-plausible and observed in adjacent waters but not quantitatively attributed to ESVA septic.</w:t>
      </w:r>
    </w:p>
    <w:p>
      <w:pPr>
        <w:pStyle w:val="BodyText"/>
      </w:pPr>
      <w:r>
        <w:rPr>
          <w:i/>
          <w:iCs/>
        </w:rPr>
        <w:t xml:space="preserve">Analogue evidence (moderate; transfer to ESVA unverified)</w:t>
      </w:r>
      <w:r>
        <w:t xml:space="preserve"> </w:t>
      </w:r>
      <w:r>
        <w:rPr>
          <w:b/>
          <w:bCs/>
        </w:rPr>
        <w:t xml:space="preserve">[Oct 2026: was</w:t>
      </w:r>
      <w:r>
        <w:rPr>
          <w:b/>
          <w:bCs/>
        </w:rPr>
        <w:t xml:space="preserve"> </w:t>
      </w:r>
      <w:r>
        <w:rPr>
          <w:b/>
          <w:bCs/>
        </w:rPr>
        <w:t xml:space="preserve">“strong… well justified”</w:t>
      </w:r>
      <w:r>
        <w:rPr>
          <w:b/>
          <w:bCs/>
        </w:rPr>
        <w:t xml:space="preserve">]</w:t>
      </w:r>
      <w:r>
        <w:t xml:space="preserve">. Cape Cod, Long Island, and Indian River Lagoon studies provide dose-response evidence for seagrass and eutrophication harm from septic N in hydrogeologic analogues. Those settings have much higher septic density, and in the Indian River Lagoon much longer residence times, than ESVA. The mechanisms transfer; the magnitudes do not.</w:t>
      </w:r>
    </w:p>
    <w:p>
      <w:pPr>
        <w:pStyle w:val="BodyText"/>
      </w:pPr>
      <w:r>
        <w:rPr>
          <w:i/>
          <w:iCs/>
        </w:rPr>
        <w:t xml:space="preserve">Integrated assessment.</w:t>
      </w:r>
      <w:r>
        <w:t xml:space="preserve"> </w:t>
      </w:r>
      <w:r>
        <w:t xml:space="preserve">The case that failing ESVA septic systems contribute to eutrophication, SAV stress, and HAB conditions in the Bay mainstem and Bayside tributaries is strong on mechanism, moderate on site-specific attribution, and strong on analogue. It is weakest where it would need to be strongest for policy: a validated basin-scale mass-balance that partitions observed chl-a, DO, or SAV cover changes in Pocomoke Sound, Tangier Sound, Onancock, Pungoteague, Nassawadox, Cherrystone, and Old Plantation among septic, agricultural, atmospheric, and legacy groundwater sources.</w:t>
      </w:r>
    </w:p>
    <w:bookmarkEnd w:id="14"/>
    <w:bookmarkStart w:id="15" w:name="data-gaps"/>
    <w:p>
      <w:pPr>
        <w:pStyle w:val="Heading2"/>
      </w:pPr>
      <w:r>
        <w:t xml:space="preserve">Data gaps</w:t>
      </w:r>
    </w:p>
    <w:p>
      <w:pPr>
        <w:numPr>
          <w:ilvl w:val="0"/>
          <w:numId w:val="1002"/>
        </w:numPr>
      </w:pPr>
      <w:r>
        <w:rPr>
          <w:b/>
          <w:bCs/>
        </w:rPr>
        <w:t xml:space="preserve">No sub-basin septic N mass balance for ESVA Bayside creeks.</w:t>
      </w:r>
      <w:r>
        <w:t xml:space="preserve"> </w:t>
      </w:r>
      <w:r>
        <w:t xml:space="preserve">The most important gap. CBP Phase 6 / CAST reports septic loads at the segment level but with uniform attenuation coefficients not calibrated for ESVA Columbia aquifer conditions. A properly constrained mass balance for Onancock, Pungoteague, Nassawadox, Cherrystone, and Old Plantation — using parcel-level septic locations, observed groundwater nitrate, and creek-mouth flux measurements — does not exist in the peer-reviewed literature.</w:t>
      </w:r>
    </w:p>
    <w:p>
      <w:pPr>
        <w:numPr>
          <w:ilvl w:val="0"/>
          <w:numId w:val="1002"/>
        </w:numPr>
      </w:pPr>
      <w:r>
        <w:rPr>
          <w:b/>
          <w:bCs/>
        </w:rPr>
        <w:t xml:space="preserve">Missing direct septic-to-Bay submarine groundwater discharge flux measurements on the Bayside.</w:t>
      </w:r>
      <w:r>
        <w:t xml:space="preserve"> </w:t>
      </w:r>
      <w:r>
        <w:rPr>
          <w:b/>
          <w:bCs/>
        </w:rPr>
        <w:t xml:space="preserve">[Oct 2026]</w:t>
      </w:r>
      <w:r>
        <w:t xml:space="preserve"> </w:t>
      </w:r>
      <w:r>
        <w:t xml:space="preserve">No Bayside reconnaissance has been located (Bratton et al. 2009, previously cited here, studied Chincoteague Bay, Maryland); there is no comprehensive, multi-season, shoreline-scale SGD flux study for ESVA Bayside comparable to what exists for Waquoit Bay or Indian River Lagoon. Radium-isotope and radon-222 end-member measurements would directly quantify septic delivery but have not been done at the density needed.</w:t>
      </w:r>
    </w:p>
    <w:p>
      <w:pPr>
        <w:numPr>
          <w:ilvl w:val="0"/>
          <w:numId w:val="1002"/>
        </w:numPr>
      </w:pPr>
      <w:r>
        <w:rPr>
          <w:b/>
          <w:bCs/>
        </w:rPr>
        <w:t xml:space="preserve">Site-specific SAV attribution.</w:t>
      </w:r>
      <w:r>
        <w:t xml:space="preserve"> </w:t>
      </w:r>
      <w:r>
        <w:t xml:space="preserve">VIMS SAV aerial surveys record presence/absence and cover for Pocomoke Sound and Tangier Sound but do not partition the nutrient stressors driving observed declines. Water-column TN data at creek mouths are sparse relative to what would be needed for sub-segment attribution.</w:t>
      </w:r>
    </w:p>
    <w:p>
      <w:pPr>
        <w:numPr>
          <w:ilvl w:val="0"/>
          <w:numId w:val="1002"/>
        </w:numPr>
      </w:pPr>
      <w:r>
        <w:rPr>
          <w:b/>
          <w:bCs/>
        </w:rPr>
        <w:t xml:space="preserve">HAB source attribution on Bayside.</w:t>
      </w:r>
      <w:r>
        <w:t xml:space="preserve"> </w:t>
      </w:r>
      <w:r>
        <w:t xml:space="preserve">Glibert et al. documented</w:t>
      </w:r>
      <w:r>
        <w:t xml:space="preserve"> </w:t>
      </w:r>
      <w:r>
        <w:rPr>
          <w:i/>
          <w:iCs/>
        </w:rPr>
        <w:t xml:space="preserve">P. minimum</w:t>
      </w:r>
      <w:r>
        <w:t xml:space="preserve"> </w:t>
      </w:r>
      <w:r>
        <w:t xml:space="preserve">and</w:t>
      </w:r>
      <w:r>
        <w:t xml:space="preserve"> </w:t>
      </w:r>
      <w:r>
        <w:rPr>
          <w:i/>
          <w:iCs/>
        </w:rPr>
        <w:t xml:space="preserve">K. veneficum</w:t>
      </w:r>
      <w:r>
        <w:t xml:space="preserve"> </w:t>
      </w:r>
      <w:r>
        <w:t xml:space="preserve">in lower Bay waters but did not publish source-tracking (δ¹⁵N, PPCP tracers) that would distinguish septic from agricultural N in bloom initiation areas on ESVA Bayside.</w:t>
      </w:r>
    </w:p>
    <w:p>
      <w:pPr>
        <w:numPr>
          <w:ilvl w:val="0"/>
          <w:numId w:val="1002"/>
        </w:numPr>
      </w:pPr>
      <w:r>
        <w:rPr>
          <w:b/>
          <w:bCs/>
        </w:rPr>
        <w:t xml:space="preserve">Phosphorus breakthrough timing.</w:t>
      </w:r>
      <w:r>
        <w:t xml:space="preserve"> </w:t>
      </w:r>
      <w:r>
        <w:t xml:space="preserve">Phase 6 excludes septic P. The question of whether ESVA drainfields on sandy soils have reached P breakthrough — and what that adds to the Bayside tributary P load — is unanswered at the basin scale.</w:t>
      </w:r>
    </w:p>
    <w:p>
      <w:pPr>
        <w:numPr>
          <w:ilvl w:val="0"/>
          <w:numId w:val="1002"/>
        </w:numPr>
      </w:pPr>
      <w:r>
        <w:rPr>
          <w:b/>
          <w:bCs/>
        </w:rPr>
        <w:t xml:space="preserve">Legacy groundwater N inventory.</w:t>
      </w:r>
      <w:r>
        <w:t xml:space="preserve"> </w:t>
      </w:r>
      <w:r>
        <w:t xml:space="preserve">Sanford &amp; Pope (2013) estimated decadal groundwater N travel times Bay-wide; an ESVA-specific groundwater N inventory quantifying how much legacy septic N is stored in the Columbia aquifer and over what timeline it will discharge would change the policy framing materially.</w:t>
      </w:r>
    </w:p>
    <w:p>
      <w:pPr>
        <w:numPr>
          <w:ilvl w:val="0"/>
          <w:numId w:val="1002"/>
        </w:numPr>
      </w:pPr>
      <w:r>
        <w:rPr>
          <w:b/>
          <w:bCs/>
        </w:rPr>
        <w:t xml:space="preserve">Climate-change coupling.</w:t>
      </w:r>
      <w:r>
        <w:t xml:space="preserve"> </w:t>
      </w:r>
      <w:r>
        <w:t xml:space="preserve">Mitchell et al. (2021) mapped septic repair-permit hot spots Tidewater-wide and discussed SLR risk</w:t>
      </w:r>
      <w:r>
        <w:t xml:space="preserve"> </w:t>
      </w:r>
      <w:r>
        <w:rPr>
          <w:b/>
          <w:bCs/>
        </w:rPr>
        <w:t xml:space="preserve">[Oct 2026]</w:t>
      </w:r>
      <w:r>
        <w:t xml:space="preserve">, but the coupled question — how rising water tables plus warming-driven hypoxia sensitivity will interact — lacks a quantitative projection for ESVA Bayside specifically.</w:t>
      </w:r>
    </w:p>
    <w:p>
      <w:pPr>
        <w:numPr>
          <w:ilvl w:val="0"/>
          <w:numId w:val="1002"/>
        </w:numPr>
      </w:pPr>
      <w:r>
        <w:rPr>
          <w:b/>
          <w:bCs/>
        </w:rPr>
        <w:t xml:space="preserve">Failure-rate ground truth.</w:t>
      </w:r>
      <w:r>
        <w:t xml:space="preserve"> </w:t>
      </w:r>
      <w:r>
        <w:t xml:space="preserve">Parcel-level failure rates for ESVA are still estimated from soil/water-table proxies rather than direct inspection or bacterial tracer surveys; the Virginia Department of Health pump-out data are not systematically compiled or published.</w:t>
      </w:r>
    </w:p>
    <w:bookmarkEnd w:id="15"/>
    <w:bookmarkStart w:id="16" w:name="references"/>
    <w:p>
      <w:pPr>
        <w:pStyle w:val="Heading2"/>
      </w:pPr>
      <w:r>
        <w:t xml:space="preserve">References</w:t>
      </w:r>
    </w:p>
    <w:p>
      <w:pPr>
        <w:pStyle w:val="FirstParagraph"/>
      </w:pPr>
      <w:r>
        <w:t xml:space="preserve">Ator SW, Garcia AM, Schwarz GE, Blomquist JD, Sekellick AJ (2020). Toward explaining nitrogen and phosphorus trends in Chesapeake Bay tributaries, 1992–2012. JAWRA 56:1149–1167.</w:t>
      </w:r>
    </w:p>
    <w:p>
      <w:pPr>
        <w:pStyle w:val="BodyText"/>
      </w:pPr>
      <w:r>
        <w:t xml:space="preserve">Boesch DF (2019). Barriers and bridges in the pursuit of Chesapeake Bay restoration. Ocean &amp; Coastal Management 177:16–21.</w:t>
      </w:r>
    </w:p>
    <w:p>
      <w:pPr>
        <w:pStyle w:val="BodyText"/>
      </w:pPr>
      <w:r>
        <w:t xml:space="preserve">[Oct 2026: Chincoteague Bay, MD — seaside, not Bayside] Bratton JF, Böhlke JK, Krantz DE, Tobias CR (2009). Flow and geochemistry of groundwater beneath a back-barrier lagoon: The subterranean estuary at Chincoteague Bay, Maryland, USA. Marine Chemistry 113:78–92.</w:t>
      </w:r>
    </w:p>
    <w:p>
      <w:pPr>
        <w:pStyle w:val="BodyText"/>
      </w:pPr>
      <w:r>
        <w:t xml:space="preserve">Bricker SB, Longstaff B, Dennison W, Jones A, Boicourt K, Wicks C, Woerner J (2008). Effects of nutrient enrichment in the nation’s estuaries: A decade of change. Harmful Algae 8:21–32. NOAA NEEA/ASSETS report.</w:t>
      </w:r>
    </w:p>
    <w:p>
      <w:pPr>
        <w:pStyle w:val="BodyText"/>
      </w:pPr>
      <w:r>
        <w:t xml:space="preserve">[Oct 2026: North Carolina; does not document the Pocomoke events] Burkholder JM, Glasgow HB (2001). History of toxic Pfiesteria in North Carolina estuaries from 1991 to the present. BioScience 51:827–841.</w:t>
      </w:r>
    </w:p>
    <w:p>
      <w:pPr>
        <w:pStyle w:val="BodyText"/>
      </w:pPr>
      <w:r>
        <w:t xml:space="preserve">Capps KA, Bateman McDonald JM, Gaur N, Parsons R (2020). Assessing the socio-environmental risk of onsite wastewater treatment systems to inform management decisions. Environmental Science &amp; Technology 54:14843–14853. doi:10.1021/acs.est.0c03909.</w:t>
      </w:r>
      <w:r>
        <w:t xml:space="preserve"> </w:t>
      </w:r>
      <w:r>
        <w:rPr>
          <w:b/>
          <w:bCs/>
        </w:rPr>
        <w:t xml:space="preserve">[Oct 2026: title corrected; single-jurisdiction framework study, no Delmarva content]</w:t>
      </w:r>
    </w:p>
    <w:p>
      <w:pPr>
        <w:pStyle w:val="BodyText"/>
      </w:pPr>
      <w:r>
        <w:t xml:space="preserve">Chesapeake Bay Program (2017). Chesapeake Bay Phase 6 Watershed Model — Section 8: Direct Loads (includes septic sector methods). CAST content documentation.</w:t>
      </w:r>
    </w:p>
    <w:p>
      <w:pPr>
        <w:pStyle w:val="BodyText"/>
      </w:pPr>
      <w:r>
        <w:t xml:space="preserve">Chesapeake Bay Program / CAST (v2019–v2023). Chesapeake Assessment Scenario Tool documentation and FAQs. https://cast.chesapeakebay.net</w:t>
      </w:r>
    </w:p>
    <w:p>
      <w:pPr>
        <w:pStyle w:val="BodyText"/>
      </w:pPr>
      <w:r>
        <w:t xml:space="preserve">Frankel LT, Friedrichs MAM, St-Laurent P, Bever AJ, Lipcius RN, Bhatt G, Shenk G (2022). Nitrogen reductions have decreased hypoxia in the Chesapeake Bay. Science of the Total Environment 814:152722.</w:t>
      </w:r>
    </w:p>
    <w:p>
      <w:pPr>
        <w:pStyle w:val="BodyText"/>
      </w:pPr>
      <w:r>
        <w:t xml:space="preserve">Glibert PM, Magnien R, Lomas MW, Alexander J, Fan C, Haramoto E, Trice M, Kana TM (2001). Harmful algal blooms in the Chesapeake and coastal bays of Maryland, USA: Comparison of 1997, 1998, and 1999 events. Estuaries 24:875–883.</w:t>
      </w:r>
    </w:p>
    <w:p>
      <w:pPr>
        <w:pStyle w:val="BodyText"/>
      </w:pPr>
      <w:r>
        <w:t xml:space="preserve">Glibert PM, Wilkerson FP, Dugdale RC, Parker AE, Alexander J, Blaser S, Murasko S (2014). Microbial communities from San Francisco Bay Delta respond differently to oxidized and reduced nitrogen substrates — even under conditions that would otherwise suggest nitrogen sufficiency. Frontiers in Marine Science 1:17. (Applied to Chesapeake Prorocentrum context via Glibert 2017 reviews.)</w:t>
      </w:r>
    </w:p>
    <w:p>
      <w:pPr>
        <w:pStyle w:val="BodyText"/>
      </w:pPr>
      <w:r>
        <w:t xml:space="preserve">Gobler CJ, Lonsdale DJ, Boyer GL (2005). A review of the causes, effects, and potential management of harmful brown tide blooms caused by Aureococcus anophagefferens. Estuaries 28:726–749.</w:t>
      </w:r>
    </w:p>
    <w:p>
      <w:pPr>
        <w:pStyle w:val="BodyText"/>
      </w:pPr>
      <w:r>
        <w:t xml:space="preserve">Harding LW, Gallegos CL, Perry ES, Miller WD, Adolf JE, Mallonee ME, Paerl HW (2016). Long-term trends of nutrients and phytoplankton in Chesapeake Bay. Estuaries and Coasts 39:664–681.</w:t>
      </w:r>
    </w:p>
    <w:p>
      <w:pPr>
        <w:pStyle w:val="BodyText"/>
      </w:pPr>
      <w:r>
        <w:t xml:space="preserve">Heil CA, Glibert PM, Fan C (2005). Prorocentrum minimum (Pavillard) Schiller: A review of a harmful algal bloom species of growing worldwide importance. Harmful Algae 4:449–470.</w:t>
      </w:r>
    </w:p>
    <w:p>
      <w:pPr>
        <w:pStyle w:val="BodyText"/>
      </w:pPr>
      <w:r>
        <w:t xml:space="preserve">Hensel MJS, Patrick CJ, Orth RJ, Wilcox DJ, Gurbisz C, Hannam M, Kennedy J, Landry JB, Moore KA, Murphy RR, Testa JM, Lefcheck JS (2023). Rise of Ruppia in Chesapeake Bay: Climate change–driven turnover of foundation species creates new threats and management opportunities. PNAS 120:e2220678120.</w:t>
      </w:r>
    </w:p>
    <w:p>
      <w:pPr>
        <w:pStyle w:val="BodyText"/>
      </w:pPr>
      <w:r>
        <w:t xml:space="preserve">Howes BL, Kelley SW, Ramsey JS, Samimy RI, Schlezinger DR, Eichner EM (2003). Linked watershed–embayment model to determine critical loads of nitrogen for Massachusetts embayments. Massachusetts Estuaries Project, SMAST/UMass Dartmouth.</w:t>
      </w:r>
    </w:p>
    <w:p>
      <w:pPr>
        <w:pStyle w:val="BodyText"/>
      </w:pPr>
      <w:r>
        <w:t xml:space="preserve">Kemp WM, Boynton WR, Adolf JE, Boesch DF, Boicourt WC, Brush G, Cornwell JC, Fisher TR, Glibert PM, Hagy JD, Harding LW, Houde ED, Kimmel DG, Miller WD, Newell RIE, Roman MR, Smith EM, Stevenson JC (2005). Eutrophication of Chesapeake Bay: historical trends and ecological interactions. Marine Ecology Progress Series 303:1–29.</w:t>
      </w:r>
    </w:p>
    <w:p>
      <w:pPr>
        <w:pStyle w:val="BodyText"/>
      </w:pPr>
      <w:r>
        <w:t xml:space="preserve">Kinney EL, Valiela I (2011). Nitrogen loading to Great South Bay: Land use, sources, retention, and transport from land to bay. Journal of Coastal Research 27:672–686.</w:t>
      </w:r>
    </w:p>
    <w:p>
      <w:pPr>
        <w:pStyle w:val="BodyText"/>
      </w:pPr>
      <w:r>
        <w:t xml:space="preserve">Lapointe BE, Herren LW, Debortoli DD, Vogel MA (2015). Evidence of sewage-driven eutrophication and harmful algal blooms in Florida’s Indian River Lagoon. Harmful Algae 43:82–102.</w:t>
      </w:r>
    </w:p>
    <w:p>
      <w:pPr>
        <w:pStyle w:val="BodyText"/>
      </w:pPr>
      <w:r>
        <w:t xml:space="preserve">Lapointe BE, Herren LW, Brewton RA, Alderman PK (2020). Nutrient over-enrichment and light limitation of seagrass communities in the Indian River Lagoon, an urbanized subtropical estuary. Science of the Total Environment 699:134068.</w:t>
      </w:r>
    </w:p>
    <w:p>
      <w:pPr>
        <w:pStyle w:val="BodyText"/>
      </w:pPr>
      <w:r>
        <w:t xml:space="preserve">Lefcheck JS, Orth RJ, Dennison WC, Wilcox DJ, Murphy RR, Keisman J, Gurbisz C, Hannam M, Landry JB, Moore KA, Patrick CJ, Testa J, Weller DE, Batiuk RA (2018). Long-term nutrient reductions lead to the unprecedented recovery of a temperate coastal region. PNAS 115:3658–3662. (2018 Cozzarelli Prize.)</w:t>
      </w:r>
    </w:p>
    <w:p>
      <w:pPr>
        <w:pStyle w:val="BodyText"/>
      </w:pPr>
      <w:r>
        <w:t xml:space="preserve">Lindsey BD, Phillips SW, Donnelly CA, Speiran GK, Plummer LN, Böhlke JK, Focazio MJ, Burton WC, Busenberg E (2003). Residence times and nitrate transport in ground water discharging to streams in the Chesapeake Bay watershed. USGS WRIR 03-4035.</w:t>
      </w:r>
    </w:p>
    <w:p>
      <w:pPr>
        <w:pStyle w:val="BodyText"/>
      </w:pPr>
      <w:r>
        <w:t xml:space="preserve">Lusk MG, Toor GS, Yang Y, Mechtensimer S, De M, Obreza TA (2017). A review of the fate and transport of nitrogen, phosphorus, pathogens, and trace organic chemicals in septic systems. Critical Reviews in Environmental Science and Technology 47:455–541.</w:t>
      </w:r>
    </w:p>
    <w:p>
      <w:pPr>
        <w:pStyle w:val="BodyText"/>
      </w:pPr>
      <w:r>
        <w:t xml:space="preserve">Malone TC, Conley DJ, Fisher TR, Glibert PM, Harding LW, Sellner KG (1996). Scales of nutrient-limited phytoplankton productivity in Chesapeake Bay. Estuaries 19:371–385.</w:t>
      </w:r>
    </w:p>
    <w:p>
      <w:pPr>
        <w:pStyle w:val="BodyText"/>
      </w:pPr>
      <w:r>
        <w:t xml:space="preserve">Mitchell M, Isdell RE, Herman J, Tombleson C (2021). Impact assessment and management challenges of key rural human health infrastructure under sea level rise. Frontiers in Marine Science 8:631757.</w:t>
      </w:r>
    </w:p>
    <w:p>
      <w:pPr>
        <w:pStyle w:val="BodyText"/>
      </w:pPr>
      <w:r>
        <w:t xml:space="preserve">Mitchell M, Isdell R, Herman J, Tombleson C (2021). Analysis of failed, failing or threatened septic systems in the coastal plain. Slide presentation, Chesapeake Bay Stakeholder Advisory Group meeting, August 19, 2021. naturalresources.virginia.gov</w:t>
      </w:r>
      <w:r>
        <w:t xml:space="preserve"> </w:t>
      </w:r>
      <w:r>
        <w:rPr>
          <w:b/>
          <w:bCs/>
        </w:rPr>
        <w:t xml:space="preserve">[Oct 2026: this is a slide deck, not a report; it contains no ESVA-specific findings]</w:t>
      </w:r>
    </w:p>
    <w:p>
      <w:pPr>
        <w:pStyle w:val="BodyText"/>
      </w:pPr>
      <w:r>
        <w:t xml:space="preserve">Murphy RR, Kemp WM, Ball WP (2011). Long-term trends in Chesapeake Bay seasonal hypoxia, stratification, and nutrient loading. Estuaries and Coasts 34:1293–1309.</w:t>
      </w:r>
    </w:p>
    <w:p>
      <w:pPr>
        <w:pStyle w:val="BodyText"/>
      </w:pPr>
      <w:r>
        <w:t xml:space="preserve">Orth RJ, Dennison WC, Lefcheck JS, Gurbisz C, Hannam M, Keisman J, Landry JB, Moore KA, Murphy RR, Patrick CJ, Testa J, Weller DE, Wilcox DJ (2017). Submersed aquatic vegetation in Chesapeake Bay: Sentinel species in a changing world. BioScience 67:698–712.</w:t>
      </w:r>
    </w:p>
    <w:p>
      <w:pPr>
        <w:pStyle w:val="BodyText"/>
      </w:pPr>
      <w:r>
        <w:t xml:space="preserve">Richardson DL (1994). Hydrogeology and analysis of the ground-water flow system of the Eastern Shore, Virginia. USGS Water-Supply Paper 2401.</w:t>
      </w:r>
    </w:p>
    <w:p>
      <w:pPr>
        <w:pStyle w:val="BodyText"/>
      </w:pPr>
      <w:r>
        <w:t xml:space="preserve">Robertson WD, Schiff SL, Ptacek CJ (1998). Review of phosphate mobility and persistence in 10 septic system plumes. Ground Water 36:1000–1010.</w:t>
      </w:r>
    </w:p>
    <w:p>
      <w:pPr>
        <w:pStyle w:val="BodyText"/>
      </w:pPr>
      <w:r>
        <w:t xml:space="preserve">Stanhope JW, Anderson IC, Reay WG (2009). Base flow nutrient discharges from lower Delmarva Peninsula watersheds of Virginia, USA. Journal of Environmental Quality 38:2070–2083.</w:t>
      </w:r>
      <w:r>
        <w:t xml:space="preserve"> </w:t>
      </w:r>
      <w:r>
        <w:rPr>
          <w:b/>
          <w:bCs/>
        </w:rPr>
        <w:t xml:space="preserve">[Oct 2026: added]</w:t>
      </w:r>
    </w:p>
    <w:p>
      <w:pPr>
        <w:pStyle w:val="BodyText"/>
      </w:pPr>
      <w:r>
        <w:t xml:space="preserve">Sanford WE, Pope JP (2013). Quantifying groundwater’s role in delaying improvements to Chesapeake Bay water quality. Environmental Science &amp; Technology 47:13330–13338.</w:t>
      </w:r>
    </w:p>
    <w:p>
      <w:pPr>
        <w:pStyle w:val="BodyText"/>
      </w:pPr>
      <w:r>
        <w:t xml:space="preserve">[Oct 2026: Baltimore-area catchments; does not support the Patuxent figure it was cited for] Shields CA, Band LE, Law N, Groffman PM, Kaushal SS, Savvas K, Fisher GT, Belt KT (2008). Streamflow distribution of non-point source nitrogen export from urban-rural catchments in the Chesapeake Bay watershed. Water Resources Research 44:W09416.</w:t>
      </w:r>
    </w:p>
    <w:p>
      <w:pPr>
        <w:pStyle w:val="BodyText"/>
      </w:pPr>
      <w:r>
        <w:t xml:space="preserve">Speiran GK (1996). Geohydrology and geochemistry near coastal ground-water discharge areas of the Eastern Shore, Virginia. USGS Water-Supply Paper 2479.</w:t>
      </w:r>
    </w:p>
    <w:p>
      <w:pPr>
        <w:pStyle w:val="BodyText"/>
      </w:pPr>
      <w:r>
        <w:t xml:space="preserve">Testa JM, Clark JB, Dennison WC, Donovan EC, Fisher AW, Ni W, Parker M, Scavia D, Spitzer SE, Waldrop AM, Vargas VMD, Ziegler G (2017). Ecological forecasting and the science of hypoxia in Chesapeake Bay. BioScience 67:614–626.</w:t>
      </w:r>
    </w:p>
    <w:p>
      <w:pPr>
        <w:pStyle w:val="BodyText"/>
      </w:pPr>
      <w:r>
        <w:t xml:space="preserve">USEPA (2010). Chesapeake Bay Total Maximum Daily Load for Nitrogen, Phosphorus and Sediment. US Environmental Protection Agency, December 29, 2010. (Phase 5.3 watershed model basis for the ~6% septic figure.)</w:t>
      </w:r>
    </w:p>
    <w:p>
      <w:pPr>
        <w:pStyle w:val="BodyText"/>
      </w:pPr>
      <w:r>
        <w:t xml:space="preserve">Valiela I, Costa J, Foreman K, Teal JM, Howes B, Aubrey D (1990). Transport of groundwater-borne nutrients from watersheds and their effects on coastal waters. Biogeochemistry 10:177–197.</w:t>
      </w:r>
    </w:p>
    <w:p>
      <w:pPr>
        <w:pStyle w:val="BodyText"/>
      </w:pPr>
      <w:r>
        <w:t xml:space="preserve">Valiela I, Collins G, Kremer J, Lajtha K, Geist M, Seely B, Brawley J, Sham CH (1997). Nitrogen loading from coastal watersheds to receiving estuaries: new method and application. Ecological Applications 7:358–380.</w:t>
      </w:r>
    </w:p>
    <w:p>
      <w:pPr>
        <w:pStyle w:val="BodyText"/>
      </w:pPr>
      <w:r>
        <w:t xml:space="preserve">Valiela I, Owens C, Elmstrom E, Lloret J (2016). Eutrophication of Cape Cod estuaries: Effect of decadal changes in global-driven atmospheric and local-scale wastewater nutrient loads. Marine Pollution Bulletin 110:309–315.</w:t>
      </w:r>
    </w:p>
    <w:p>
      <w:pPr>
        <w:pStyle w:val="BodyText"/>
      </w:pPr>
      <w:r>
        <w:t xml:space="preserve">Virginia Wastewater Infrastructure Working Group (2021). Report to the Virginia General Assembly. RD883 / December 2021.</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2026-10-02T14:00:48Z</dcterms:created>
  <dcterms:modified xsi:type="dcterms:W3CDTF">2026-10-02T14:00:48Z</dcterms:modified>
</cp:coreProperties>
</file>

<file path=docProps/custom.xml><?xml version="1.0" encoding="utf-8"?>
<Properties xmlns="http://schemas.openxmlformats.org/officeDocument/2006/custom-properties" xmlns:vt="http://schemas.openxmlformats.org/officeDocument/2006/docPropsVTypes"/>
</file>