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0a92719465738746b9a02207d8d3629b286fdd0"/>
    <w:p>
      <w:pPr>
        <w:pStyle w:val="Heading1"/>
      </w:pPr>
      <w:r>
        <w:t xml:space="preserve">Pathway 3b — The ESVA Seaside coastal lagoon system</w:t>
      </w:r>
    </w:p>
    <w:p>
      <w:pPr>
        <w:pStyle w:val="Heading3"/>
      </w:pPr>
      <w:bookmarkStart w:id="9" w:name="october-2026-evidence-review"/>
      <w:r>
        <w:t xml:space="preserve">October 2026 evidence review</w:t>
      </w:r>
      <w:bookmarkEnd w:id="9"/>
    </w:p>
    <w:p>
      <w:pPr>
        <w:pStyle w:val="BlockText"/>
      </w:pPr>
      <w:r>
        <w:t xml:space="preserve">This file was audited source-by-source in October 2026. Several claims overstated the ESVA-specific evidence. Corrections are marked</w:t>
      </w:r>
      <w:r>
        <w:t xml:space="preserve"> </w:t>
      </w:r>
      <w:r>
        <w:rPr>
          <w:b/>
          <w:bCs/>
        </w:rPr>
        <w:t xml:space="preserve">[Oct 2026]</w:t>
      </w:r>
      <w:r>
        <w:t xml:space="preserve"> </w:t>
      </w:r>
      <w:r>
        <w:t xml:space="preserve">in the text:</w:t>
      </w:r>
    </w:p>
    <w:p>
      <w:pPr>
        <w:pStyle w:val="Compact"/>
        <w:numPr>
          <w:ilvl w:val="0"/>
          <w:numId w:val="1001"/>
        </w:numPr>
      </w:pPr>
      <w:r>
        <w:rPr>
          <w:b/>
          <w:bCs/>
        </w:rPr>
        <w:t xml:space="preserve">The</w:t>
      </w:r>
      <w:r>
        <w:rPr>
          <w:b/>
          <w:bCs/>
        </w:rPr>
        <w:t xml:space="preserve"> </w:t>
      </w:r>
      <w:r>
        <w:rPr>
          <w:b/>
          <w:bCs/>
        </w:rPr>
        <w:t xml:space="preserve">“narrow safety margin”</w:t>
      </w:r>
      <w:r>
        <w:rPr>
          <w:b/>
          <w:bCs/>
        </w:rPr>
        <w:t xml:space="preserve"> </w:t>
      </w:r>
      <w:r>
        <w:rPr>
          <w:b/>
          <w:bCs/>
        </w:rPr>
        <w:t xml:space="preserve">claim is withdrawn.</w:t>
      </w:r>
      <w:r>
        <w:t xml:space="preserve"> </w:t>
      </w:r>
      <w:r>
        <w:t xml:space="preserve">No nutrient threshold has been estimated for the seaside meadows, measured nutrient concentrations are low, and the documented threat has been</w:t>
      </w:r>
      <w:r>
        <w:t xml:space="preserve"> </w:t>
      </w:r>
      <w:r>
        <w:rPr>
          <w:b/>
          <w:bCs/>
        </w:rPr>
        <w:t xml:space="preserve">thermal</w:t>
      </w:r>
      <w:r>
        <w:t xml:space="preserve">. The unverifiable</w:t>
      </w:r>
      <w:r>
        <w:t xml:space="preserve"> </w:t>
      </w:r>
      <w:r>
        <w:t xml:space="preserve">“~50% areal loss”</w:t>
      </w:r>
      <w:r>
        <w:t xml:space="preserve"> </w:t>
      </w:r>
      <w:r>
        <w:t xml:space="preserve">in 2015 is replaced: the 2015 heat wave caused severe, spatially uneven dieback in South Bay, with some inner-meadow sites losing ~90% of shoot density, followed by partial recovery.</w:t>
      </w:r>
    </w:p>
    <w:p>
      <w:pPr>
        <w:pStyle w:val="Compact"/>
        <w:numPr>
          <w:ilvl w:val="0"/>
          <w:numId w:val="1001"/>
        </w:numPr>
      </w:pPr>
      <w:r>
        <w:rPr>
          <w:b/>
          <w:bCs/>
        </w:rPr>
        <w:t xml:space="preserve">Flushing.</w:t>
      </w:r>
      <w:r>
        <w:t xml:space="preserve"> </w:t>
      </w:r>
      <w:r>
        <w:t xml:space="preserve">Residence times in open lagoon interiors are days to a few weeks (Safak et al. 2015). The earlier</w:t>
      </w:r>
      <w:r>
        <w:t xml:space="preserve"> </w:t>
      </w:r>
      <w:r>
        <w:t xml:space="preserve">“only limited tidal exchange”</w:t>
      </w:r>
      <w:r>
        <w:t xml:space="preserve"> </w:t>
      </w:r>
      <w:r>
        <w:t xml:space="preserve">and</w:t>
      </w:r>
      <w:r>
        <w:t xml:space="preserve"> </w:t>
      </w:r>
      <w:r>
        <w:t xml:space="preserve">“flushing-limited”</w:t>
      </w:r>
      <w:r>
        <w:t xml:space="preserve"> </w:t>
      </w:r>
      <w:r>
        <w:t xml:space="preserve">descriptions applied at most to back-lagoon reaches.</w:t>
      </w:r>
    </w:p>
    <w:p>
      <w:pPr>
        <w:pStyle w:val="Compact"/>
        <w:numPr>
          <w:ilvl w:val="0"/>
          <w:numId w:val="1001"/>
        </w:numPr>
      </w:pPr>
      <w:r>
        <w:rPr>
          <w:b/>
          <w:bCs/>
        </w:rPr>
        <w:t xml:space="preserve">Stanhope et al. (2009)</w:t>
      </w:r>
      <w:r>
        <w:t xml:space="preserve"> </w:t>
      </w:r>
      <w:r>
        <w:t xml:space="preserve">is a baseflow study of 14 first-order streams. Nitrogen concentrations tracked %</w:t>
      </w:r>
      <w:r>
        <w:t xml:space="preserve"> </w:t>
      </w:r>
      <w:r>
        <w:rPr>
          <w:b/>
          <w:bCs/>
        </w:rPr>
        <w:t xml:space="preserve">agricultural</w:t>
      </w:r>
      <w:r>
        <w:t xml:space="preserve"> </w:t>
      </w:r>
      <w:r>
        <w:t xml:space="preserve">land, and yields also tracked % developed land. It is not a groundwater-discharge study of Hog Island Bay.</w:t>
      </w:r>
    </w:p>
    <w:p>
      <w:pPr>
        <w:pStyle w:val="Compact"/>
        <w:numPr>
          <w:ilvl w:val="0"/>
          <w:numId w:val="1001"/>
        </w:numPr>
      </w:pPr>
      <w:r>
        <w:rPr>
          <w:b/>
          <w:bCs/>
        </w:rPr>
        <w:t xml:space="preserve">Mitchell et al. (2021)</w:t>
      </w:r>
      <w:r>
        <w:t xml:space="preserve"> </w:t>
      </w:r>
      <w:r>
        <w:t xml:space="preserve">does not analyze ESVA or name seaside villages. Capps et al. (2020) and RD883 do not identify ESVA seaside communities as high-vulnerability settings.</w:t>
      </w:r>
    </w:p>
    <w:p>
      <w:pPr>
        <w:pStyle w:val="Compact"/>
        <w:numPr>
          <w:ilvl w:val="0"/>
          <w:numId w:val="1001"/>
        </w:numPr>
      </w:pPr>
      <w:r>
        <w:rPr>
          <w:b/>
          <w:bCs/>
        </w:rPr>
        <w:t xml:space="preserve">Analogue leaps corrected.</w:t>
      </w:r>
      <w:r>
        <w:t xml:space="preserve"> </w:t>
      </w:r>
      <w:r>
        <w:t xml:space="preserve">The Indian River Lagoon has months-long residence times. Virginia’s 1933 scallop and eelgrass collapse was caused by wasting disease and a hurricane, not brown tide or nutrients. The ESVA seaside is not</w:t>
      </w:r>
      <w:r>
        <w:t xml:space="preserve"> </w:t>
      </w:r>
      <w:r>
        <w:t xml:space="preserve">“near the top of the list”</w:t>
      </w:r>
      <w:r>
        <w:t xml:space="preserve"> </w:t>
      </w:r>
      <w:r>
        <w:t xml:space="preserve">for septic-driven eutrophication.</w:t>
      </w:r>
    </w:p>
    <w:p>
      <w:pPr>
        <w:pStyle w:val="Compact"/>
        <w:numPr>
          <w:ilvl w:val="0"/>
          <w:numId w:val="1001"/>
        </w:numPr>
      </w:pPr>
      <w:r>
        <w:rPr>
          <w:b/>
          <w:bCs/>
        </w:rPr>
        <w:t xml:space="preserve">Bay scallop.</w:t>
      </w:r>
      <w:r>
        <w:t xml:space="preserve"> </w:t>
      </w:r>
      <w:r>
        <w:t xml:space="preserve">The 0.47 yr⁻¹ growth rate is this project’s own fit to VIMS news releases, not a published estimate.</w:t>
      </w:r>
    </w:p>
    <w:p>
      <w:pPr>
        <w:pStyle w:val="Compact"/>
        <w:numPr>
          <w:ilvl w:val="0"/>
          <w:numId w:val="1001"/>
        </w:numPr>
      </w:pPr>
      <w:r>
        <w:rPr>
          <w:b/>
          <w:bCs/>
        </w:rPr>
        <w:t xml:space="preserve">Geography and citations.</w:t>
      </w:r>
      <w:r>
        <w:t xml:space="preserve"> </w:t>
      </w:r>
      <w:r>
        <w:t xml:space="preserve">Chincoteague Bay straddles the MD–VA line; its southern end and the town of Chincoteague are in Accomack County. Bratton et al. (2009) is a Chincoteague Bay, MD study. The Aoki et al. depth paper is</w:t>
      </w:r>
      <w:r>
        <w:t xml:space="preserve"> </w:t>
      </w:r>
      <w:r>
        <w:rPr>
          <w:i/>
          <w:iCs/>
        </w:rPr>
        <w:t xml:space="preserve">Estuaries and Coasts</w:t>
      </w:r>
      <w:r>
        <w:t xml:space="preserve"> </w:t>
      </w:r>
      <w:r>
        <w:t xml:space="preserve">43:316–328, not</w:t>
      </w:r>
      <w:r>
        <w:t xml:space="preserve"> </w:t>
      </w:r>
      <w:r>
        <w:rPr>
          <w:i/>
          <w:iCs/>
        </w:rPr>
        <w:t xml:space="preserve">Front. Mar. Sci.</w:t>
      </w:r>
      <w:r>
        <w:t xml:space="preserve"> </w:t>
      </w:r>
      <w:r>
        <w:t xml:space="preserve">7:576784, which is Berger et al. The Capps 2020 entry was the wrong paper.</w:t>
      </w:r>
    </w:p>
    <w:p>
      <w:pPr>
        <w:pStyle w:val="BlockText"/>
      </w:pPr>
      <w:r>
        <w:t xml:space="preserve">See</w:t>
      </w:r>
      <w:r>
        <w:t xml:space="preserve"> </w:t>
      </w:r>
      <w:r>
        <w:rPr>
          <w:rStyle w:val="VerbatimChar"/>
        </w:rPr>
        <w:t xml:space="preserve">ECOLOGICAL_EFFECTS_SYNTHESIS.md</w:t>
      </w:r>
      <w:r>
        <w:t xml:space="preserve"> </w:t>
      </w:r>
      <w:r>
        <w:t xml:space="preserve">(October 2026 evidence review and Section 4) and</w:t>
      </w:r>
      <w:r>
        <w:t xml:space="preserve"> </w:t>
      </w:r>
      <w:r>
        <w:rPr>
          <w:rStyle w:val="VerbatimChar"/>
        </w:rPr>
        <w:t xml:space="preserve">OUTREACH_MESSAGING_REVIEW.md</w:t>
      </w:r>
      <w:r>
        <w:t xml:space="preserve">.</w:t>
      </w:r>
    </w:p>
    <w:bookmarkStart w:id="10" w:name="mechanism-of-harm"/>
    <w:p>
      <w:pPr>
        <w:pStyle w:val="Heading2"/>
      </w:pPr>
      <w:r>
        <w:t xml:space="preserve">Mechanism of harm</w:t>
      </w:r>
    </w:p>
    <w:p>
      <w:pPr>
        <w:pStyle w:val="FirstParagraph"/>
      </w:pPr>
      <w:r>
        <w:t xml:space="preserve">The ESVA seaside coastal lagoon system comprises a chain of shallow (mean depth ~1–2 m), microtidal-to-mesotidal bays impounded behind the Virginia barrier islands: South Bay, Cobb Bay, Hog Island Bay, Spider Crab Bay, Ramshorn Bay, Mockhorn Bay, Magothy Bay, and the Machipongo system. Unlike the Bayside mainstem (Pathway 3a), these lagoons receive essentially no surface river input. There are no watershed-scale rivers on the seaside; the peninsula’s low-relief, sandy surficial Columbia aquifer drains directly into the lagoons as submarine and intertidal groundwater discharge (SGD) and via short, first-order tidal creeks. This makes the seaside a textbook case of a groundwater-dominated coastal lagoon, in which the watershed nitrogen signal propagates to receiving waters almost exclusively through the shallow aquifer.</w:t>
      </w:r>
    </w:p>
    <w:p>
      <w:pPr>
        <w:pStyle w:val="BodyText"/>
      </w:pPr>
      <w:r>
        <w:t xml:space="preserve">The mechanism runs in four steps. First, onsite wastewater N (NH4+ near the drainfield, oxidized to NO3– within a few meters) enters the Columbia aquifer. Surficial transit times are years to a few decades at peninsula scale, but much shorter (months to years) for houses within a few hundred meters of the lagoon shore. Second, groundwater emerges into lagoon sediments and intertidal flats as SGD; because the lagoons are shallow and poorly flushed, even modest N fluxes produce disproportionately large increases in water-column DIN and DON. Third, shallow clear-water lagoons respond to N enrichment nonlinearly: the Cloern (2001) and Duarte (2009) conceptual models describe a cascade in which modest N increases first favor macroalgal canopies (</w:t>
      </w:r>
      <w:r>
        <w:rPr>
          <w:i/>
          <w:iCs/>
        </w:rPr>
        <w:t xml:space="preserve">Ulva</w:t>
      </w:r>
      <w:r>
        <w:t xml:space="preserve">,</w:t>
      </w:r>
      <w:r>
        <w:t xml:space="preserve"> </w:t>
      </w:r>
      <w:r>
        <w:rPr>
          <w:i/>
          <w:iCs/>
        </w:rPr>
        <w:t xml:space="preserve">Gracilaria vermiculophylla</w:t>
      </w:r>
      <w:r>
        <w:t xml:space="preserve">) over rooted seagrass, then tip toward picoplankton/brown-tide dominance as macroalgae shade themselves out. Regime shifts can be crossed at DIN thresholds well below Chesapeake-mainstem values — on the order of 5–15 μM DIN, or &lt;30 g N m⁻² yr⁻¹ areal loading, depending on residence time [citation unverified — Oct 2026]. Fourth, once seagrass is lost, feedbacks (resuspension, bioturbation, loss of sediment oxygenation, loss of below-ground N burial) lock the system in a turbid, macroalgal or phytoplankton-dominated state that is hard to reverse.</w:t>
      </w:r>
    </w:p>
    <w:p>
      <w:pPr>
        <w:pStyle w:val="BodyText"/>
      </w:pPr>
      <w:r>
        <w:t xml:space="preserve">The seaside system is therefore vulnerable to septic N through a distinctively short and direct hydrologic pathway (groundwater, not rivers), operating on a substrate (shallow clear-water lagoons) whose ecology is known to flip at low thresholds. What makes the pathway different from Pathways 2 or 3a is the near absence of buffering: no riverine dilution and no deep stratified basin.</w:t>
      </w:r>
      <w:r>
        <w:t xml:space="preserve"> </w:t>
      </w:r>
      <w:r>
        <w:rPr>
          <w:b/>
          <w:bCs/>
        </w:rPr>
        <w:t xml:space="preserve">[Oct 2026]</w:t>
      </w:r>
      <w:r>
        <w:t xml:space="preserve"> </w:t>
      </w:r>
      <w:r>
        <w:t xml:space="preserve">Earlier text added</w:t>
      </w:r>
      <w:r>
        <w:t xml:space="preserve"> </w:t>
      </w:r>
      <w:r>
        <w:t xml:space="preserve">“only limited tidal exchange with the adjacent Atlantic through narrow inlets.”</w:t>
      </w:r>
      <w:r>
        <w:t xml:space="preserve"> </w:t>
      </w:r>
      <w:r>
        <w:t xml:space="preserve">In fact, residence times in the open lagoon interiors are days to a few weeks (Safak et al. 2015); exchange is limited mainly in back-lagoon reaches.</w:t>
      </w:r>
    </w:p>
    <w:bookmarkEnd w:id="10"/>
    <w:bookmarkStart w:id="11" w:name="esva-specific-evidence"/>
    <w:p>
      <w:pPr>
        <w:pStyle w:val="Heading2"/>
      </w:pPr>
      <w:r>
        <w:t xml:space="preserve">ESVA-specific evidence</w:t>
      </w:r>
    </w:p>
    <w:p>
      <w:pPr>
        <w:pStyle w:val="FirstParagraph"/>
      </w:pPr>
      <w:r>
        <w:t xml:space="preserve">The seaside lagoon system behind the Virginia barrier islands is one of the most intensively studied shallow coastal lagoon complexes in North America. Since 1987, the NSF-funded Virginia Coast Reserve Long-Term Ecological Research program (VCR LTER), operated by UVA with field facilities at Oyster and Nassawadox, has built a continuous biogeochemical and ecological time series spanning South Bay, Cobb Bay, Hog Island Bay, and Spider Crab Bay (McGlathery, Pace, Wiberg, and Porter groups). VIMS, TNC, and UVA together run the world’s largest successful seagrass restoration on the same water. Pathway-relevant state variables — nutrient concentrations, light, macroalgal biomass, seagrass extent, C/N sequestration — are unusually well constrained. What is weakly constrained, and critical to this pathway, is the direct link from any specific watershed N source (including failing septic) to lagoon ecological endpoints.</w:t>
      </w:r>
    </w:p>
    <w:p>
      <w:pPr>
        <w:pStyle w:val="BodyText"/>
      </w:pPr>
      <w:r>
        <w:rPr>
          <w:i/>
          <w:iCs/>
        </w:rPr>
        <w:t xml:space="preserve">Hydrogeologic and loading context.</w:t>
      </w:r>
      <w:r>
        <w:t xml:space="preserve"> </w:t>
      </w:r>
      <w:r>
        <w:t xml:space="preserve">The seaside lagoons receive almost no surface-water input: the peninsular divide sits close to the Bayside, and the short seaside slope drains through the Columbia surficial aquifer and marsh-bounded first-order creeks.</w:t>
      </w:r>
      <w:r>
        <w:t xml:space="preserve"> </w:t>
      </w:r>
      <w:r>
        <w:rPr>
          <w:b/>
          <w:bCs/>
        </w:rPr>
        <w:t xml:space="preserve">[Oct 2026, corrected]</w:t>
      </w:r>
      <w:r>
        <w:t xml:space="preserve"> </w:t>
      </w:r>
      <w:r>
        <w:t xml:space="preserve">Stanhope et al. (2009) measured baseflow nutrient discharge from 14 first-order Virginia Eastern Shore streams over one drought year. Total dissolved nitrogen concentrations rose with % agricultural land and % very poorly drained soils. Yields also rose with % developed land. They estimated baseflow TDN loading to one seaside lagoon at ~28,170 kg N yr⁻¹. Earlier versions described this as documenting submarine groundwater discharge as the dominant vector to Hog Island Bay, with SGD-delivered DIN exceeding creek delivery; the abstract does not say that. Residence times (Safak et al. 2015) are days to a few weeks in open lagoon interiors but can exceed a month in flushing-limited back-lagoon reaches — long enough for macroalgal and phytoplankton populations to respond to pulsed N inputs. The seaside villages (Oyster, Willis Wharf, Quinby, Wachapreague, Red Bank, Folly Creek) are largely unsewered and sit on sandy, shallow-water-table parcels; drainfield-to-lagoon flow paths are often less than a few hundred meters.</w:t>
      </w:r>
      <w:r>
        <w:t xml:space="preserve"> </w:t>
      </w:r>
      <w:r>
        <w:rPr>
          <w:b/>
          <w:bCs/>
        </w:rPr>
        <w:t xml:space="preserve">[Oct 2026]</w:t>
      </w:r>
      <w:r>
        <w:t xml:space="preserve"> </w:t>
      </w:r>
      <w:r>
        <w:t xml:space="preserve">Earlier text cited Mitchell et al. (2021) for</w:t>
      </w:r>
      <w:r>
        <w:t xml:space="preserve"> </w:t>
      </w:r>
      <w:r>
        <w:t xml:space="preserve">“essentially 100% unsewered”</w:t>
      </w:r>
      <w:r>
        <w:t xml:space="preserve">; that paper does not discuss these villages, and sewer status should be checked town by town (RD899, 2022, lists sewer-project funding for Wachapreague). Earlier text also said RD883 (2021) and Capps et al. (2020)</w:t>
      </w:r>
      <w:r>
        <w:t xml:space="preserve"> </w:t>
      </w:r>
      <w:r>
        <w:t xml:space="preserve">“both identify ESVA seaside communities as among the highest-vulnerability OWTS settings in the mid-Atlantic.”</w:t>
      </w:r>
      <w:r>
        <w:t xml:space="preserve"> </w:t>
      </w:r>
      <w:r>
        <w:t xml:space="preserve">Neither does, and the claim is withdrawn.</w:t>
      </w:r>
    </w:p>
    <w:p>
      <w:pPr>
        <w:pStyle w:val="BodyText"/>
      </w:pPr>
      <w:r>
        <w:rPr>
          <w:i/>
          <w:iCs/>
        </w:rPr>
        <w:t xml:space="preserve">Nitrogen loading and retention in Hog Island Bay.</w:t>
      </w:r>
      <w:r>
        <w:t xml:space="preserve"> </w:t>
      </w:r>
      <w:r>
        <w:t xml:space="preserve">The Tyler, McGlathery &amp; Anderson (2001, 2003) and Anderson et al. (2003) studies established that Hog Island Bay is a nitrogen-limited shallow lagoon in which DIN inputs are rapidly assimilated into macroalgal biomass and returned to the water column as dissolved organic nitrogen (DON) when mats senesce. Tyler et al. (2003 Limnol Oceanogr) measured DON release fluxes from drift-macroalgal mats of up to ~17 mmol N m⁻² d⁻¹ during summer biomass peaks — an order of magnitude larger than typical benthic DIN fluxes — identifying macroalgal DON regeneration as a major internal N recycling term that amplifies the effective residence time of any externally delivered N. Tyler et al. (2006 J Phycol) extended this to</w:t>
      </w:r>
      <w:r>
        <w:t xml:space="preserve"> </w:t>
      </w:r>
      <w:r>
        <w:rPr>
          <w:i/>
          <w:iCs/>
        </w:rPr>
        <w:t xml:space="preserve">Gracilaria vermiculophylla</w:t>
      </w:r>
      <w:r>
        <w:t xml:space="preserve"> </w:t>
      </w:r>
      <w:r>
        <w:t xml:space="preserve">specifically. The implication for septic attribution is that even modest SGD-delivered DIN can be</w:t>
      </w:r>
      <w:r>
        <w:t xml:space="preserve"> </w:t>
      </w:r>
      <w:r>
        <w:t xml:space="preserve">“trapped”</w:t>
      </w:r>
      <w:r>
        <w:t xml:space="preserve"> </w:t>
      </w:r>
      <w:r>
        <w:t xml:space="preserve">and extended ecologically well beyond the hydrologic residence time of the lagoon.</w:t>
      </w:r>
    </w:p>
    <w:p>
      <w:pPr>
        <w:pStyle w:val="BodyText"/>
      </w:pPr>
      <w:r>
        <w:rPr>
          <w:i/>
          <w:iCs/>
        </w:rPr>
        <w:t xml:space="preserve">Macroalgal dominance and the Gracilaria invasion.</w:t>
      </w:r>
      <w:r>
        <w:t xml:space="preserve"> </w:t>
      </w:r>
      <w:r>
        <w:t xml:space="preserve">Thomsen, Gurgel, Fredericq &amp; McGlathery (2005) first identified the cryptic invasive red alga</w:t>
      </w:r>
      <w:r>
        <w:t xml:space="preserve"> </w:t>
      </w:r>
      <w:r>
        <w:rPr>
          <w:i/>
          <w:iCs/>
        </w:rPr>
        <w:t xml:space="preserve">Gracilaria vermiculophylla</w:t>
      </w:r>
      <w:r>
        <w:t xml:space="preserve"> </w:t>
      </w:r>
      <w:r>
        <w:t xml:space="preserve">(now</w:t>
      </w:r>
      <w:r>
        <w:t xml:space="preserve"> </w:t>
      </w:r>
      <w:r>
        <w:rPr>
          <w:i/>
          <w:iCs/>
        </w:rPr>
        <w:t xml:space="preserve">Agarophyton vermiculophyllum</w:t>
      </w:r>
      <w:r>
        <w:t xml:space="preserve">) in Hog Island Bay in 1998; by the mid-2000s it accounted for ~80–90% of drift-macroalgal biomass (Thomsen &amp; McGlathery 2007). Thomsen et al. (2009) documented its spread across Virginia seaside marshes.</w:t>
      </w:r>
      <w:r>
        <w:t xml:space="preserve"> </w:t>
      </w:r>
      <w:r>
        <w:rPr>
          <w:i/>
          <w:iCs/>
        </w:rPr>
        <w:t xml:space="preserve">Gracilaria</w:t>
      </w:r>
      <w:r>
        <w:t xml:space="preserve"> </w:t>
      </w:r>
      <w:r>
        <w:t xml:space="preserve">blooms shade seagrass, hyper-accumulate water-column N, and export it as DON. The first-order point for this pathway is that the lagoons are demonstrably capable of supporting high drift-macroalgal biomass when N is available, and that the dominant bloom-former is a newly established, highly opportunistic invader with no population-limiting history in the system (creek-scale dynamics are covered in Pathway 2; relevance here is lagoon-scale N capture and competitive exclusion of eelgrass seedlings in restoration plots).</w:t>
      </w:r>
    </w:p>
    <w:p>
      <w:pPr>
        <w:pStyle w:val="BodyText"/>
      </w:pPr>
      <w:r>
        <w:rPr>
          <w:i/>
          <w:iCs/>
        </w:rPr>
        <w:t xml:space="preserve">Seagrass restoration: the centerpiece.</w:t>
      </w:r>
      <w:r>
        <w:t xml:space="preserve"> </w:t>
      </w:r>
      <w:r>
        <w:t xml:space="preserve">Eelgrass (</w:t>
      </w:r>
      <w:r>
        <w:rPr>
          <w:i/>
          <w:iCs/>
        </w:rPr>
        <w:t xml:space="preserve">Zostera marina</w:t>
      </w:r>
      <w:r>
        <w:t xml:space="preserve">) was extirpated from the ESVA seaside in the 1930s by the combined action of the 1933 hurricane and the wasting disease pandemic (Orth et al. 2006). The lagoons remained bare for more than six decades. In 1997, VIMS researchers discovered natural eelgrass patches recolonizing South Bay and initiated a seed-based restoration in 1999 (Orth, Luckenbach, Marion et al. 2006). Over the next two decades, more than 70 million</w:t>
      </w:r>
      <w:r>
        <w:t xml:space="preserve"> </w:t>
      </w:r>
      <w:r>
        <w:rPr>
          <w:i/>
          <w:iCs/>
        </w:rPr>
        <w:t xml:space="preserve">Z. marina</w:t>
      </w:r>
      <w:r>
        <w:t xml:space="preserve"> </w:t>
      </w:r>
      <w:r>
        <w:t xml:space="preserve">seeds were broadcast across South, Cobb, Spider Crab, and Hog Island Bays. Orth, Lefcheck, McGlathery, Aoki, Luckenbach, Moore, Oreska, Snyder, Wilcox &amp; Lusk (2020, Science Advances 6:eabc6434) synthesized the outcome: 3,612 ha of restored seagrass by 2018, growing at ~240 ha yr⁻¹ since 2007, with downstream recovery of sediment carbon burial, benthic invertebrate density, fish biomass, and water clarity. At 3,612 ha (~8,900 acres) this is the largest successful seagrass restoration on record worldwide, and the single largest eelgrass habitat between North Carolina and Long Island Sound (VIMS 2020). The restoration has become a template for seagrass recovery projects globally.</w:t>
      </w:r>
      <w:r>
        <w:t xml:space="preserve"> </w:t>
      </w:r>
      <w:r>
        <w:rPr>
          <w:i/>
          <w:iCs/>
        </w:rPr>
        <w:t xml:space="preserve">Note: extent has continued to expand since the 2018 census reported in Orth et al. 2020, but no peer-reviewed updated total has been located; cite 3,612 ha as the last published figure rather than extrapolating.</w:t>
      </w:r>
    </w:p>
    <w:p>
      <w:pPr>
        <w:pStyle w:val="BodyText"/>
      </w:pPr>
      <w:r>
        <w:t xml:space="preserve">The restoration’s success is tightly coupled to low ambient nutrient concentrations. McGlathery, Reynolds, Cole, Orth, Marion &amp; Schwarzschild (2012 Mar Ecol Prog Ser 448:209) showed that functional recovery (carbon sequestration, N sequestration, sediment deposition) lags structural recovery (shoot density) by several years, with shoot density rising nonlinearly after a 4-year initial lag. Aoki, McGlathery &amp; Oreska (2020 Limnol Oceanogr Lett) and Oreska, McGlathery, Aoki, Berger, Berg &amp; Mullins (2020 Sci Rep) quantified the carbon and N burial services: restored meadows now sequester roughly 0.42 Mg C ha⁻¹ yr⁻¹ and represent the first formally certified blue-carbon offset credit in the United States (the VCS-registered</w:t>
      </w:r>
      <w:r>
        <w:t xml:space="preserve"> </w:t>
      </w:r>
      <w:r>
        <w:t xml:space="preserve">“Virginia Seagrass Restoration Project”</w:t>
      </w:r>
      <w:r>
        <w:t xml:space="preserve">). The McGlathery group’s functional-recovery framework makes clear that restoration success is contingent on (1) sufficient water clarity, (2) low epiphyte loads — itself a nutrient-dependent variable — and (3) absence of competing drift macroalgae. All three conditions are nutrient-sensitive.</w:t>
      </w:r>
    </w:p>
    <w:p>
      <w:pPr>
        <w:pStyle w:val="BodyText"/>
      </w:pPr>
      <w:r>
        <w:rPr>
          <w:i/>
          <w:iCs/>
        </w:rPr>
        <w:t xml:space="preserve">Seagrass vulnerability to warming and nutrients.</w:t>
      </w:r>
      <w:r>
        <w:t xml:space="preserve"> </w:t>
      </w:r>
      <w:r>
        <w:rPr>
          <w:b/>
          <w:bCs/>
        </w:rPr>
        <w:t xml:space="preserve">[Oct 2026, corrected]</w:t>
      </w:r>
      <w:r>
        <w:t xml:space="preserve"> </w:t>
      </w:r>
      <w:r>
        <w:t xml:space="preserve">The June 2015 marine heat wave caused severe, spatially uneven eelgrass dieback in South Bay, with some inner-meadow sites losing ~90% of shoot density, followed by partial recovery (Berger et al. 2020; Aoki et al. 2020). Earlier versions gave</w:t>
      </w:r>
      <w:r>
        <w:t xml:space="preserve"> </w:t>
      </w:r>
      <w:r>
        <w:t xml:space="preserve">“~50% areal loss in South Bay and Hog Island Bay”</w:t>
      </w:r>
      <w:r>
        <w:t xml:space="preserve">; that figure could not be verified. Aoki et al. (2020,</w:t>
      </w:r>
      <w:r>
        <w:t xml:space="preserve"> </w:t>
      </w:r>
      <w:r>
        <w:rPr>
          <w:i/>
          <w:iCs/>
        </w:rPr>
        <w:t xml:space="preserve">Estuaries and Coasts</w:t>
      </w:r>
      <w:r>
        <w:t xml:space="preserve">) reported that meadow</w:t>
      </w:r>
      <w:r>
        <w:t xml:space="preserve"> </w:t>
      </w:r>
      <w:r>
        <w:rPr>
          <w:b/>
          <w:bCs/>
        </w:rPr>
        <w:t xml:space="preserve">depth</w:t>
      </w:r>
      <w:r>
        <w:t xml:space="preserve"> </w:t>
      </w:r>
      <w:r>
        <w:t xml:space="preserve">affected restoration success and resilience to the heat wave. The earlier attribution to that paper of an interaction with nutrient-mediated light limitation (epiphytes, drift macroalgae) is unverified [citation unverified — Oct 2026]. Lefcheck, Wilcox, Murphy, Marion &amp; Orth (2017 Glob Change Biol) extended this to the Chesapeake Bay-wide SAV record, and Lefcheck et al. (2018 PNAS) demonstrated that Bay-wide SAV recovery has tracked watershed TN reductions since the 1984 baseline. The inference chain is: nutrients set the baseline tolerance for eelgrass to absorb thermal shocks, and on the ESVA seaside the restored meadow is currently thriving because nutrients are low. Warming makes the meadow more vulnerable, and in principle additional N input (septic, agricultural, or atmospheric) would add stress.</w:t>
      </w:r>
      <w:r>
        <w:t xml:space="preserve"> </w:t>
      </w:r>
      <w:r>
        <w:rPr>
          <w:b/>
          <w:bCs/>
        </w:rPr>
        <w:t xml:space="preserve">[Oct 2026]</w:t>
      </w:r>
      <w:r>
        <w:t xml:space="preserve"> </w:t>
      </w:r>
      <w:r>
        <w:t xml:space="preserve">This is an inference from general seagrass physiology. No nutrient threshold has been estimated for the seaside meadows, and the documented threat to date has been thermal.</w:t>
      </w:r>
    </w:p>
    <w:p>
      <w:pPr>
        <w:pStyle w:val="BodyText"/>
      </w:pPr>
      <w:r>
        <w:rPr>
          <w:i/>
          <w:iCs/>
        </w:rPr>
        <w:t xml:space="preserve">Bay scallop reintroduction.</w:t>
      </w:r>
      <w:r>
        <w:t xml:space="preserve"> </w:t>
      </w:r>
      <w:r>
        <w:t xml:space="preserve">Virginia supported the most productive bay scallop (</w:t>
      </w:r>
      <w:r>
        <w:rPr>
          <w:i/>
          <w:iCs/>
        </w:rPr>
        <w:t xml:space="preserve">Argopecten irradians</w:t>
      </w:r>
      <w:r>
        <w:t xml:space="preserve">) fishery in the US in 1930 [citation unverified — Oct 2026]; the fishery collapsed in 1933 with the eelgrass, and scallops were functionally extinct on the ESVA for nearly 90 years (Oesterling et al. 2016). VIMS began a hatchery-based reintroduction in 2009, releasing 5,500 juvenile scallops into the restored South Bay eelgrass meadow (VIMS Eastern Shore Lab). Annual census data reported in VIMS news releases show low and fluctuating densities through 2018, followed by exponential growth from 2019–2025 at a specific growth rate of ~0.47 yr⁻¹ (population doubling time ~1.5 yr)</w:t>
      </w:r>
      <w:r>
        <w:t xml:space="preserve"> </w:t>
      </w:r>
      <w:r>
        <w:rPr>
          <w:b/>
          <w:bCs/>
        </w:rPr>
        <w:t xml:space="preserve">[Oct 2026: this rate is this project’s own fit to VIMS news-release counts, not a published estimate]</w:t>
      </w:r>
      <w:r>
        <w:t xml:space="preserve">, with the 2025 survey documenting ~0.114 scallops m⁻² averaged across the meadow — still well below the ~1–10 m⁻² of pre-collapse years but the first sustained recovery signal in ~90 years. Because bay scallops are obligate eelgrass associates (they attach to blades with byssal threads, which lifts them above anoxic sediments), any loss of seagrass structure would directly collapse the scallop trajectory. Bay scallops are themselves efficient filter feeders that remove phytoplankton — which means a scallop-eelgrass positive feedback has begun to re-establish and is nutrient-threshold-sensitive.</w:t>
      </w:r>
    </w:p>
    <w:p>
      <w:pPr>
        <w:pStyle w:val="BodyText"/>
      </w:pPr>
      <w:r>
        <w:rPr>
          <w:i/>
          <w:iCs/>
        </w:rPr>
        <w:t xml:space="preserve">Brown tide in the adjacent coastal bays.</w:t>
      </w:r>
      <w:r>
        <w:t xml:space="preserve"> </w:t>
      </w:r>
      <w:r>
        <w:t xml:space="preserve">The picoplanktonic pelagophyte</w:t>
      </w:r>
      <w:r>
        <w:t xml:space="preserve"> </w:t>
      </w:r>
      <w:r>
        <w:rPr>
          <w:i/>
          <w:iCs/>
        </w:rPr>
        <w:t xml:space="preserve">Aureococcus anophagefferens</w:t>
      </w:r>
      <w:r>
        <w:t xml:space="preserve"> </w:t>
      </w:r>
      <w:r>
        <w:t xml:space="preserve">(brown tide), which devastated the Long Island south-shore and Peconic Bay bay-scallop fisheries beginning in 1985, is a shallow-lagoon specialist that outcompetes other phytoplankton under elevated DON and organic-N conditions (Gobler, Boneillo, Debenham &amp; Caron 2002, 2005). Gobler et al. (2005) recorded low-level</w:t>
      </w:r>
      <w:r>
        <w:t xml:space="preserve"> </w:t>
      </w:r>
      <w:r>
        <w:rPr>
          <w:i/>
          <w:iCs/>
        </w:rPr>
        <w:t xml:space="preserve">Aureococcus</w:t>
      </w:r>
      <w:r>
        <w:t xml:space="preserve"> </w:t>
      </w:r>
      <w:r>
        <w:t xml:space="preserve">cell counts in Chincoteague Bay and noted that the full Delmarva seaside system — Chincoteague through South Bay — has the physical setting for brown tide, and that bloom occurrence has tracked rising DON loads [citation unverified — Oct 2026].</w:t>
      </w:r>
      <w:r>
        <w:t xml:space="preserve"> </w:t>
      </w:r>
      <w:r>
        <w:rPr>
          <w:b/>
          <w:bCs/>
        </w:rPr>
        <w:t xml:space="preserve">[Oct 2026]</w:t>
      </w:r>
      <w:r>
        <w:t xml:space="preserve"> </w:t>
      </w:r>
      <w:r>
        <w:t xml:space="preserve">Chincoteague Bay straddles the Maryland–Virginia line. Its southern end and the town of Chincoteague are in Accomack County, so it is not</w:t>
      </w:r>
      <w:r>
        <w:t xml:space="preserve"> </w:t>
      </w:r>
      <w:r>
        <w:t xml:space="preserve">“immediately north of ESVA”</w:t>
      </w:r>
      <w:r>
        <w:t xml:space="preserve"> </w:t>
      </w:r>
      <w:r>
        <w:t xml:space="preserve">as earlier text said.</w:t>
      </w:r>
      <w:r>
        <w:t xml:space="preserve"> </w:t>
      </w:r>
      <w:r>
        <w:rPr>
          <w:i/>
          <w:iCs/>
        </w:rPr>
        <w:t xml:space="preserve">Aureoumbra lagunensis</w:t>
      </w:r>
      <w:r>
        <w:t xml:space="preserve">, the Texas brown tide species, has not been documented on ESVA but is possible under future warming. Bloom-grade brown tide has not been recorded in the Virginia seaside lagoons to date, which is a genuinely good-news finding [unverified — Oct 2026; check Maryland Coastal Bays monitoring records for Chincoteague Bay].</w:t>
      </w:r>
    </w:p>
    <w:p>
      <w:pPr>
        <w:pStyle w:val="BodyText"/>
      </w:pPr>
      <w:r>
        <w:rPr>
          <w:i/>
          <w:iCs/>
        </w:rPr>
        <w:t xml:space="preserve">Direct septic-to-lagoon attribution on ESVA seaside.</w:t>
      </w:r>
      <w:r>
        <w:t xml:space="preserve"> </w:t>
      </w:r>
      <w:r>
        <w:t xml:space="preserve">This is the weakest link. No published study has isotopically or hydrologically attributed a measurable fraction of Hog Island Bay, South Bay, or Cobb Bay DIN to OWTS sources. The VCR LTER nutrient record treats N loading as an aggregate watershed signal.</w:t>
      </w:r>
      <w:r>
        <w:t xml:space="preserve"> </w:t>
      </w:r>
      <w:r>
        <w:rPr>
          <w:b/>
          <w:bCs/>
        </w:rPr>
        <w:t xml:space="preserve">[Oct 2026, corrected]</w:t>
      </w:r>
      <w:r>
        <w:t xml:space="preserve"> </w:t>
      </w:r>
      <w:r>
        <w:t xml:space="preserve">Earlier versions said Mitchell et al. (2021) found seaside drainfields in Oyster, Willis Wharf, Wachapreague, and Red Bank</w:t>
      </w:r>
      <w:r>
        <w:t xml:space="preserve"> </w:t>
      </w:r>
      <w:r>
        <w:t xml:space="preserve">“among the most SLR-vulnerable in the Commonwealth.”</w:t>
      </w:r>
      <w:r>
        <w:t xml:space="preserve"> </w:t>
      </w:r>
      <w:r>
        <w:t xml:space="preserve">The paper does not analyze ESVA separately or name these villages. Its septic hot spots, based on VDH repair permits, were prevalent around Richmond and Gloucester County. The best that can be said from ESVA-specific data alone is (1) septic N is being released on the seaside in quantities plausibly comparable to Bayside fluxes scaled by population, (2) the hydrogeologic short-circuit is if anything more efficient than on the Bayside, and (3) the receiving lagoons are demonstrably N-limited and nonlinearly nutrient-sensitive — but the attribution arrow from septic source to lagoon ecological endpoint has not been drawn directly in the peer-reviewed ESVA literature. This is an honest caveat and a priority data gap (below).</w:t>
      </w:r>
    </w:p>
    <w:bookmarkEnd w:id="11"/>
    <w:bookmarkStart w:id="12" w:name="Xb11d82ecda937509ad010c9edbfc9df18629dca"/>
    <w:p>
      <w:pPr>
        <w:pStyle w:val="Heading2"/>
      </w:pPr>
      <w:r>
        <w:t xml:space="preserve">Analogue evidence: lagoon sensitivity and collapse</w:t>
      </w:r>
    </w:p>
    <w:p>
      <w:pPr>
        <w:pStyle w:val="FirstParagraph"/>
      </w:pPr>
      <w:r>
        <w:t xml:space="preserve">The ESVA seaside lagoons sit within a well-characterized global class of shallow, flushing-limited, groundwater-influenced coastal lagoons — a class that includes Waquoit Bay (Massachusetts), Great South Bay and Peconic Bay (Long Island), Barnegat Bay (New Jersey), the Indian River Lagoon (Florida), Mondego and Ria Formosa (Portugal), and the Venice and Sacca di Goro lagoons (Italy). This analogue class has provided most of what science knows about coastal-lagoon regime shifts, and the underlying physics and biogeochemistry map directly onto the Virginia seaside.</w:t>
      </w:r>
    </w:p>
    <w:p>
      <w:pPr>
        <w:pStyle w:val="BodyText"/>
      </w:pPr>
      <w:r>
        <w:rPr>
          <w:i/>
          <w:iCs/>
        </w:rPr>
        <w:t xml:space="preserve">Cloern 2001 and Duarte 2009 — the conceptual template.</w:t>
      </w:r>
      <w:r>
        <w:t xml:space="preserve"> </w:t>
      </w:r>
      <w:r>
        <w:t xml:space="preserve">Cloern’s (2001 Mar Ecol Prog Ser 210:223) synthesis established that shallow clear-water systems transition through predictable states along an N-loading gradient: seagrass → mixed seagrass/macroalgae → drift macroalgae → phytoplankton/picoplankton → anoxic/dystrophic. The transitions are nonlinear and hysteretic; recovery lags loading reduction by years to decades. Duarte et al. (2009 Estuaries Coasts) added that lagoons can persist in degraded states long after nutrient reductions. McGlathery, Sundbäck &amp; Anderson (2007 Mar Ecol Prog Ser 348:1) framed shallow lagoons as an end-member in this model: high N-retention efficiency, dominance by benthic primary producers, and nonlinear switches at low areal N-loading thresholds (often &lt;30 g N m⁻² yr⁻¹).</w:t>
      </w:r>
    </w:p>
    <w:p>
      <w:pPr>
        <w:pStyle w:val="BodyText"/>
      </w:pPr>
      <w:r>
        <w:rPr>
          <w:i/>
          <w:iCs/>
        </w:rPr>
        <w:t xml:space="preserve">Waquoit Bay — the gold-standard septic analogue.</w:t>
      </w:r>
      <w:r>
        <w:t xml:space="preserve"> </w:t>
      </w:r>
      <w:r>
        <w:t xml:space="preserve">Valiela et al. (1997 Ecol Appl 7:358) quantified OWTS nitrogen delivery to Waquoit Bay (Cape Cod) sub-watersheds via the Nitrogen Loading Model and showed that eelgrass loss and macroalgal dominance correlated sharply with total delivered N. Bowen &amp; Valiela (2001) and subsequent work tightened the attribution: Waquoit sub-estuaries receiving &gt;20–30 kg N ha⁻¹ yr⁻¹ from residential septic lost eelgrass completely and transitioned to</w:t>
      </w:r>
      <w:r>
        <w:t xml:space="preserve"> </w:t>
      </w:r>
      <w:r>
        <w:rPr>
          <w:i/>
          <w:iCs/>
        </w:rPr>
        <w:t xml:space="preserve">Cladophora</w:t>
      </w:r>
      <w:r>
        <w:t xml:space="preserve">/</w:t>
      </w:r>
      <w:r>
        <w:rPr>
          <w:i/>
          <w:iCs/>
        </w:rPr>
        <w:t xml:space="preserve">Gracilaria</w:t>
      </w:r>
      <w:r>
        <w:t xml:space="preserve">-dominated drift macroalgae, with phytoplankton taking over at higher loadings. Waquoit shares the ESVA seaside’s coastal-plain sandy aquifer, shallow lagoons and groundwater-dominated nutrient delivery.</w:t>
      </w:r>
      <w:r>
        <w:t xml:space="preserve"> </w:t>
      </w:r>
      <w:r>
        <w:rPr>
          <w:b/>
          <w:bCs/>
        </w:rPr>
        <w:t xml:space="preserve">[Oct 2026]</w:t>
      </w:r>
      <w:r>
        <w:t xml:space="preserve"> </w:t>
      </w:r>
      <w:r>
        <w:t xml:space="preserve">Its watershed is far more densely developed than the ESVA seaside, so its loads and responses are not ESVA predictions. The Valiela Nitrogen Loading Model is the canonical tool for converting OWTS density to expected lagoon response. Its</w:t>
      </w:r>
      <w:r>
        <w:t xml:space="preserve"> </w:t>
      </w:r>
      <w:r>
        <w:rPr>
          <w:i/>
          <w:iCs/>
        </w:rPr>
        <w:t xml:space="preserve">method</w:t>
      </w:r>
      <w:r>
        <w:t xml:space="preserve"> </w:t>
      </w:r>
      <w:r>
        <w:t xml:space="preserve">transfers to ESVA; its parameter values need local calibration.</w:t>
      </w:r>
    </w:p>
    <w:p>
      <w:pPr>
        <w:pStyle w:val="BodyText"/>
      </w:pPr>
      <w:r>
        <w:rPr>
          <w:i/>
          <w:iCs/>
        </w:rPr>
        <w:t xml:space="preserve">Indian River Lagoon — the runaway-collapse cautionary tale.</w:t>
      </w:r>
      <w:r>
        <w:t xml:space="preserve"> </w:t>
      </w:r>
      <w:r>
        <w:t xml:space="preserve">The ~250 km Indian River Lagoon (IRL) supported the most productive seagrass meadows in Florida until 2011. Between 2011 and 2019, the IRL lost ~60% of its seagrass (&gt;25,000 ha) through a sequence of</w:t>
      </w:r>
      <w:r>
        <w:t xml:space="preserve"> </w:t>
      </w:r>
      <w:r>
        <w:rPr>
          <w:i/>
          <w:iCs/>
        </w:rPr>
        <w:t xml:space="preserve">Aureoumbra</w:t>
      </w:r>
      <w:r>
        <w:t xml:space="preserve">-dominated brown tides, cyanobacterial blooms, and</w:t>
      </w:r>
      <w:r>
        <w:t xml:space="preserve"> </w:t>
      </w:r>
      <w:r>
        <w:rPr>
          <w:i/>
          <w:iCs/>
        </w:rPr>
        <w:t xml:space="preserve">Caulerpa prolifera</w:t>
      </w:r>
      <w:r>
        <w:t xml:space="preserve"> </w:t>
      </w:r>
      <w:r>
        <w:t xml:space="preserve">overgrowth (Phlips et al. 2015; Lapointe et al. 2015). Lapointe et al. (2017, 2020, 2023 Mar Pollut Bull) used δ¹⁵N fingerprinting in macroalgal tissue and porewater to attribute the bulk of bioavailable N loading to OWTS/sewage rather than fertilizer; the 2023 Lapointe paper reported current loading estimates of ~79% septic and ~21% fertilizer. IRL seagrass loss triggered a manatee starvation mass-mortality event beginning in late 2020, and the lagoon has replaced much of its seagrass with invasive</w:t>
      </w:r>
      <w:r>
        <w:t xml:space="preserve"> </w:t>
      </w:r>
      <w:r>
        <w:rPr>
          <w:i/>
          <w:iCs/>
        </w:rPr>
        <w:t xml:space="preserve">Caulerpa prolifera</w:t>
      </w:r>
      <w:r>
        <w:t xml:space="preserve"> </w:t>
      </w:r>
      <w:r>
        <w:t xml:space="preserve">mats — an archetypal alternative-stable-state collapse. The IRL is the strongest published demonstration that dense, aging, coastal-plain OWTS can drive a shallow lagoon past its seagrass tipping point. The ESVA seaside is less urbanized than the IRL by roughly an order of magnitude in unit-area OWTS density.</w:t>
      </w:r>
      <w:r>
        <w:t xml:space="preserve"> </w:t>
      </w:r>
      <w:r>
        <w:rPr>
          <w:b/>
          <w:bCs/>
        </w:rPr>
        <w:t xml:space="preserve">[Oct 2026]</w:t>
      </w:r>
      <w:r>
        <w:t xml:space="preserve"> </w:t>
      </w:r>
      <w:r>
        <w:t xml:space="preserve">It is also much better flushed: IRL residence times are months, versus days to weeks in the open VCR lagoons (Safak et al. 2015). Earlier text called the physical settings</w:t>
      </w:r>
      <w:r>
        <w:t xml:space="preserve"> </w:t>
      </w:r>
      <w:r>
        <w:t xml:space="preserve">“analogous”</w:t>
      </w:r>
      <w:r>
        <w:t xml:space="preserve">; they are not, in the respects that matter most for nutrient retention.</w:t>
      </w:r>
    </w:p>
    <w:p>
      <w:pPr>
        <w:pStyle w:val="BodyText"/>
      </w:pPr>
      <w:r>
        <w:rPr>
          <w:i/>
          <w:iCs/>
        </w:rPr>
        <w:t xml:space="preserve">Great South Bay, Barnegat Bay, and Long Island brown tides.</w:t>
      </w:r>
      <w:r>
        <w:t xml:space="preserve"> </w:t>
      </w:r>
      <w:r>
        <w:t xml:space="preserve">Gobler and colleagues (Gobler et al. 2005, 2011) linked chronic</w:t>
      </w:r>
      <w:r>
        <w:t xml:space="preserve"> </w:t>
      </w:r>
      <w:r>
        <w:rPr>
          <w:i/>
          <w:iCs/>
        </w:rPr>
        <w:t xml:space="preserve">Aureococcus anophagefferens</w:t>
      </w:r>
      <w:r>
        <w:t xml:space="preserve"> </w:t>
      </w:r>
      <w:r>
        <w:t xml:space="preserve">blooms in Long Island south-shore bays to sustained elevated DON loads, with OWTS identified as a major contributor in Kinney &amp; Valiela (2011). Great South Bay’s bay-scallop fishery — historically the largest in the US — has never recovered from the 1985 brown-tide collapse.</w:t>
      </w:r>
      <w:r>
        <w:t xml:space="preserve"> </w:t>
      </w:r>
      <w:r>
        <w:rPr>
          <w:b/>
          <w:bCs/>
        </w:rPr>
        <w:t xml:space="preserve">[Oct 2026]</w:t>
      </w:r>
      <w:r>
        <w:t xml:space="preserve"> </w:t>
      </w:r>
      <w:r>
        <w:t xml:space="preserve">Earlier text called this</w:t>
      </w:r>
      <w:r>
        <w:t xml:space="preserve"> </w:t>
      </w:r>
      <w:r>
        <w:t xml:space="preserve">“a direct parallel to the Virginia 1933 collapse.”</w:t>
      </w:r>
      <w:r>
        <w:t xml:space="preserve"> </w:t>
      </w:r>
      <w:r>
        <w:t xml:space="preserve">It is not: Virginia’s collapse was caused by eelgrass wasting disease and the 1933 hurricane, not by nutrients or brown tide. The parallel holds only for the scallop’s dependence on seagrass. Barnegat Bay (NJ) showed a similar trajectory and was classified as</w:t>
      </w:r>
      <w:r>
        <w:t xml:space="preserve"> </w:t>
      </w:r>
      <w:r>
        <w:t xml:space="preserve">“highly eutrophic”</w:t>
      </w:r>
      <w:r>
        <w:t xml:space="preserve"> </w:t>
      </w:r>
      <w:r>
        <w:t xml:space="preserve">by Bricker et al. (2008).</w:t>
      </w:r>
    </w:p>
    <w:p>
      <w:pPr>
        <w:pStyle w:val="BodyText"/>
      </w:pPr>
      <w:r>
        <w:rPr>
          <w:i/>
          <w:iCs/>
        </w:rPr>
        <w:t xml:space="preserve">European lagoon analogues.</w:t>
      </w:r>
      <w:r>
        <w:t xml:space="preserve"> </w:t>
      </w:r>
      <w:r>
        <w:t xml:space="preserve">Cardoso et al. (2004) documented the Mondego estuary</w:t>
      </w:r>
      <w:r>
        <w:t xml:space="preserve"> </w:t>
      </w:r>
      <w:r>
        <w:rPr>
          <w:i/>
          <w:iCs/>
        </w:rPr>
        <w:t xml:space="preserve">Zostera noltii</w:t>
      </w:r>
      <w:r>
        <w:t xml:space="preserve"> </w:t>
      </w:r>
      <w:r>
        <w:t xml:space="preserve">collapse driven by macroalgal shading, with full loss within the 20–40 g N m⁻² yr⁻¹ window [citation unverified — Oct 2026]. Ria Formosa (Portugal) shows a similar loading-response curve, reinforcing that tipping thresholds from US work are not idiosyncratic.</w:t>
      </w:r>
    </w:p>
    <w:p>
      <w:pPr>
        <w:pStyle w:val="BodyText"/>
      </w:pPr>
      <w:r>
        <w:rPr>
          <w:i/>
          <w:iCs/>
        </w:rPr>
        <w:t xml:space="preserve">Take-away.</w:t>
      </w:r>
      <w:r>
        <w:t xml:space="preserve"> </w:t>
      </w:r>
      <w:r>
        <w:t xml:space="preserve">Across independent analogues on three coasts, shallow coastal lagoons consistently cross the seagrass-to-macroalgae-to-phytoplankton sequence at modest areal N loads, and OWTS-dominated watersheds with sandy surficial aquifers have repeatedly been the proximate cause. The conceptual model is mature and quantitatively parameterized. What remains ESVA-specific is the local parameter set: how much septic N actually reaches the seaside lagoons, and at what residual margin the restored seagrass is currently operating.</w:t>
      </w:r>
    </w:p>
    <w:bookmarkEnd w:id="12"/>
    <w:bookmarkStart w:id="13" w:name="strength-of-evidence-assessment"/>
    <w:p>
      <w:pPr>
        <w:pStyle w:val="Heading2"/>
      </w:pPr>
      <w:r>
        <w:t xml:space="preserve">Strength-of-evidence assessment</w:t>
      </w:r>
    </w:p>
    <w:p>
      <w:pPr>
        <w:pStyle w:val="FirstParagraph"/>
      </w:pPr>
      <w:r>
        <w:t xml:space="preserve">The evidence for Pathway 3b splits along two axes that should not be collapsed.</w:t>
      </w:r>
    </w:p>
    <w:p>
      <w:pPr>
        <w:pStyle w:val="BodyText"/>
      </w:pPr>
      <w:r>
        <w:rPr>
          <w:i/>
          <w:iCs/>
        </w:rPr>
        <w:t xml:space="preserve">Mechanistic plausibility: very strong.</w:t>
      </w:r>
      <w:r>
        <w:t xml:space="preserve"> </w:t>
      </w:r>
      <w:r>
        <w:t xml:space="preserve">Every link in the causal chain — septic N entering a sandy oxic surficial aquifer, short groundwater travel paths to the lagoon, SGD-dominated N delivery, shallow flushing-limited lagoon hydrodynamics, nonlinear N-response in benthic communities, seagrass vulnerability, macroalgal and brown-tide potential — is individually well-established in the peer-reviewed literature. The mechanism is not speculative. Mechanistic confidence (general literature): high.</w:t>
      </w:r>
      <w:r>
        <w:t xml:space="preserve"> </w:t>
      </w:r>
      <w:r>
        <w:rPr>
          <w:b/>
          <w:bCs/>
        </w:rPr>
        <w:t xml:space="preserve">[Oct 2026, withdrawn]</w:t>
      </w:r>
      <w:r>
        <w:t xml:space="preserve"> </w:t>
      </w:r>
      <w:r>
        <w:t xml:space="preserve">Earlier text said the ESVA seaside</w:t>
      </w:r>
      <w:r>
        <w:t xml:space="preserve"> </w:t>
      </w:r>
      <w:r>
        <w:t xml:space="preserve">“sits squarely within the… envelope that has produced documented lagoon collapses elsewhere”</w:t>
      </w:r>
      <w:r>
        <w:t xml:space="preserve"> </w:t>
      </w:r>
      <w:r>
        <w:t xml:space="preserve">and would be</w:t>
      </w:r>
      <w:r>
        <w:t xml:space="preserve"> </w:t>
      </w:r>
      <w:r>
        <w:t xml:space="preserve">“near the top of the list”</w:t>
      </w:r>
      <w:r>
        <w:t xml:space="preserve"> </w:t>
      </w:r>
      <w:r>
        <w:t xml:space="preserve">of settings likely to suffer OWTS-driven eutrophication. That overstated it. The seaside has comparatively low septic density, residence times of days to weeks in the open interiors, and low measured nutrient concentrations. The analogue collapses occurred under far heavier loading or much longer residence times.</w:t>
      </w:r>
    </w:p>
    <w:p>
      <w:pPr>
        <w:pStyle w:val="BodyText"/>
      </w:pPr>
      <w:r>
        <w:rPr>
          <w:i/>
          <w:iCs/>
        </w:rPr>
        <w:t xml:space="preserve">Direct observational attribution on ESVA seaside: currently weak.</w:t>
      </w:r>
      <w:r>
        <w:t xml:space="preserve"> </w:t>
      </w:r>
      <w:r>
        <w:t xml:space="preserve">No published study has isotopically, hydrologically, or statistically attributed a quantified fraction of DIN or DON in Hog Island Bay, South Bay, Cobb Bay, or Spider Crab Bay to OWTS sources. The VCR LTER long-term dataset treats N as an aggregate signal. VIMS seagrass monitoring tracks state variables, not nutrient sources. Virginia DEQ does not operate a seaside-lagoon ambient nutrient monitoring program at a density comparable to the Bayside. No documented brown-tide bloom has occurred. No documented seagrass collapse has been attributed to OWTS. Observational attribution confidence on ESVA seaside: low.</w:t>
      </w:r>
    </w:p>
    <w:p>
      <w:pPr>
        <w:pStyle w:val="BodyText"/>
      </w:pPr>
      <w:r>
        <w:rPr>
          <w:i/>
          <w:iCs/>
        </w:rPr>
        <w:t xml:space="preserve">Current ecological state: favorable</w:t>
      </w:r>
      <w:r>
        <w:t xml:space="preserve"> </w:t>
      </w:r>
      <w:r>
        <w:rPr>
          <w:b/>
          <w:bCs/>
        </w:rPr>
        <w:t xml:space="preserve">[Oct 2026:</w:t>
      </w:r>
      <w:r>
        <w:rPr>
          <w:b/>
          <w:bCs/>
        </w:rPr>
        <w:t xml:space="preserve"> </w:t>
      </w:r>
      <w:r>
        <w:rPr>
          <w:b/>
          <w:bCs/>
        </w:rPr>
        <w:t xml:space="preserve">“but narrowing”</w:t>
      </w:r>
      <w:r>
        <w:rPr>
          <w:b/>
          <w:bCs/>
        </w:rPr>
        <w:t xml:space="preserve"> </w:t>
      </w:r>
      <w:r>
        <w:rPr>
          <w:b/>
          <w:bCs/>
        </w:rPr>
        <w:t xml:space="preserve">removed]</w:t>
      </w:r>
      <w:r>
        <w:t xml:space="preserve">. The seaside lagoons remain in a seagrass-dominated state, with the restored meadow still expanding (~240 ha yr⁻¹ since 2007; 3,612 ha as of the 2018 census, Orth et al. 2020), measurable C and N burial (Oreska et al. 2020; Aoki et al. 2020), and the first sustained bay scallop recovery signal in ~90 years (VIMS ESL 2025). Water clarity and nutrient concentrations in lagoon interiors remain low by global shallow-lagoon standards. The system is functioning. It does carry visible vulnerability.</w:t>
      </w:r>
      <w:r>
        <w:t xml:space="preserve"> </w:t>
      </w:r>
      <w:r>
        <w:rPr>
          <w:b/>
          <w:bCs/>
        </w:rPr>
        <w:t xml:space="preserve">[Oct 2026, corrected]</w:t>
      </w:r>
      <w:r>
        <w:t xml:space="preserve"> </w:t>
      </w:r>
      <w:r>
        <w:t xml:space="preserve">The 2015 marine heat wave caused severe, spatially uneven dieback in South Bay, with some inner-meadow sites losing ~90% of shoot density, followed by partial recovery.</w:t>
      </w:r>
      <w:r>
        <w:t xml:space="preserve"> </w:t>
      </w:r>
      <w:r>
        <w:rPr>
          <w:i/>
          <w:iCs/>
        </w:rPr>
        <w:t xml:space="preserve">Gracilaria vermiculophylla</w:t>
      </w:r>
      <w:r>
        <w:t xml:space="preserve"> </w:t>
      </w:r>
      <w:r>
        <w:t xml:space="preserve">dominates drift-algal biomass. The thermal margin is eroding with warming, and sea-level rise is projected to compromise septic treatment (Pathway 1; ESVA evidence is modeling, and Mitchell et al. 2021 does not analyze ESVA). Warming reduces eelgrass nutrient tolerance in Chesapeake Bay (Lefcheck et al. 2017). No nutrient threshold has been estimated for the seaside meadows.</w:t>
      </w:r>
    </w:p>
    <w:p>
      <w:pPr>
        <w:pStyle w:val="BodyText"/>
      </w:pPr>
      <w:r>
        <w:rPr>
          <w:i/>
          <w:iCs/>
        </w:rPr>
        <w:t xml:space="preserve">Bottom-line judgment.</w:t>
      </w:r>
      <w:r>
        <w:t xml:space="preserve"> </w:t>
      </w:r>
      <w:r>
        <w:t xml:space="preserve">Pathway 3b is the highest-stakes, lowest-documented-attribution pathway in this report. The endpoints that could be lost — a globally celebrated seagrass restoration, a first-in-90-years bay scallop recovery, a certified blue-carbon offset, a near-pristine shallow lagoon system — are among the most valuable in the mid-Atlantic. The causal mechanism by which failing ESVA septic could degrade them is scientifically well-founded, but the direct attribution arrow has not yet been drawn in the published literature, largely because no one has specifically tried. Treating Pathway 3b as a</w:t>
      </w:r>
      <w:r>
        <w:t xml:space="preserve"> </w:t>
      </w:r>
      <w:r>
        <w:rPr>
          <w:i/>
          <w:iCs/>
        </w:rPr>
        <w:t xml:space="preserve">precautionary pathway</w:t>
      </w:r>
      <w:r>
        <w:t xml:space="preserve"> </w:t>
      </w:r>
      <w:r>
        <w:t xml:space="preserve">— high mechanistic plausibility, high consequence, low observational attribution, unquantified margin</w:t>
      </w:r>
      <w:r>
        <w:t xml:space="preserve"> </w:t>
      </w:r>
      <w:r>
        <w:rPr>
          <w:b/>
          <w:bCs/>
        </w:rPr>
        <w:t xml:space="preserve">[Oct 2026: was</w:t>
      </w:r>
      <w:r>
        <w:rPr>
          <w:b/>
          <w:bCs/>
        </w:rPr>
        <w:t xml:space="preserve"> </w:t>
      </w:r>
      <w:r>
        <w:rPr>
          <w:b/>
          <w:bCs/>
        </w:rPr>
        <w:t xml:space="preserve">“narrowing margin”</w:t>
      </w:r>
      <w:r>
        <w:rPr>
          <w:b/>
          <w:bCs/>
        </w:rPr>
        <w:t xml:space="preserve">]</w:t>
      </w:r>
      <w:r>
        <w:t xml:space="preserve"> </w:t>
      </w:r>
      <w:r>
        <w:t xml:space="preserve">— is the defensible synthesis position.</w:t>
      </w:r>
    </w:p>
    <w:bookmarkEnd w:id="13"/>
    <w:bookmarkStart w:id="14" w:name="data-gaps"/>
    <w:p>
      <w:pPr>
        <w:pStyle w:val="Heading2"/>
      </w:pPr>
      <w:r>
        <w:t xml:space="preserve">Data gaps</w:t>
      </w:r>
    </w:p>
    <w:p>
      <w:pPr>
        <w:numPr>
          <w:ilvl w:val="0"/>
          <w:numId w:val="1002"/>
        </w:numPr>
      </w:pPr>
      <w:r>
        <w:rPr>
          <w:b/>
          <w:bCs/>
        </w:rPr>
        <w:t xml:space="preserve">Isotopic source attribution in seaside lagoons.</w:t>
      </w:r>
      <w:r>
        <w:t xml:space="preserve"> </w:t>
      </w:r>
      <w:r>
        <w:t xml:space="preserve">No published δ¹⁵N or paired δ¹⁵N/δ¹⁸O-NO3 study on macroalgal tissue, suspended POM, or porewater has attempted to partition Hog Island Bay, South Bay, Cobb Bay, or Spider Crab Bay N sources between septic, fertilizer, atmospheric deposition, and marsh-derived regenerated N. The Lapointe IRL approach is directly transferable and would be the single most informative near-term study.</w:t>
      </w:r>
    </w:p>
    <w:p>
      <w:pPr>
        <w:numPr>
          <w:ilvl w:val="0"/>
          <w:numId w:val="1002"/>
        </w:numPr>
      </w:pPr>
      <w:r>
        <w:rPr>
          <w:b/>
          <w:bCs/>
        </w:rPr>
        <w:t xml:space="preserve">Submarine groundwater discharge flux near seaside septic clusters.</w:t>
      </w:r>
      <w:r>
        <w:t xml:space="preserve"> </w:t>
      </w:r>
      <w:r>
        <w:t xml:space="preserve">Radon-222 and radium-isotope SGD surveys (as used by Bratton et al. 2009 in Chincoteague Bay, Maryland</w:t>
      </w:r>
      <w:r>
        <w:t xml:space="preserve"> </w:t>
      </w:r>
      <w:r>
        <w:rPr>
          <w:b/>
          <w:bCs/>
        </w:rPr>
        <w:t xml:space="preserve">[Oct 2026: earlier text said</w:t>
      </w:r>
      <w:r>
        <w:rPr>
          <w:b/>
          <w:bCs/>
        </w:rPr>
        <w:t xml:space="preserve"> </w:t>
      </w:r>
      <w:r>
        <w:rPr>
          <w:b/>
          <w:bCs/>
        </w:rPr>
        <w:t xml:space="preserve">“on the Bayside”</w:t>
      </w:r>
      <w:r>
        <w:rPr>
          <w:b/>
          <w:bCs/>
        </w:rPr>
        <w:t xml:space="preserve">]</w:t>
      </w:r>
      <w:r>
        <w:t xml:space="preserve">) have not been published for the populated seaside margins around Oyster, Willis Wharf, Wachapreague, and Red Bank. The integrated N flux from shoreline SGD to each lagoon, and its spatial relationship to OWTS density, is unquantified.</w:t>
      </w:r>
    </w:p>
    <w:p>
      <w:pPr>
        <w:numPr>
          <w:ilvl w:val="0"/>
          <w:numId w:val="1002"/>
        </w:numPr>
      </w:pPr>
      <w:r>
        <w:rPr>
          <w:b/>
          <w:bCs/>
        </w:rPr>
        <w:t xml:space="preserve">Seaside-specific N loading model.</w:t>
      </w:r>
      <w:r>
        <w:t xml:space="preserve"> </w:t>
      </w:r>
      <w:r>
        <w:t xml:space="preserve">A Valiela-style watershed N loading model calibrated for ESVA seaside sub-watersheds (OWTS density × per-capita production × soil attenuation × riparian removal × aquifer travel time) has not been built. The Phase 6 Chesapeake Bay model is not designed for the seaside and does not produce seaside lagoon loads.</w:t>
      </w:r>
    </w:p>
    <w:p>
      <w:pPr>
        <w:numPr>
          <w:ilvl w:val="0"/>
          <w:numId w:val="1002"/>
        </w:numPr>
      </w:pPr>
      <w:r>
        <w:rPr>
          <w:b/>
          <w:bCs/>
        </w:rPr>
        <w:t xml:space="preserve">Ambient nutrient monitoring density.</w:t>
      </w:r>
      <w:r>
        <w:t xml:space="preserve"> </w:t>
      </w:r>
      <w:r>
        <w:t xml:space="preserve">Virginia DEQ ambient monitoring on the seaside is sparse compared to the Bayside. The VCR LTER sampling network is research-grade but not designed as a regulatory monitoring baseline. A sustained state-led seaside lagoon nutrient record is absent.</w:t>
      </w:r>
    </w:p>
    <w:p>
      <w:pPr>
        <w:numPr>
          <w:ilvl w:val="0"/>
          <w:numId w:val="1002"/>
        </w:numPr>
      </w:pPr>
      <w:r>
        <w:rPr>
          <w:b/>
          <w:bCs/>
        </w:rPr>
        <w:t xml:space="preserve">Seagrass nutrient-tolerance thresholds under local warming.</w:t>
      </w:r>
      <w:r>
        <w:t xml:space="preserve"> </w:t>
      </w:r>
      <w:r>
        <w:t xml:space="preserve">Lefcheck et al. (2017, 2018) give a Bay-wide framework, but the specific DIN/DON threshold above which the current restored ESVA seaside meadow would begin losing areal extent — under projected mid-century temperatures — has not been estimated. This is the quantitative margin that policy decisions hinge on.</w:t>
      </w:r>
    </w:p>
    <w:p>
      <w:pPr>
        <w:numPr>
          <w:ilvl w:val="0"/>
          <w:numId w:val="1002"/>
        </w:numPr>
      </w:pPr>
      <w:r>
        <w:rPr>
          <w:b/>
          <w:bCs/>
        </w:rPr>
        <w:t xml:space="preserve">Brown tide early warning.</w:t>
      </w:r>
      <w:r>
        <w:t xml:space="preserve"> </w:t>
      </w:r>
      <w:r>
        <w:rPr>
          <w:i/>
          <w:iCs/>
        </w:rPr>
        <w:t xml:space="preserve">Aureococcus anophagefferens</w:t>
      </w:r>
      <w:r>
        <w:t xml:space="preserve"> </w:t>
      </w:r>
      <w:r>
        <w:t xml:space="preserve">cell-count monitoring in Chincoteague and the Virginia seaside lagoons is not operational at a density sufficient to detect an emerging bloom. Given the Gobler et al. (2005) documentation of</w:t>
      </w:r>
      <w:r>
        <w:t xml:space="preserve"> </w:t>
      </w:r>
      <w:r>
        <w:rPr>
          <w:i/>
          <w:iCs/>
        </w:rPr>
        <w:t xml:space="preserve">Aureococcus</w:t>
      </w:r>
      <w:r>
        <w:t xml:space="preserve"> </w:t>
      </w:r>
      <w:r>
        <w:t xml:space="preserve">in Chincoteague and the northward range creep of</w:t>
      </w:r>
      <w:r>
        <w:t xml:space="preserve"> </w:t>
      </w:r>
      <w:r>
        <w:rPr>
          <w:i/>
          <w:iCs/>
        </w:rPr>
        <w:t xml:space="preserve">Aureoumbra lagunensis</w:t>
      </w:r>
      <w:r>
        <w:t xml:space="preserve">, establishing an early-warning protocol is a low-cost, high-value gap.</w:t>
      </w:r>
    </w:p>
    <w:p>
      <w:pPr>
        <w:numPr>
          <w:ilvl w:val="0"/>
          <w:numId w:val="1002"/>
        </w:numPr>
      </w:pPr>
      <w:r>
        <w:rPr>
          <w:b/>
          <w:bCs/>
        </w:rPr>
        <w:t xml:space="preserve">OWTS census and failure-rate ground truth.</w:t>
      </w:r>
      <w:r>
        <w:t xml:space="preserve"> </w:t>
      </w:r>
      <w:r>
        <w:t xml:space="preserve">The Mitchell et al. (2021) hot-spot mapping is based on VDH repair permits, Tidewater-wide</w:t>
      </w:r>
      <w:r>
        <w:t xml:space="preserve"> </w:t>
      </w:r>
      <w:r>
        <w:rPr>
          <w:b/>
          <w:bCs/>
        </w:rPr>
        <w:t xml:space="preserve">[Oct 2026]</w:t>
      </w:r>
      <w:r>
        <w:t xml:space="preserve">; direct observation of failure rates (e.g., dye tests, effluent sampling, maintenance records) for seaside drainfields is limited.</w:t>
      </w:r>
    </w:p>
    <w:p>
      <w:pPr>
        <w:numPr>
          <w:ilvl w:val="0"/>
          <w:numId w:val="1002"/>
        </w:numPr>
      </w:pPr>
      <w:r>
        <w:rPr>
          <w:b/>
          <w:bCs/>
        </w:rPr>
        <w:t xml:space="preserve">Coupling of OWTS N to the bay scallop recovery trajectory.</w:t>
      </w:r>
      <w:r>
        <w:t xml:space="preserve"> </w:t>
      </w:r>
      <w:r>
        <w:t xml:space="preserve">Because scallops are obligate eelgrass associates and the population is in early exponential growth, even modest meadow stress could stall the recovery. No study has quantified the scallop response to projected future N loading scenarios.</w:t>
      </w:r>
    </w:p>
    <w:bookmarkEnd w:id="14"/>
    <w:bookmarkStart w:id="15" w:name="references"/>
    <w:p>
      <w:pPr>
        <w:pStyle w:val="Heading2"/>
      </w:pPr>
      <w:r>
        <w:t xml:space="preserve">References</w:t>
      </w:r>
    </w:p>
    <w:p>
      <w:pPr>
        <w:pStyle w:val="Compact"/>
        <w:numPr>
          <w:ilvl w:val="0"/>
          <w:numId w:val="1003"/>
        </w:numPr>
      </w:pPr>
      <w:r>
        <w:t xml:space="preserve">Anderson IC, McGlathery KJ, Tyler AC. 2003. Microbial mediation of</w:t>
      </w:r>
      <w:r>
        <w:t xml:space="preserve"> </w:t>
      </w:r>
      <w:r>
        <w:t xml:space="preserve">‘reactive’</w:t>
      </w:r>
      <w:r>
        <w:t xml:space="preserve"> </w:t>
      </w:r>
      <w:r>
        <w:t xml:space="preserve">nitrogen transformations in a temperate lagoon. Mar Ecol Prog Ser 246:73–84.</w:t>
      </w:r>
    </w:p>
    <w:p>
      <w:pPr>
        <w:pStyle w:val="Compact"/>
        <w:numPr>
          <w:ilvl w:val="0"/>
          <w:numId w:val="1003"/>
        </w:numPr>
      </w:pPr>
      <w:r>
        <w:t xml:space="preserve">Aoki LR, McGlathery KJ, Oreska MPJ. 2020. Seagrass restoration reestablishes the coastal nitrogen cycle. Limnol Oceanogr Lett 5:340–346.</w:t>
      </w:r>
    </w:p>
    <w:p>
      <w:pPr>
        <w:pStyle w:val="Compact"/>
        <w:numPr>
          <w:ilvl w:val="0"/>
          <w:numId w:val="1003"/>
        </w:numPr>
      </w:pPr>
      <w:r>
        <w:t xml:space="preserve">Aoki LR, McGlathery KJ, Wiberg PL, Al-Haj A. 2020. Depth affects seagrass restoration success and resilience to marine heat wave disturbance. Estuaries and Coasts 43:316–328. doi:10.1007/s12237-019-00685-0.</w:t>
      </w:r>
      <w:r>
        <w:t xml:space="preserve"> </w:t>
      </w:r>
      <w:r>
        <w:rPr>
          <w:b/>
          <w:bCs/>
        </w:rPr>
        <w:t xml:space="preserve">[Oct 2026: journal corrected per Crossref; earlier entry duplicated Berger et al.’s article number]</w:t>
      </w:r>
    </w:p>
    <w:p>
      <w:pPr>
        <w:pStyle w:val="Compact"/>
        <w:numPr>
          <w:ilvl w:val="0"/>
          <w:numId w:val="1003"/>
        </w:numPr>
      </w:pPr>
      <w:r>
        <w:t xml:space="preserve">Berger AC, McGlathery KJ, Aoki LR, Oreska MPJ. 2020. Seagrass recovery following marine heat wave influences sediment carbon stocks. Front Mar Sci 7:576784.</w:t>
      </w:r>
    </w:p>
    <w:p>
      <w:pPr>
        <w:pStyle w:val="Compact"/>
        <w:numPr>
          <w:ilvl w:val="0"/>
          <w:numId w:val="1003"/>
        </w:numPr>
      </w:pPr>
      <w:r>
        <w:t xml:space="preserve">Bowen JL, Valiela I. 2001. The ecological effects of urbanization of coastal watersheds: historical increases in nitrogen loads and eutrophication of Waquoit Bay estuaries. Can J Fish Aquat Sci 58:1489–1500.</w:t>
      </w:r>
    </w:p>
    <w:p>
      <w:pPr>
        <w:pStyle w:val="Compact"/>
        <w:numPr>
          <w:ilvl w:val="0"/>
          <w:numId w:val="1003"/>
        </w:numPr>
      </w:pPr>
      <w:r>
        <w:t xml:space="preserve">[Oct 2026: Chincoteague Bay, Maryland] Bratton JF, Böhlke JK, Krantz DE, Tobias CR. 2009. Flow and geochemistry of groundwater beneath a back-barrier lagoon: the subterranean estuary at Chincoteague Bay, Maryland, USA. Mar Chem 113:78–92.</w:t>
      </w:r>
    </w:p>
    <w:p>
      <w:pPr>
        <w:pStyle w:val="Compact"/>
        <w:numPr>
          <w:ilvl w:val="0"/>
          <w:numId w:val="1003"/>
        </w:numPr>
      </w:pPr>
      <w:r>
        <w:t xml:space="preserve">Bricker SB, Longstaff B, Dennison W, Jones A, Boicourt K, Wicks C, Woerner J. 2008. Effects of nutrient enrichment in the nation’s estuaries: a decade of change. Harmful Algae 8:21–32.</w:t>
      </w:r>
    </w:p>
    <w:p>
      <w:pPr>
        <w:pStyle w:val="Compact"/>
        <w:numPr>
          <w:ilvl w:val="0"/>
          <w:numId w:val="1003"/>
        </w:numPr>
      </w:pPr>
      <w:r>
        <w:t xml:space="preserve">[Oct 2026: unverified, and does not support the ESVA claim it was cited for (withdrawn). The OWTS risk paper is Capps KA, Bateman McDonald JM, Gaur N, Parsons R. 2020. Assessing the socio-environmental risk of onsite wastewater treatment systems to inform management decisions. ES&amp;T 54:14843–14853.] Capps KA, Bentsen CN, Ramírez A. 2020. Poverty, urbanization, and environmental degradation: urban streams in the developing world. Environ Sci Technol 54:11732–11743.</w:t>
      </w:r>
    </w:p>
    <w:p>
      <w:pPr>
        <w:pStyle w:val="Compact"/>
        <w:numPr>
          <w:ilvl w:val="0"/>
          <w:numId w:val="1003"/>
        </w:numPr>
      </w:pPr>
      <w:r>
        <w:t xml:space="preserve">Cardoso PG, Pardal MA, Lillebø AI, Ferreira SM, Raffaelli D, Marques JC. 2004. Dynamic changes in seagrass assemblages under eutrophication and implications for recovery. J Exp Mar Biol Ecol 302:233–248.</w:t>
      </w:r>
    </w:p>
    <w:p>
      <w:pPr>
        <w:pStyle w:val="Compact"/>
        <w:numPr>
          <w:ilvl w:val="0"/>
          <w:numId w:val="1003"/>
        </w:numPr>
      </w:pPr>
      <w:r>
        <w:t xml:space="preserve">Cloern JE. 2001. Our evolving conceptual model of the coastal eutrophication problem. Mar Ecol Prog Ser 210:223–253.</w:t>
      </w:r>
    </w:p>
    <w:p>
      <w:pPr>
        <w:pStyle w:val="Compact"/>
        <w:numPr>
          <w:ilvl w:val="0"/>
          <w:numId w:val="1003"/>
        </w:numPr>
      </w:pPr>
      <w:r>
        <w:t xml:space="preserve">Duarte CM, Conley DJ, Carstensen J, Sánchez-Camacho M. 2009. Return to Neverland: shifting baselines affect eutrophication restoration targets. Estuaries Coasts 32:29–36.</w:t>
      </w:r>
    </w:p>
    <w:p>
      <w:pPr>
        <w:pStyle w:val="Compact"/>
        <w:numPr>
          <w:ilvl w:val="0"/>
          <w:numId w:val="1003"/>
        </w:numPr>
      </w:pPr>
      <w:r>
        <w:t xml:space="preserve">[unverified — Oct 2026; incomplete reference] Foreman K, Valiela I, et al. 2007. Coupled watershed–estuary nitrogen studies in Waquoit Bay. (synthesis reports, MBL/Ecosystems Center).</w:t>
      </w:r>
    </w:p>
    <w:p>
      <w:pPr>
        <w:pStyle w:val="Compact"/>
        <w:numPr>
          <w:ilvl w:val="0"/>
          <w:numId w:val="1003"/>
        </w:numPr>
      </w:pPr>
      <w:r>
        <w:t xml:space="preserve">Gobler CJ, Boneillo GE, Debenham CJ, Caron DA. 2002, 2005. Nutrient limitation, organic matter cycling, and plankton dynamics during an</w:t>
      </w:r>
      <w:r>
        <w:t xml:space="preserve"> </w:t>
      </w:r>
      <w:r>
        <w:rPr>
          <w:i/>
          <w:iCs/>
        </w:rPr>
        <w:t xml:space="preserve">Aureococcus anophagefferens</w:t>
      </w:r>
      <w:r>
        <w:t xml:space="preserve"> </w:t>
      </w:r>
      <w:r>
        <w:t xml:space="preserve">(brown tide) bloom. Aquat Microb Ecol / Harmful Algae.</w:t>
      </w:r>
    </w:p>
    <w:p>
      <w:pPr>
        <w:pStyle w:val="Compact"/>
        <w:numPr>
          <w:ilvl w:val="0"/>
          <w:numId w:val="1003"/>
        </w:numPr>
      </w:pPr>
      <w:r>
        <w:t xml:space="preserve">Gobler CJ, Berry DL, Dyhrman ST, Wilhelm SW, Salamov A, Lobanov AV, et al. 2011. Niche of harmful alga</w:t>
      </w:r>
      <w:r>
        <w:t xml:space="preserve"> </w:t>
      </w:r>
      <w:r>
        <w:rPr>
          <w:i/>
          <w:iCs/>
        </w:rPr>
        <w:t xml:space="preserve">Aureococcus anophagefferens</w:t>
      </w:r>
      <w:r>
        <w:t xml:space="preserve"> </w:t>
      </w:r>
      <w:r>
        <w:t xml:space="preserve">revealed through ecogenomics. ISME J 5:1344–1357.</w:t>
      </w:r>
    </w:p>
    <w:p>
      <w:pPr>
        <w:pStyle w:val="Compact"/>
        <w:numPr>
          <w:ilvl w:val="0"/>
          <w:numId w:val="1003"/>
        </w:numPr>
      </w:pPr>
      <w:r>
        <w:t xml:space="preserve">[unverified — Oct 2026; incomplete reference] Hanisak MD, et al. 2023.</w:t>
      </w:r>
      <w:r>
        <w:t xml:space="preserve"> </w:t>
      </w:r>
      <w:r>
        <w:rPr>
          <w:i/>
          <w:iCs/>
        </w:rPr>
        <w:t xml:space="preserve">Caulerpa prolifera</w:t>
      </w:r>
      <w:r>
        <w:t xml:space="preserve"> </w:t>
      </w:r>
      <w:r>
        <w:t xml:space="preserve">expansion and seagrass replacement in the Indian River Lagoon.</w:t>
      </w:r>
    </w:p>
    <w:p>
      <w:pPr>
        <w:pStyle w:val="Compact"/>
        <w:numPr>
          <w:ilvl w:val="0"/>
          <w:numId w:val="1003"/>
        </w:numPr>
      </w:pPr>
      <w:r>
        <w:t xml:space="preserve">Howes BL, Weiskel PK, Goehringer DD, Teal JM. 1996. Interception of freshwater and nitrogen transport from uplands to coastal waters: the role of saltmarshes. In Nordstrom &amp; Roman (eds.) Estuarine Shores.</w:t>
      </w:r>
    </w:p>
    <w:p>
      <w:pPr>
        <w:pStyle w:val="Compact"/>
        <w:numPr>
          <w:ilvl w:val="0"/>
          <w:numId w:val="1003"/>
        </w:numPr>
      </w:pPr>
      <w:r>
        <w:t xml:space="preserve">Kinney EL, Valiela I. 2011. Nitrogen loading to Great South Bay: land use, sources, retention, and transport from land to bay. J Coast Res 27:672–686.</w:t>
      </w:r>
    </w:p>
    <w:p>
      <w:pPr>
        <w:pStyle w:val="Compact"/>
        <w:numPr>
          <w:ilvl w:val="0"/>
          <w:numId w:val="1003"/>
        </w:numPr>
      </w:pPr>
      <w:r>
        <w:t xml:space="preserve">Lapointe BE, Herren LW, Debortoli DD, Vogel MA. 2015. Evidence of sewage-driven eutrophication and harmful algal blooms in Florida’s Indian River Lagoon. Harmful Algae 43:82–102.</w:t>
      </w:r>
    </w:p>
    <w:p>
      <w:pPr>
        <w:pStyle w:val="Compact"/>
        <w:numPr>
          <w:ilvl w:val="0"/>
          <w:numId w:val="1003"/>
        </w:numPr>
      </w:pPr>
      <w:r>
        <w:t xml:space="preserve">Lapointe BE, Herren LW, Paule AL. 2017. Septic systems contribute to nutrient pollution and harmful algal blooms in the St. Lucie Estuary, Southeast Florida. Harmful Algae 70:1–22.</w:t>
      </w:r>
    </w:p>
    <w:p>
      <w:pPr>
        <w:pStyle w:val="Compact"/>
        <w:numPr>
          <w:ilvl w:val="0"/>
          <w:numId w:val="1003"/>
        </w:numPr>
      </w:pPr>
      <w:r>
        <w:t xml:space="preserve">Lapointe BE, Herren LW, Brewton RA, Alderman PK. 2020. Nutrient over-enrichment and light limitation of seagrass communities in the Indian River Lagoon. Sci Total Environ 699:134068.</w:t>
      </w:r>
    </w:p>
    <w:p>
      <w:pPr>
        <w:pStyle w:val="Compact"/>
        <w:numPr>
          <w:ilvl w:val="0"/>
          <w:numId w:val="1003"/>
        </w:numPr>
      </w:pPr>
      <w:r>
        <w:t xml:space="preserve">Lapointe BE, Brewton RA, Herren LW, Wang M, Hu C, McGillicuddy DJ Jr, Lindell S, Hernandez FJ, Morton PL. 2023. Fertilizer restrictions are not sufficient to mitigate nutrient pollution and harmful algal blooms in the Indian River Lagoon. Mar Pollut Bull 193:115222.</w:t>
      </w:r>
    </w:p>
    <w:p>
      <w:pPr>
        <w:pStyle w:val="Compact"/>
        <w:numPr>
          <w:ilvl w:val="0"/>
          <w:numId w:val="1003"/>
        </w:numPr>
      </w:pPr>
      <w:r>
        <w:t xml:space="preserve">Lefcheck JS, Wilcox DJ, Murphy RR, Marion SR, Orth RJ. 2017. Multiple stressors threaten the imperiled coastal foundation species eelgrass (</w:t>
      </w:r>
      <w:r>
        <w:rPr>
          <w:i/>
          <w:iCs/>
        </w:rPr>
        <w:t xml:space="preserve">Zostera marina</w:t>
      </w:r>
      <w:r>
        <w:t xml:space="preserve">) in Chesapeake Bay, USA. Glob Change Biol 23:3474–3483.</w:t>
      </w:r>
    </w:p>
    <w:p>
      <w:pPr>
        <w:pStyle w:val="Compact"/>
        <w:numPr>
          <w:ilvl w:val="0"/>
          <w:numId w:val="1003"/>
        </w:numPr>
      </w:pPr>
      <w:r>
        <w:t xml:space="preserve">Lefcheck JS, Orth RJ, Dennison WC, Wilcox DJ, Murphy RR, Keisman J, Gurbisz C, Hannam M, Landry JB, Moore KA, et al. 2018. Long-term nutrient reductions lead to the unprecedented recovery of a temperate coastal region. PNAS 115:3658–3662.</w:t>
      </w:r>
    </w:p>
    <w:p>
      <w:pPr>
        <w:pStyle w:val="Compact"/>
        <w:numPr>
          <w:ilvl w:val="0"/>
          <w:numId w:val="1003"/>
        </w:numPr>
      </w:pPr>
      <w:r>
        <w:t xml:space="preserve">McGlathery KJ, Sundbäck K, Anderson IC. 2007. Eutrophication in shallow coastal bays and lagoons: the role of plants in the coastal filter. Mar Ecol Prog Ser 348:1–18.</w:t>
      </w:r>
    </w:p>
    <w:p>
      <w:pPr>
        <w:pStyle w:val="Compact"/>
        <w:numPr>
          <w:ilvl w:val="0"/>
          <w:numId w:val="1003"/>
        </w:numPr>
      </w:pPr>
      <w:r>
        <w:t xml:space="preserve">McGlathery KJ, Reynolds LK, Cole LW, Orth RJ, Marion SR, Schwarzschild A. 2012. Recovery trajectories during state change from bare sediment to eelgrass dominance. Mar Ecol Prog Ser 448:209–221.</w:t>
      </w:r>
    </w:p>
    <w:p>
      <w:pPr>
        <w:pStyle w:val="Compact"/>
        <w:numPr>
          <w:ilvl w:val="0"/>
          <w:numId w:val="1003"/>
        </w:numPr>
      </w:pPr>
      <w:r>
        <w:t xml:space="preserve">Mitchell M, Isdell RE, Herman J, Tombleson C. 2021. Impact assessment and management challenges of key rural human health infrastructure under sea level rise. Front Mar Sci 8:631757.</w:t>
      </w:r>
      <w:r>
        <w:t xml:space="preserve"> </w:t>
      </w:r>
      <w:r>
        <w:rPr>
          <w:b/>
          <w:bCs/>
        </w:rPr>
        <w:t xml:space="preserve">[Oct 2026: title corrected; Tidewater-wide, not an Eastern Shore study]</w:t>
      </w:r>
    </w:p>
    <w:p>
      <w:pPr>
        <w:pStyle w:val="Compact"/>
        <w:numPr>
          <w:ilvl w:val="0"/>
          <w:numId w:val="1003"/>
        </w:numPr>
      </w:pPr>
      <w:r>
        <w:t xml:space="preserve">Morris LJ, Hall LM, Jacoby CA. 2018. Seagrass in a changing estuary, the Indian River Lagoon, Florida. Fla Sci 81:50–70.</w:t>
      </w:r>
    </w:p>
    <w:p>
      <w:pPr>
        <w:pStyle w:val="Compact"/>
        <w:numPr>
          <w:ilvl w:val="0"/>
          <w:numId w:val="1003"/>
        </w:numPr>
      </w:pPr>
      <w:r>
        <w:t xml:space="preserve">Oesterling MJ, Adams TG, Lipcius RN. 2016. The bay scallop (</w:t>
      </w:r>
      <w:r>
        <w:rPr>
          <w:i/>
          <w:iCs/>
        </w:rPr>
        <w:t xml:space="preserve">Argopecten irradians</w:t>
      </w:r>
      <w:r>
        <w:t xml:space="preserve">) industry collapse in Virginia and its implications for the successful management of scallop–seagrass habitats. Mar Policy 75:138–146.</w:t>
      </w:r>
    </w:p>
    <w:p>
      <w:pPr>
        <w:pStyle w:val="Compact"/>
        <w:numPr>
          <w:ilvl w:val="0"/>
          <w:numId w:val="1003"/>
        </w:numPr>
      </w:pPr>
      <w:r>
        <w:t xml:space="preserve">Oreska MPJ, McGlathery KJ, Aoki LR, Berger AC, Berg P, Mullins L. 2020. The greenhouse gas offset potential from seagrass restoration. Sci Rep 10:7325.</w:t>
      </w:r>
    </w:p>
    <w:p>
      <w:pPr>
        <w:pStyle w:val="Compact"/>
        <w:numPr>
          <w:ilvl w:val="0"/>
          <w:numId w:val="1003"/>
        </w:numPr>
      </w:pPr>
      <w:r>
        <w:t xml:space="preserve">Orth RJ, Luckenbach ML, Marion SR, Moore KA, Wilcox DJ. 2006. Seagrass recovery in the Delmarva Coastal Bays, USA. Aquat Bot 84:26–36.</w:t>
      </w:r>
    </w:p>
    <w:p>
      <w:pPr>
        <w:pStyle w:val="Compact"/>
        <w:numPr>
          <w:ilvl w:val="0"/>
          <w:numId w:val="1003"/>
        </w:numPr>
      </w:pPr>
      <w:r>
        <w:t xml:space="preserve">Orth RJ, Dennison WC, Lefcheck JS, Gurbisz C, Hannam M, Keisman J, Landry JB, Moore KA, Murphy RR, Patrick CJ, et al. 2017. Submersed aquatic vegetation in Chesapeake Bay: sentinel species in a changing world. BioScience 67:698–712.</w:t>
      </w:r>
    </w:p>
    <w:p>
      <w:pPr>
        <w:pStyle w:val="Compact"/>
        <w:numPr>
          <w:ilvl w:val="0"/>
          <w:numId w:val="1003"/>
        </w:numPr>
      </w:pPr>
      <w:r>
        <w:t xml:space="preserve">Orth RJ, Lefcheck JS, McGlathery KS, Aoki L, Luckenbach MW, Moore KA, Oreska MPJ, Snyder R, Wilcox DJ, Lusk B. 2020. Restoration of seagrass habitat leads to rapid recovery of coastal ecosystem services. Sci Adv 6:eabc6434.</w:t>
      </w:r>
    </w:p>
    <w:p>
      <w:pPr>
        <w:pStyle w:val="Compact"/>
        <w:numPr>
          <w:ilvl w:val="0"/>
          <w:numId w:val="1003"/>
        </w:numPr>
      </w:pPr>
      <w:r>
        <w:t xml:space="preserve">Phlips EJ, Badylak S, Lasi MA, Chamberlain R, Green WC, Hall LM, Hart JA, Lockwood JC, Miller JD, Morris LJ, Steward JS. 2015. From red tides to green and brown tides: bloom dynamics in a restricted subtropical lagoon under shifting climatic conditions. Estuaries Coasts 38:886–904.</w:t>
      </w:r>
    </w:p>
    <w:p>
      <w:pPr>
        <w:pStyle w:val="Compact"/>
        <w:numPr>
          <w:ilvl w:val="0"/>
          <w:numId w:val="1003"/>
        </w:numPr>
      </w:pPr>
      <w:r>
        <w:t xml:space="preserve">[unverified — Oct 2026; incomplete reference] Russ EJ, Palinkas CM. 2020. Sedimentary organic matter sources on the seaside of the Delmarva Peninsula. (coastal geology/biogeochem report).</w:t>
      </w:r>
    </w:p>
    <w:p>
      <w:pPr>
        <w:pStyle w:val="Compact"/>
        <w:numPr>
          <w:ilvl w:val="0"/>
          <w:numId w:val="1003"/>
        </w:numPr>
      </w:pPr>
      <w:r>
        <w:t xml:space="preserve">Safak I, Wiberg PL, Richardson DL, Kurum MO. 2015. Controls on residence time and exchange in a system of shallow coastal bays. Cont Shelf Res 97:7–20.</w:t>
      </w:r>
    </w:p>
    <w:p>
      <w:pPr>
        <w:pStyle w:val="Compact"/>
        <w:numPr>
          <w:ilvl w:val="0"/>
          <w:numId w:val="1003"/>
        </w:numPr>
      </w:pPr>
      <w:r>
        <w:t xml:space="preserve">Speiran GK. 1996. Geohydrology and geochemistry near coastal ground-water-discharge areas of the Eastern Shore, Virginia. USGS Water-Supply Paper 2479.</w:t>
      </w:r>
    </w:p>
    <w:p>
      <w:pPr>
        <w:pStyle w:val="Compact"/>
        <w:numPr>
          <w:ilvl w:val="0"/>
          <w:numId w:val="1003"/>
        </w:numPr>
      </w:pPr>
      <w:r>
        <w:t xml:space="preserve">Stanhope JW, Anderson IC, Reay WG. 2009. Base flow nutrient discharges from lower Delmarva Peninsula watersheds of Virginia, USA. J Environ Qual 38:2070–2083.</w:t>
      </w:r>
    </w:p>
    <w:p>
      <w:pPr>
        <w:pStyle w:val="Compact"/>
        <w:numPr>
          <w:ilvl w:val="0"/>
          <w:numId w:val="1003"/>
        </w:numPr>
      </w:pPr>
      <w:r>
        <w:t xml:space="preserve">Thomsen MS, Gurgel CFD, Fredericq S, McGlathery KJ. 2005.</w:t>
      </w:r>
      <w:r>
        <w:t xml:space="preserve"> </w:t>
      </w:r>
      <w:r>
        <w:rPr>
          <w:i/>
          <w:iCs/>
        </w:rPr>
        <w:t xml:space="preserve">Gracilaria vermiculophylla</w:t>
      </w:r>
      <w:r>
        <w:t xml:space="preserve"> </w:t>
      </w:r>
      <w:r>
        <w:t xml:space="preserve">(Rhodophyta, Gracilariales) in Hog Island Bay, Virginia: a cryptic alien and invasive macroalga and taxonomic correction. J Phycol 42:139–141.</w:t>
      </w:r>
    </w:p>
    <w:p>
      <w:pPr>
        <w:pStyle w:val="Compact"/>
        <w:numPr>
          <w:ilvl w:val="0"/>
          <w:numId w:val="1003"/>
        </w:numPr>
      </w:pPr>
      <w:r>
        <w:t xml:space="preserve">Thomsen MS, McGlathery KJ. 2007. Stress tolerance of the invasive macroalgae</w:t>
      </w:r>
      <w:r>
        <w:t xml:space="preserve"> </w:t>
      </w:r>
      <w:r>
        <w:rPr>
          <w:i/>
          <w:iCs/>
        </w:rPr>
        <w:t xml:space="preserve">Codium fragile</w:t>
      </w:r>
      <w:r>
        <w:t xml:space="preserve"> </w:t>
      </w:r>
      <w:r>
        <w:t xml:space="preserve">and</w:t>
      </w:r>
      <w:r>
        <w:t xml:space="preserve"> </w:t>
      </w:r>
      <w:r>
        <w:rPr>
          <w:i/>
          <w:iCs/>
        </w:rPr>
        <w:t xml:space="preserve">Gracilaria vermiculophylla</w:t>
      </w:r>
      <w:r>
        <w:t xml:space="preserve"> </w:t>
      </w:r>
      <w:r>
        <w:t xml:space="preserve">in a soft-bottom turbid lagoon. Biol Invasions 9:499–513.</w:t>
      </w:r>
    </w:p>
    <w:p>
      <w:pPr>
        <w:pStyle w:val="Compact"/>
        <w:numPr>
          <w:ilvl w:val="0"/>
          <w:numId w:val="1003"/>
        </w:numPr>
      </w:pPr>
      <w:r>
        <w:t xml:space="preserve">Thomsen MS, McGlathery KJ, Schwarzschild AC, Silliman BR. 2009. Distribution and ecological role of the non-native macroalga</w:t>
      </w:r>
      <w:r>
        <w:t xml:space="preserve"> </w:t>
      </w:r>
      <w:r>
        <w:rPr>
          <w:i/>
          <w:iCs/>
        </w:rPr>
        <w:t xml:space="preserve">Gracilaria vermiculophylla</w:t>
      </w:r>
      <w:r>
        <w:t xml:space="preserve"> </w:t>
      </w:r>
      <w:r>
        <w:t xml:space="preserve">in Virginia salt marshes. Biol Invasions 11:2303–2316.</w:t>
      </w:r>
    </w:p>
    <w:p>
      <w:pPr>
        <w:pStyle w:val="Compact"/>
        <w:numPr>
          <w:ilvl w:val="0"/>
          <w:numId w:val="1003"/>
        </w:numPr>
      </w:pPr>
      <w:r>
        <w:t xml:space="preserve">Tyler AC, McGlathery KJ, Anderson IC. 2001. Macroalgal mediation of dissolved organic nitrogen fluxes in a temperate coastal lagoon. Estuar Coast Shelf Sci 53:155–168.</w:t>
      </w:r>
    </w:p>
    <w:p>
      <w:pPr>
        <w:pStyle w:val="Compact"/>
        <w:numPr>
          <w:ilvl w:val="0"/>
          <w:numId w:val="1003"/>
        </w:numPr>
      </w:pPr>
      <w:r>
        <w:t xml:space="preserve">Tyler AC, McGlathery KJ, Anderson IC. 2003. Benthic algae control sediment–water column fluxes of organic and inorganic nitrogen compounds in a temperate lagoon. Limnol Oceanogr 48:2125–2137.</w:t>
      </w:r>
    </w:p>
    <w:p>
      <w:pPr>
        <w:pStyle w:val="Compact"/>
        <w:numPr>
          <w:ilvl w:val="0"/>
          <w:numId w:val="1003"/>
        </w:numPr>
      </w:pPr>
      <w:r>
        <w:t xml:space="preserve">Tyler AC, McGlathery KJ. 2006. Uptake and release of nitrogen by the macroalgae</w:t>
      </w:r>
      <w:r>
        <w:t xml:space="preserve"> </w:t>
      </w:r>
      <w:r>
        <w:rPr>
          <w:i/>
          <w:iCs/>
        </w:rPr>
        <w:t xml:space="preserve">Gracilaria vermiculophylla</w:t>
      </w:r>
      <w:r>
        <w:t xml:space="preserve"> </w:t>
      </w:r>
      <w:r>
        <w:t xml:space="preserve">(Rhodophyta). J Phycol 42:515–525.</w:t>
      </w:r>
    </w:p>
    <w:p>
      <w:pPr>
        <w:pStyle w:val="Compact"/>
        <w:numPr>
          <w:ilvl w:val="0"/>
          <w:numId w:val="1003"/>
        </w:numPr>
      </w:pPr>
      <w:r>
        <w:t xml:space="preserve">Valiela I, Collins G, Kremer J, Lajtha K, Geist M, Seely B, Brawley J, Sham CH. 1997. Nitrogen loading from coastal watersheds to receiving estuaries: new method and application. Ecol Appl 7:358–380.</w:t>
      </w:r>
    </w:p>
    <w:p>
      <w:pPr>
        <w:pStyle w:val="Compact"/>
        <w:numPr>
          <w:ilvl w:val="0"/>
          <w:numId w:val="1003"/>
        </w:numPr>
      </w:pPr>
      <w:r>
        <w:t xml:space="preserve">VCR LTER. Virginia Coast Reserve Long-Term Ecological Research Program. https://www.vcrlter.virginia.edu</w:t>
      </w:r>
    </w:p>
    <w:p>
      <w:pPr>
        <w:pStyle w:val="Compact"/>
        <w:numPr>
          <w:ilvl w:val="0"/>
          <w:numId w:val="1003"/>
        </w:numPr>
      </w:pPr>
      <w:r>
        <w:t xml:space="preserve">Virginia Wastewater Infrastructure Working Group. 2021. Report Document RD883, Virginia General Assembly.</w:t>
      </w:r>
    </w:p>
    <w:p>
      <w:pPr>
        <w:pStyle w:val="Compact"/>
        <w:numPr>
          <w:ilvl w:val="0"/>
          <w:numId w:val="1003"/>
        </w:numPr>
      </w:pPr>
      <w:r>
        <w:t xml:space="preserve">VIMS Eastern Shore Laboratory. 2025. Bay Scallop Restoration Annual Survey. https://www.vims.edu/esl/research/bay_scallop_restoration/</w:t>
      </w:r>
    </w:p>
    <w:p>
      <w:pPr>
        <w:pStyle w:val="Compact"/>
        <w:numPr>
          <w:ilvl w:val="0"/>
          <w:numId w:val="1003"/>
        </w:numPr>
      </w:pPr>
      <w:r>
        <w:t xml:space="preserve">[unverified — Oct 2026; incomplete reference] Young CS, Gobler CJ, Heikes BG. 2010. Coupled N loading, brown tide, and seagrass decline in Long Island lagoons. (ecol. synthesis).</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2026-10-02T14:00:49Z</dcterms:created>
  <dcterms:modified xsi:type="dcterms:W3CDTF">2026-10-02T14:00:49Z</dcterms:modified>
</cp:coreProperties>
</file>

<file path=docProps/custom.xml><?xml version="1.0" encoding="utf-8"?>
<Properties xmlns="http://schemas.openxmlformats.org/officeDocument/2006/custom-properties" xmlns:vt="http://schemas.openxmlformats.org/officeDocument/2006/docPropsVTypes"/>
</file>