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f89589fc54c3b7192a2bbdfde211729ab22e1e0"/>
    <w:p>
      <w:pPr>
        <w:pStyle w:val="Heading1"/>
      </w:pPr>
      <w:r>
        <w:t xml:space="preserve">Pathway 4 — Shellfish grounds, aquaculture, and commercial fisheries</w:t>
      </w:r>
    </w:p>
    <w:p>
      <w:pPr>
        <w:pStyle w:val="Heading3"/>
      </w:pPr>
      <w:bookmarkStart w:id="9" w:name="october-2026-evidence-review"/>
      <w:r>
        <w:t xml:space="preserve">October 2026 evidence review</w:t>
      </w:r>
      <w:bookmarkEnd w:id="9"/>
    </w:p>
    <w:p>
      <w:pPr>
        <w:pStyle w:val="BlockText"/>
      </w:pPr>
      <w:r>
        <w:t xml:space="preserve">This file was audited source-by-source in October 2026. Several claims overstated the ESVA-specific evidence. VDH reports no widespread septic-related shellfish contamination on the Shore. Corrections are marked</w:t>
      </w:r>
      <w:r>
        <w:t xml:space="preserve"> </w:t>
      </w:r>
      <w:r>
        <w:rPr>
          <w:b/>
          <w:bCs/>
        </w:rPr>
        <w:t xml:space="preserve">[Oct 2026]</w:t>
      </w:r>
      <w:r>
        <w:t xml:space="preserve"> </w:t>
      </w:r>
      <w:r>
        <w:t xml:space="preserve">in the text:</w:t>
      </w:r>
    </w:p>
    <w:p>
      <w:pPr>
        <w:pStyle w:val="BlockText"/>
        <w:numPr>
          <w:ilvl w:val="0"/>
          <w:numId w:val="1001"/>
        </w:numPr>
      </w:pPr>
      <w:r>
        <w:rPr>
          <w:b/>
          <w:bCs/>
        </w:rPr>
        <w:t xml:space="preserve">The</w:t>
      </w:r>
      <w:r>
        <w:rPr>
          <w:b/>
          <w:bCs/>
        </w:rPr>
        <w:t xml:space="preserve"> </w:t>
      </w:r>
      <w:r>
        <w:rPr>
          <w:b/>
          <w:bCs/>
        </w:rPr>
        <w:t xml:space="preserve">“near-complete spatial overlap”</w:t>
      </w:r>
      <w:r>
        <w:rPr>
          <w:b/>
          <w:bCs/>
        </w:rPr>
        <w:t xml:space="preserve"> </w:t>
      </w:r>
      <w:r>
        <w:rPr>
          <w:b/>
          <w:bCs/>
        </w:rPr>
        <w:t xml:space="preserve">and</w:t>
      </w:r>
      <w:r>
        <w:rPr>
          <w:b/>
          <w:bCs/>
        </w:rPr>
        <w:t xml:space="preserve"> </w:t>
      </w:r>
      <w:r>
        <w:rPr>
          <w:b/>
          <w:bCs/>
        </w:rPr>
        <w:t xml:space="preserve">“qualitatively exact”</w:t>
      </w:r>
      <w:r>
        <w:rPr>
          <w:b/>
          <w:bCs/>
        </w:rPr>
        <w:t xml:space="preserve"> </w:t>
      </w:r>
      <w:r>
        <w:rPr>
          <w:b/>
          <w:bCs/>
        </w:rPr>
        <w:t xml:space="preserve">claims are withdrawn.</w:t>
      </w:r>
      <w:r>
        <w:t xml:space="preserve"> </w:t>
      </w:r>
      <w:r>
        <w:t xml:space="preserve">No overlay of DSS closure areas against septic density has been published. Mitchell et al. (2021) found only one septic/low-water-quality overlap in all of Tidewater and urged</w:t>
      </w:r>
      <w:r>
        <w:t xml:space="preserve"> </w:t>
      </w:r>
      <w:r>
        <w:t xml:space="preserve">“extreme caution.”</w:t>
      </w:r>
      <w:r>
        <w:t xml:space="preserve"> </w:t>
      </w:r>
      <w:r>
        <w:t xml:space="preserve">NSSP rules require prohibited zones around marinas, harbors and treatment-plant outfalls, so closures cluster at harbor towns regardless of septic.</w:t>
      </w:r>
    </w:p>
    <w:p>
      <w:pPr>
        <w:pStyle w:val="BlockText"/>
        <w:numPr>
          <w:ilvl w:val="0"/>
          <w:numId w:val="1001"/>
        </w:numPr>
      </w:pPr>
      <w:r>
        <w:rPr>
          <w:b/>
          <w:bCs/>
        </w:rPr>
        <w:t xml:space="preserve">Mitchell et al. (2021)</w:t>
      </w:r>
      <w:r>
        <w:t xml:space="preserve"> </w:t>
      </w:r>
      <w:r>
        <w:t xml:space="preserve">is a Tidewater-wide repair-permit analysis. It does not identify the Eastern Shore as</w:t>
      </w:r>
      <w:r>
        <w:t xml:space="preserve"> </w:t>
      </w:r>
      <w:r>
        <w:t xml:space="preserve">“the most exposed locality cluster.”</w:t>
      </w:r>
      <w:r>
        <w:t xml:space="preserve"> </w:t>
      </w:r>
      <w:r>
        <w:t xml:space="preserve">Its author list has been corrected.</w:t>
      </w:r>
    </w:p>
    <w:p>
      <w:pPr>
        <w:pStyle w:val="BlockText"/>
        <w:numPr>
          <w:ilvl w:val="0"/>
          <w:numId w:val="1001"/>
        </w:numPr>
      </w:pPr>
      <w:r>
        <w:rPr>
          <w:b/>
          <w:bCs/>
        </w:rPr>
        <w:t xml:space="preserve">The seven-town list</w:t>
      </w:r>
      <w:r>
        <w:t xml:space="preserve"> </w:t>
      </w:r>
      <w:r>
        <w:t xml:space="preserve">(Oyster, Willis Wharf, Quinby, Wachapreague, Saxis, Chincoteague, Cape Charles) does not appear in RD883 (full text searched) and is unsourced.</w:t>
      </w:r>
      <w:r>
        <w:t xml:space="preserve"> </w:t>
      </w:r>
      <w:r>
        <w:rPr>
          <w:b/>
          <w:bCs/>
        </w:rPr>
        <w:t xml:space="preserve">Cape Charles is sewered</w:t>
      </w:r>
      <w:r>
        <w:t xml:space="preserve">: it has a municipal sewer system and treatment plant, which Virginia American Water acquired in 2024.</w:t>
      </w:r>
    </w:p>
    <w:p>
      <w:pPr>
        <w:pStyle w:val="BlockText"/>
        <w:numPr>
          <w:ilvl w:val="0"/>
          <w:numId w:val="1001"/>
        </w:numPr>
      </w:pPr>
      <w:r>
        <w:rPr>
          <w:b/>
          <w:bCs/>
        </w:rPr>
        <w:t xml:space="preserve">Unsourced figures are now marked:</w:t>
      </w:r>
      <w:r>
        <w:t xml:space="preserve"> </w:t>
      </w:r>
      <w:r>
        <w:t xml:space="preserve">30–60 closure days per year;</w:t>
      </w:r>
      <w:r>
        <w:t xml:space="preserve"> </w:t>
      </w:r>
      <w:r>
        <w:t xml:space="preserve">“15–30%”</w:t>
      </w:r>
      <w:r>
        <w:t xml:space="preserve"> </w:t>
      </w:r>
      <w:r>
        <w:t xml:space="preserve">of classified waters and its upward trend;</w:t>
      </w:r>
      <w:r>
        <w:t xml:space="preserve"> </w:t>
      </w:r>
      <w:r>
        <w:t xml:space="preserve">“essentially every creek… carries a condemnation area”</w:t>
      </w:r>
      <w:r>
        <w:t xml:space="preserve">;</w:t>
      </w:r>
      <w:r>
        <w:t xml:space="preserve"> </w:t>
      </w:r>
      <w:r>
        <w:t xml:space="preserve">“OWTS is usually the leading suspected source”</w:t>
      </w:r>
      <w:r>
        <w:t xml:space="preserve">; Buzzards Bay 24%; Narragansett ~500 acres; the ShellCast claim.</w:t>
      </w:r>
    </w:p>
    <w:p>
      <w:pPr>
        <w:pStyle w:val="BlockText"/>
        <w:numPr>
          <w:ilvl w:val="0"/>
          <w:numId w:val="1001"/>
        </w:numPr>
      </w:pPr>
      <w:r>
        <w:rPr>
          <w:b/>
          <w:bCs/>
        </w:rPr>
        <w:t xml:space="preserve">Leight &amp; Hood (2018)</w:t>
      </w:r>
      <w:r>
        <w:t xml:space="preserve"> </w:t>
      </w:r>
      <w:r>
        <w:t xml:space="preserve">citation corrected. It is a study of</w:t>
      </w:r>
      <w:r>
        <w:t xml:space="preserve"> </w:t>
      </w:r>
      <w:r>
        <w:rPr>
          <w:b/>
          <w:bCs/>
        </w:rPr>
        <w:t xml:space="preserve">Maryland</w:t>
      </w:r>
      <w:r>
        <w:t xml:space="preserve"> </w:t>
      </w:r>
      <w:r>
        <w:t xml:space="preserve">shellfish waters, 2004–2014, does not apportion fecal sources, and does not validate Virginia’s closure trigger.</w:t>
      </w:r>
    </w:p>
    <w:p>
      <w:pPr>
        <w:pStyle w:val="BlockText"/>
        <w:numPr>
          <w:ilvl w:val="0"/>
          <w:numId w:val="1001"/>
        </w:numPr>
      </w:pPr>
      <w:r>
        <w:rPr>
          <w:b/>
          <w:bCs/>
        </w:rPr>
        <w:t xml:space="preserve">Capps et al. (2020)</w:t>
      </w:r>
      <w:r>
        <w:t xml:space="preserve"> </w:t>
      </w:r>
      <w:r>
        <w:t xml:space="preserve">entry was the wrong paper, and the ESVA socio-economic claim attributed to it is unverified.</w:t>
      </w:r>
    </w:p>
    <w:p>
      <w:pPr>
        <w:pStyle w:val="BlockText"/>
        <w:numPr>
          <w:ilvl w:val="0"/>
          <w:numId w:val="1001"/>
        </w:numPr>
      </w:pPr>
      <w:r>
        <w:rPr>
          <w:b/>
          <w:bCs/>
        </w:rPr>
        <w:t xml:space="preserve">Analogue leaps corrected.</w:t>
      </w:r>
      <w:r>
        <w:t xml:space="preserve"> </w:t>
      </w:r>
      <w:r>
        <w:t xml:space="preserve">“All four apply to ESVA”</w:t>
      </w:r>
      <w:r>
        <w:t xml:space="preserve"> </w:t>
      </w:r>
      <w:r>
        <w:t xml:space="preserve">is withdrawn. The Indian River Lagoon’s physics are not comparable to ESVA’s. Virginia’s 1933 scallop collapse was caused by wasting disease and a hurricane, not brown tide.</w:t>
      </w:r>
    </w:p>
    <w:p>
      <w:pPr>
        <w:pStyle w:val="BlockText"/>
        <w:numPr>
          <w:ilvl w:val="0"/>
          <w:numId w:val="1001"/>
        </w:numPr>
      </w:pPr>
      <w:r>
        <w:rPr>
          <w:b/>
          <w:bCs/>
        </w:rPr>
        <w:t xml:space="preserve">Relabels.</w:t>
      </w:r>
      <w:r>
        <w:t xml:space="preserve"> </w:t>
      </w:r>
      <w:r>
        <w:t xml:space="preserve">The ESVA spatial-overlap argument (was</w:t>
      </w:r>
      <w:r>
        <w:t xml:space="preserve"> </w:t>
      </w:r>
      <w:r>
        <w:t xml:space="preserve">“strong”</w:t>
      </w:r>
      <w:r>
        <w:t xml:space="preserve">) is withdrawn. ESVA OWTS exposure is now moderate (was</w:t>
      </w:r>
      <w:r>
        <w:t xml:space="preserve"> </w:t>
      </w:r>
      <w:r>
        <w:t xml:space="preserve">“high confidence”</w:t>
      </w:r>
      <w:r>
        <w:t xml:space="preserve">).</w:t>
      </w:r>
      <w:r>
        <w:t xml:space="preserve"> </w:t>
      </w:r>
      <w:r>
        <w:t xml:space="preserve">“First-order threat”</w:t>
      </w:r>
      <w:r>
        <w:t xml:space="preserve"> </w:t>
      </w:r>
      <w:r>
        <w:t xml:space="preserve">is withdrawn.</w:t>
      </w:r>
    </w:p>
    <w:p>
      <w:pPr>
        <w:pStyle w:val="BlockText"/>
        <w:numPr>
          <w:ilvl w:val="0"/>
          <w:numId w:val="1001"/>
        </w:numPr>
      </w:pPr>
      <w:r>
        <w:rPr>
          <w:b/>
          <w:bCs/>
        </w:rPr>
        <w:t xml:space="preserve">What VDH actually monitors on the Shore</w:t>
      </w:r>
      <w:r>
        <w:t xml:space="preserve"> </w:t>
      </w:r>
      <w:r>
        <w:t xml:space="preserve">is now summarized in</w:t>
      </w:r>
      <w:r>
        <w:t xml:space="preserve"> </w:t>
      </w:r>
      <w:r>
        <w:rPr>
          <w:rStyle w:val="VerbatimChar"/>
        </w:rPr>
        <w:t xml:space="preserve">ECOLOGICAL_EFFECTS_SYNTHESIS.md</w:t>
      </w:r>
      <w:r>
        <w:t xml:space="preserve"> </w:t>
      </w:r>
      <w:r>
        <w:t xml:space="preserve">§2.5. It covers about 590 active stations sampled at least six times a year, roughly 1% of Shore classified acreage condemned against about 6% statewide, current shoreline surveys for every growing area, TMDL source-tracking history, and new HF183 testing. Use those figures in place of the unsourced condemnation and closure-day claims below.</w:t>
      </w:r>
    </w:p>
    <w:p>
      <w:pPr>
        <w:pStyle w:val="BlockText"/>
      </w:pPr>
      <w:r>
        <w:t xml:space="preserve">See</w:t>
      </w:r>
      <w:r>
        <w:t xml:space="preserve"> </w:t>
      </w:r>
      <w:r>
        <w:rPr>
          <w:rStyle w:val="VerbatimChar"/>
        </w:rPr>
        <w:t xml:space="preserve">ECOLOGICAL_EFFECTS_SYNTHESIS.md</w:t>
      </w:r>
      <w:r>
        <w:t xml:space="preserve"> </w:t>
      </w:r>
      <w:r>
        <w:t xml:space="preserve">(October 2026 evidence review and Section 4) and</w:t>
      </w:r>
      <w:r>
        <w:t xml:space="preserve"> </w:t>
      </w:r>
      <w:r>
        <w:rPr>
          <w:rStyle w:val="VerbatimChar"/>
        </w:rPr>
        <w:t xml:space="preserve">OUTREACH_MESSAGING_REVIEW.md</w:t>
      </w:r>
      <w:r>
        <w:t xml:space="preserve">.</w:t>
      </w:r>
    </w:p>
    <w:bookmarkStart w:id="10" w:name="mechanism-of-harm"/>
    <w:p>
      <w:pPr>
        <w:pStyle w:val="Heading2"/>
      </w:pPr>
      <w:r>
        <w:t xml:space="preserve">Mechanism of harm</w:t>
      </w:r>
    </w:p>
    <w:p>
      <w:pPr>
        <w:pStyle w:val="FirstParagraph"/>
      </w:pPr>
      <w:r>
        <w:t xml:space="preserve">Failing onsite wastewater treatment systems (OWTS) affect ESVA shellfish grounds and fisheries through two coupled mechanisms: (1) delivery of fecal indicator bacteria and human enteric viruses that trigger regulatory harvest closures, and (2) delivery of nutrients and labile organic carbon that alter water quality and nursery habitat in ways affecting shellfish physiology, recruitment, and wild-capture stocks. They operate on different timescales — hours to days for pathogen pulses, months to decades for water-quality/habitat endpoints — but share the hydrologic routes described in Pathways 1, 2, 3a, and 3b.</w:t>
      </w:r>
    </w:p>
    <w:p>
      <w:pPr>
        <w:pStyle w:val="BodyText"/>
      </w:pPr>
      <w:r>
        <w:rPr>
          <w:i/>
          <w:iCs/>
        </w:rPr>
        <w:t xml:space="preserve">Fecal-indicator and pathogen delivery.</w:t>
      </w:r>
      <w:r>
        <w:t xml:space="preserve"> </w:t>
      </w:r>
      <w:r>
        <w:t xml:space="preserve">A drainfield that is hydraulically overloaded, inundated, or too close to a tidal creek discharges effluent carrying ~10</w:t>
      </w:r>
      <w:r>
        <w:rPr>
          <w:vertAlign w:val="superscript"/>
        </w:rPr>
        <w:t xml:space="preserve">6–10</w:t>
      </w:r>
      <w:r>
        <w:t xml:space="preserve">8 fecal coliform MPN 100 mL⁻¹ into the shallow subsurface. In sandy coastal-plain aquifers with short flow paths, much of that load reaches tidal waters within hours to a few days of rain — faster than seawater T90 of ~1–3 days.</w:t>
      </w:r>
      <w:r>
        <w:t xml:space="preserve"> </w:t>
      </w:r>
      <w:r>
        <w:rPr>
          <w:i/>
          <w:iCs/>
        </w:rPr>
        <w:t xml:space="preserve">Crassostrea virginica</w:t>
      </w:r>
      <w:r>
        <w:t xml:space="preserve"> </w:t>
      </w:r>
      <w:r>
        <w:t xml:space="preserve">(~5 L h⁻¹ adult filtration) and</w:t>
      </w:r>
      <w:r>
        <w:t xml:space="preserve"> </w:t>
      </w:r>
      <w:r>
        <w:rPr>
          <w:i/>
          <w:iCs/>
        </w:rPr>
        <w:t xml:space="preserve">Mercenaria mercenaria</w:t>
      </w:r>
      <w:r>
        <w:t xml:space="preserve"> </w:t>
      </w:r>
      <w:r>
        <w:t xml:space="preserve">concentrate particle-associated bacteria in digestive tissue by orders of magnitude above ambient. The National Shellfish Sanitation Program (NSSP), implemented in Virginia by the VDH Division of Shellfish Safety (DSS), classifies growing waters as Approved (30-sample geometric mean ≤14 fecal coliform MPN 100 mL⁻¹, ≤10% exceeding 43 MPN), Conditionally Approved (closed after a rainfall trigger — in Virginia typically three days after ≥1 inch in 24 h), Restricted, Conditionally Restricted, and Prohibited. These thresholds, originally set against typhoid and hepatitis A, are routinely tripped by OWTS, stormwater, wildlife, and livestock sources.</w:t>
      </w:r>
    </w:p>
    <w:p>
      <w:pPr>
        <w:pStyle w:val="BodyText"/>
      </w:pPr>
      <w:r>
        <w:t xml:space="preserve">Fecal coliform is a poor proxy for enteric viruses. Norovirus GI/GII dominates shellfish-associated illness, persists in seawater and tissue for weeks to months, and comes specifically from human fecal sources. Lipp, Farrah &amp; Rose (2001), Campos et al. (2015, 2017), and Lowther et al. (2021) showed that shellfish meeting fecal coliform criteria routinely carry detectable norovirus RNA and that standard 48–72 h depuration clears</w:t>
      </w:r>
      <w:r>
        <w:t xml:space="preserve"> </w:t>
      </w:r>
      <w:r>
        <w:rPr>
          <w:i/>
          <w:iCs/>
        </w:rPr>
        <w:t xml:space="preserve">E. coli</w:t>
      </w:r>
      <w:r>
        <w:t xml:space="preserve"> </w:t>
      </w:r>
      <w:r>
        <w:t xml:space="preserve">but not norovirus. OWTS failures can therefore deliver virologically relevant doses even when fecal-coliform monitoring finds waters compliant — a systematic false-negative risk.</w:t>
      </w:r>
    </w:p>
    <w:p>
      <w:pPr>
        <w:pStyle w:val="BodyText"/>
      </w:pPr>
      <w:r>
        <w:rPr>
          <w:i/>
          <w:iCs/>
        </w:rPr>
        <w:t xml:space="preserve">Nutrient- and water-quality-mediated physiological effects.</w:t>
      </w:r>
      <w:r>
        <w:t xml:space="preserve"> </w:t>
      </w:r>
      <w:r>
        <w:t xml:space="preserve">OWTS effluent also carries DIN/DON, phosphorus, labile DOC, surfactants, and trace pharmaceuticals. N loading to shallow estuarine/lagoonal systems drives phytoplankton growth, HABs, diel pH/DO swings, seasonal bottom hypoxia, and reduced Ωaragonite from respiration-driven CO2. Each endpoint has a documented signature in</w:t>
      </w:r>
      <w:r>
        <w:t xml:space="preserve"> </w:t>
      </w:r>
      <w:r>
        <w:rPr>
          <w:i/>
          <w:iCs/>
        </w:rPr>
        <w:t xml:space="preserve">C. virginica</w:t>
      </w:r>
      <w:r>
        <w:t xml:space="preserve"> </w:t>
      </w:r>
      <w:r>
        <w:t xml:space="preserve">and</w:t>
      </w:r>
      <w:r>
        <w:t xml:space="preserve"> </w:t>
      </w:r>
      <w:r>
        <w:rPr>
          <w:i/>
          <w:iCs/>
        </w:rPr>
        <w:t xml:space="preserve">M. mercenaria</w:t>
      </w:r>
      <w:r>
        <w:t xml:space="preserve">: elevated larval mortality and reduced shell deposition under low Ωaragonite (Waldbusser et al. 2015; Gobler &amp; Talmage 2013); reduced clearance rates under chronic hypoxia; reduced growth during</w:t>
      </w:r>
      <w:r>
        <w:t xml:space="preserve"> </w:t>
      </w:r>
      <w:r>
        <w:rPr>
          <w:i/>
          <w:iCs/>
        </w:rPr>
        <w:t xml:space="preserve">Aureococcus</w:t>
      </w:r>
      <w:r>
        <w:t xml:space="preserve">,</w:t>
      </w:r>
      <w:r>
        <w:t xml:space="preserve"> </w:t>
      </w:r>
      <w:r>
        <w:rPr>
          <w:i/>
          <w:iCs/>
        </w:rPr>
        <w:t xml:space="preserve">Aureoumbra</w:t>
      </w:r>
      <w:r>
        <w:t xml:space="preserve">, and</w:t>
      </w:r>
      <w:r>
        <w:t xml:space="preserve"> </w:t>
      </w:r>
      <w:r>
        <w:rPr>
          <w:i/>
          <w:iCs/>
        </w:rPr>
        <w:t xml:space="preserve">Alexandrium</w:t>
      </w:r>
      <w:r>
        <w:t xml:space="preserve"> </w:t>
      </w:r>
      <w:r>
        <w:t xml:space="preserve">blooms; and recruitment failure when seagrass nursery habitat (structural requirement for bay scallop</w:t>
      </w:r>
      <w:r>
        <w:t xml:space="preserve"> </w:t>
      </w:r>
      <w:r>
        <w:rPr>
          <w:i/>
          <w:iCs/>
        </w:rPr>
        <w:t xml:space="preserve">Argopecten irradians</w:t>
      </w:r>
      <w:r>
        <w:t xml:space="preserve">) collapses. Effects grade from sub-lethal energy-budget costs to population-level failure at the tipping points described in Pathway 3b.</w:t>
      </w:r>
    </w:p>
    <w:p>
      <w:pPr>
        <w:pStyle w:val="BodyText"/>
      </w:pPr>
      <w:r>
        <w:rPr>
          <w:i/>
          <w:iCs/>
        </w:rPr>
        <w:t xml:space="preserve">Habitat mediation and economic-ecological coupling.</w:t>
      </w:r>
      <w:r>
        <w:t xml:space="preserve"> </w:t>
      </w:r>
      <w:r>
        <w:t xml:space="preserve">OWTS nutrients affect the structural habitat that commercial fisheries depend on — eelgrass (</w:t>
      </w:r>
      <w:r>
        <w:rPr>
          <w:i/>
          <w:iCs/>
        </w:rPr>
        <w:t xml:space="preserve">Zostera marina</w:t>
      </w:r>
      <w:r>
        <w:t xml:space="preserve">) as obligate bay-scallop substrate and juvenile blue-crab (</w:t>
      </w:r>
      <w:r>
        <w:rPr>
          <w:i/>
          <w:iCs/>
        </w:rPr>
        <w:t xml:space="preserve">Callinectes sapidus</w:t>
      </w:r>
      <w:r>
        <w:t xml:space="preserve">) nursery; oyster reefs as biogenic habitat for juvenile finfish and invertebrates (Newell 2004; Coen et al. 2007). Pathway 4 inherits those couplings from Pathways 3a/3b and focuses on fisheries consequences. These ecological impacts translate to economic loss via closure days × gear types × landed value: a lease in a Conditionally Approved zone loses access per trigger, and if triggers fire often enough the area shifts to Restricted or Prohibited and the lease loses commercial utility. Pathway 4’s distinctive feature is that its endpoint is a regulated economic activity with continuous monitoring — consequences are visible in the regulatory record even when source attribution is imperfect.</w:t>
      </w:r>
    </w:p>
    <w:bookmarkEnd w:id="10"/>
    <w:bookmarkStart w:id="11" w:name="esva-specific-evidence"/>
    <w:p>
      <w:pPr>
        <w:pStyle w:val="Heading2"/>
      </w:pPr>
      <w:r>
        <w:t xml:space="preserve">ESVA-specific evidence</w:t>
      </w:r>
    </w:p>
    <w:p>
      <w:pPr>
        <w:pStyle w:val="FirstParagraph"/>
      </w:pPr>
      <w:r>
        <w:rPr>
          <w:i/>
          <w:iCs/>
        </w:rPr>
        <w:t xml:space="preserve">Industry scale.</w:t>
      </w:r>
      <w:r>
        <w:t xml:space="preserve"> </w:t>
      </w:r>
      <w:r>
        <w:t xml:space="preserve">ESVA is the center of gravity of Virginia’s shellfish aquaculture. The VIMS 2024 Situation &amp; Outlook Report (Hudson, November 2025) put Virginia shellfish aquaculture direct farm-gate sales at $81 million in 2024 — a 52% increase over $53 million in 2018, the highest on record — with over 700 jobs (up from 480 in 2018), the great majority in Accomack and Northampton. Virginia leads the nation in cultivated hard clam production (~99% ESVA); its cultivated oyster sector surpassed pre-pandemic levels in 2024. VMRC records add wild hard-clam, public-ground oyster, and ESVA blue-crab landings.</w:t>
      </w:r>
    </w:p>
    <w:p>
      <w:pPr>
        <w:pStyle w:val="BodyText"/>
      </w:pPr>
      <w:r>
        <w:rPr>
          <w:i/>
          <w:iCs/>
        </w:rPr>
        <w:t xml:space="preserve">Classified growing waters and the DSS shoreline-survey program.</w:t>
      </w:r>
      <w:r>
        <w:t xml:space="preserve"> </w:t>
      </w:r>
      <w:r>
        <w:t xml:space="preserve">VDH DSS classifies roughly 20–25 named growing areas along the ESVA Bayside and seaside (e.g., Area 075 Pocomoke Sound, Area 084 Occohannock Creek, Area 086 Nassawadox Creek; seaside areas covering Folly Creek, Machipongo River, Hog Island Bay, South Bay, Magothy Bay) [area numbers unverified — Oct 2026]. Each area is monitored at 6–30 adverse-pollution-condition stations, with a minimum of six samples per station per year, and re-surveyed on a 12-year intensive-shoreline cycle. Under the NSSP Model Ordinance (FDA 2019), DSS staff walk or boat the shoreline, enumerate every residence, confirm sewer vs. OWTS connection, inspect drainfields for surface discharge, and map straight pipes, failing lift stations, marina pump-outs, and livestock access. Each growing-area survey (publicly released as a numbered PDF) therefore functions as a parcel-level OWTS inventory in the shellfish-relevant buffer.</w:t>
      </w:r>
    </w:p>
    <w:p>
      <w:pPr>
        <w:pStyle w:val="BodyText"/>
      </w:pPr>
      <w:r>
        <w:rPr>
          <w:i/>
          <w:iCs/>
        </w:rPr>
        <w:t xml:space="preserve">Condemnation areas.</w:t>
      </w:r>
      <w:r>
        <w:t xml:space="preserve"> </w:t>
      </w:r>
      <w:r>
        <w:t xml:space="preserve">DSS shoreline-survey documents for Accomack and Northampton show that essentially every ESVA tidal creek with adjacent residential development carries at least one condemnation area (Restricted or Prohibited) surrounding suspected fecal sources [unsourced — Oct 2026: no specific DSS documents were reviewed for this claim].</w:t>
      </w:r>
      <w:r>
        <w:t xml:space="preserve"> </w:t>
      </w:r>
      <w:r>
        <w:rPr>
          <w:b/>
          <w:bCs/>
        </w:rPr>
        <w:t xml:space="preserve">[Oct 2026]</w:t>
      </w:r>
      <w:r>
        <w:t xml:space="preserve"> </w:t>
      </w:r>
      <w:r>
        <w:t xml:space="preserve">NSSP rules require prohibited zones around marinas, harbors and wastewater-treatment-plant outfalls, whatever the septic density, so condemnation areas near harbor towns do not by themselves indicate septic sources. Named Bayside examples: Pungoteague, Nandua, Onancock, and Occohannock Creeks, Pocomoke Sound near Saxis and Sanford, Hungars Creek, Nassawadox Creek, and Cherrystone Inlet. Seaside examples: Chincoteague Bay near the town of Chincoteague, Assawoman and Gargathy Bays, Folly Creek above Wachapreague, Machipongo River above Willis Wharf, and creeks around Oyster and Cape Charles. Condemnation zones cluster in the upper reaches of creeks — low-flushing, residentially developed, OWTS-dense headwaters (the highest-vulnerability geometry from Pathway 2). Growing-area reports suggest the ESVA share of classified waters in Conditionally Approved or more-restrictive classes runs on the order of 15–30% [unsourced — Oct 2026].</w:t>
      </w:r>
      <w:r>
        <w:t xml:space="preserve"> </w:t>
      </w:r>
      <w:r>
        <w:rPr>
          <w:b/>
          <w:bCs/>
        </w:rPr>
        <w:t xml:space="preserve">[Oct 2026, withdrawn]</w:t>
      </w:r>
      <w:r>
        <w:t xml:space="preserve"> </w:t>
      </w:r>
      <w:r>
        <w:t xml:space="preserve">Earlier text added that this share</w:t>
      </w:r>
      <w:r>
        <w:t xml:space="preserve"> </w:t>
      </w:r>
      <w:r>
        <w:t xml:space="preserve">“has crept upward over two decades with shoreline development and SLR-driven OWTS inundation.”</w:t>
      </w:r>
      <w:r>
        <w:t xml:space="preserve"> </w:t>
      </w:r>
      <w:r>
        <w:t xml:space="preserve">No source documents that trend or its cause.</w:t>
      </w:r>
    </w:p>
    <w:p>
      <w:pPr>
        <w:pStyle w:val="BodyText"/>
      </w:pPr>
      <w:r>
        <w:rPr>
          <w:i/>
          <w:iCs/>
        </w:rPr>
        <w:t xml:space="preserve">Rain-triggered Conditionally Approved closures.</w:t>
      </w:r>
      <w:r>
        <w:t xml:space="preserve"> </w:t>
      </w:r>
      <w:r>
        <w:t xml:space="preserve">DSS maintains an active Conditional Shellfish Harvesting Area Status page updated after every event. ESVA triggers are typically ≥1 inch rainfall in 24 h with three-day closure; some creeks carry more sensitive ≥0.5-inch triggers. Closure-day counts can exceed 30–60 days per year in wet years for headwater segments [unsourced — Oct 2026: pull actual DSS closure records before using].</w:t>
      </w:r>
      <w:r>
        <w:t xml:space="preserve"> </w:t>
      </w:r>
      <w:r>
        <w:rPr>
          <w:b/>
          <w:bCs/>
        </w:rPr>
        <w:t xml:space="preserve">[Oct 2026, corrected]</w:t>
      </w:r>
      <w:r>
        <w:t xml:space="preserve"> </w:t>
      </w:r>
      <w:r>
        <w:t xml:space="preserve">Leight &amp; Hood (2018,</w:t>
      </w:r>
      <w:r>
        <w:t xml:space="preserve"> </w:t>
      </w:r>
      <w:r>
        <w:rPr>
          <w:i/>
          <w:iCs/>
        </w:rPr>
        <w:t xml:space="preserve">Water Research</w:t>
      </w:r>
      <w:r>
        <w:t xml:space="preserve">) used 11 years (2004–2014) of</w:t>
      </w:r>
      <w:r>
        <w:t xml:space="preserve"> </w:t>
      </w:r>
      <w:r>
        <w:rPr>
          <w:b/>
          <w:bCs/>
        </w:rPr>
        <w:t xml:space="preserve">Maryland</w:t>
      </w:r>
      <w:r>
        <w:t xml:space="preserve"> </w:t>
      </w:r>
      <w:r>
        <w:t xml:space="preserve">Chesapeake shellfish-water data. They found the share of samples exceeding FDA fecal coliform criteria rose from about 7% under lower rainfall to about 37% after ≥1 inch in 24 h. This is a regional analogue. It did not apportion fecal sources, and it does not validate Virginia’s trigger; earlier text called it</w:t>
      </w:r>
      <w:r>
        <w:t xml:space="preserve"> </w:t>
      </w:r>
      <w:r>
        <w:t xml:space="preserve">“a quantitative validation of the trigger.”</w:t>
      </w:r>
      <w:r>
        <w:t xml:space="preserve"> </w:t>
      </w:r>
      <w:r>
        <w:t xml:space="preserve">DSS source attribution is qualitative. Earlier text said that for small residentially developed ESVA headwater creeks,</w:t>
      </w:r>
      <w:r>
        <w:t xml:space="preserve"> </w:t>
      </w:r>
      <w:r>
        <w:t xml:space="preserve">“OWTS is usually the leading suspected source”</w:t>
      </w:r>
      <w:r>
        <w:t xml:space="preserve"> </w:t>
      </w:r>
      <w:r>
        <w:t xml:space="preserve">[unsourced — Oct 2026].</w:t>
      </w:r>
    </w:p>
    <w:p>
      <w:pPr>
        <w:pStyle w:val="BodyText"/>
      </w:pPr>
      <w:r>
        <w:rPr>
          <w:i/>
          <w:iCs/>
        </w:rPr>
        <w:t xml:space="preserve">OWTS exposure and sea-level rise.</w:t>
      </w:r>
      <w:r>
        <w:t xml:space="preserve"> </w:t>
      </w:r>
      <w:r>
        <w:rPr>
          <w:b/>
          <w:bCs/>
        </w:rPr>
        <w:t xml:space="preserve">[Oct 2026, corrected]</w:t>
      </w:r>
      <w:r>
        <w:t xml:space="preserve"> </w:t>
      </w:r>
      <w:r>
        <w:t xml:space="preserve">Mitchell et al. (2021,</w:t>
      </w:r>
      <w:r>
        <w:t xml:space="preserve"> </w:t>
      </w:r>
      <w:r>
        <w:rPr>
          <w:i/>
          <w:iCs/>
        </w:rPr>
        <w:t xml:space="preserve">Frontiers in Marine Science</w:t>
      </w:r>
      <w:r>
        <w:t xml:space="preserve"> </w:t>
      </w:r>
      <w:r>
        <w:t xml:space="preserve">8:631757) used 2008–2018 VDH septic repair-permit data to map septic</w:t>
      </w:r>
      <w:r>
        <w:t xml:space="preserve"> </w:t>
      </w:r>
      <w:r>
        <w:t xml:space="preserve">“hot spots”</w:t>
      </w:r>
      <w:r>
        <w:t xml:space="preserve"> </w:t>
      </w:r>
      <w:r>
        <w:t xml:space="preserve">across Tidewater Virginia. Hot spots were prevalent around Richmond and Gloucester County. The paper does not report Eastern Shore results separately and does not identify the Shore as</w:t>
      </w:r>
      <w:r>
        <w:t xml:space="preserve"> </w:t>
      </w:r>
      <w:r>
        <w:t xml:space="preserve">“the most exposed locality cluster,”</w:t>
      </w:r>
      <w:r>
        <w:t xml:space="preserve"> </w:t>
      </w:r>
      <w:r>
        <w:t xml:space="preserve">as earlier text said. It found</w:t>
      </w:r>
      <w:r>
        <w:t xml:space="preserve"> </w:t>
      </w:r>
      <w:r>
        <w:t xml:space="preserve">“only one incident where a low WQ region overlapped directly with a septic hot spot in Tidewater Virginia”</w:t>
      </w:r>
      <w:r>
        <w:t xml:space="preserve"> </w:t>
      </w:r>
      <w:r>
        <w:t xml:space="preserve">and warned that</w:t>
      </w:r>
      <w:r>
        <w:t xml:space="preserve"> </w:t>
      </w:r>
      <w:r>
        <w:t xml:space="preserve">“any correlation should be viewed with extreme caution.”</w:t>
      </w:r>
      <w:r>
        <w:t xml:space="preserve"> </w:t>
      </w:r>
      <w:r>
        <w:t xml:space="preserve">Earlier text also said RD883 (2021) named Oyster, Willis Wharf, Quinby, Wachapreague, Saxis, Chincoteague, and Cape Charles as particularly exposed. None of these towns appears in RD883, and the list is unsourced. Cape Charles is not unsewered: it has a municipal sewer system and treatment plant, acquired by Virginia American Water in 2024. Earlier text also cited Capps et al. (2020) for the claim that</w:t>
      </w:r>
      <w:r>
        <w:t xml:space="preserve"> </w:t>
      </w:r>
      <w:r>
        <w:t xml:space="preserve">“unsewered ESVA parcels are disproportionately low-income and costly to sewer”</w:t>
      </w:r>
      <w:r>
        <w:t xml:space="preserve">; that paper is not about ESVA [citation unverified — Oct 2026].</w:t>
      </w:r>
      <w:r>
        <w:t xml:space="preserve"> </w:t>
      </w:r>
      <w:r>
        <w:rPr>
          <w:b/>
          <w:bCs/>
        </w:rPr>
        <w:t xml:space="preserve">The earlier conclusion that</w:t>
      </w:r>
      <w:r>
        <w:rPr>
          <w:b/>
          <w:bCs/>
        </w:rPr>
        <w:t xml:space="preserve"> </w:t>
      </w:r>
      <w:r>
        <w:rPr>
          <w:b/>
          <w:bCs/>
        </w:rPr>
        <w:t xml:space="preserve">“these three lines establish near-complete spatial overlap between vulnerable septic and classified shellfish waters on ESVA”</w:t>
      </w:r>
      <w:r>
        <w:rPr>
          <w:b/>
          <w:bCs/>
        </w:rPr>
        <w:t xml:space="preserve"> </w:t>
      </w:r>
      <w:r>
        <w:rPr>
          <w:b/>
          <w:bCs/>
        </w:rPr>
        <w:t xml:space="preserve">is withdrawn.</w:t>
      </w:r>
      <w:r>
        <w:t xml:space="preserve"> </w:t>
      </w:r>
      <w:r>
        <w:t xml:space="preserve">No such overlay has been published.</w:t>
      </w:r>
    </w:p>
    <w:p>
      <w:pPr>
        <w:pStyle w:val="BodyText"/>
      </w:pPr>
      <w:r>
        <w:rPr>
          <w:i/>
          <w:iCs/>
        </w:rPr>
        <w:t xml:space="preserve">ESVA-specific response studies.</w:t>
      </w:r>
      <w:r>
        <w:t xml:space="preserve"> </w:t>
      </w:r>
      <w:r>
        <w:t xml:space="preserve">The VIMS Eastern Shore Lab (Wachapreague) and VIMS Marine Advisory Program have documented industry concerns about rising closure-day counts and warm-season HAB events in Bayside creeks and seaside lagoons [citation unverified — Oct 2026]. ABC-selected oyster lines used on ESVA are bred for disease and growth, not nutrient-stress tolerance, so water-quality shifts pass directly to production. The ESVA bay scallop reintroduction is a clean local illustration of habitat mediation: scallops reappeared only after seagrass returned, and their trajectory is tightly coupled to eelgrass extent (Pathway 3b). No published ESVA study has microbial-source-tracked a fraction of closure days or production loss to OWTS — the leading local data gap.</w:t>
      </w:r>
    </w:p>
    <w:bookmarkEnd w:id="11"/>
    <w:bookmarkStart w:id="12" w:name="analogue-evidence"/>
    <w:p>
      <w:pPr>
        <w:pStyle w:val="Heading2"/>
      </w:pPr>
      <w:r>
        <w:t xml:space="preserve">Analogue evidence</w:t>
      </w:r>
    </w:p>
    <w:p>
      <w:pPr>
        <w:pStyle w:val="FirstParagraph"/>
      </w:pPr>
      <w:r>
        <w:t xml:space="preserve">The analogue record converges from several independent directions: OWTS-dense coastal watersheds produce quantifiable increases in shellfish fecal-indicator and virus contamination, closure days, and longer-term nutrient- and habitat-mediated effects on shellfish populations.</w:t>
      </w:r>
    </w:p>
    <w:p>
      <w:pPr>
        <w:pStyle w:val="BodyText"/>
      </w:pPr>
      <w:r>
        <w:rPr>
          <w:i/>
          <w:iCs/>
        </w:rPr>
        <w:t xml:space="preserve">Buzzards Bay and Waquoit, Cape Cod.</w:t>
      </w:r>
      <w:r>
        <w:t xml:space="preserve"> </w:t>
      </w:r>
      <w:r>
        <w:t xml:space="preserve">The Buzzards Bay NEP maintains the most systematic published record linking residential OWTS to shellfish closures on the US East Coast: roughly 24% of Buzzards Bay growing waters are Conditionally Approved or worse, with upward trends in closed acreage over 1985–2020 statistically linked to shoreline housing density [unsourced — Oct 2026]. The Waquoit Bay NERR adds the complementary N-loading record: Valiela et al. (1997) developed the Nitrogen Loading Model and found residential OWTS contributing 40–80% of delivered N in residentially dense sub-estuaries [citation unverified — Oct 2026: Pathway 2 gives 30–75% for the same studies]; Waquoit</w:t>
      </w:r>
      <w:r>
        <w:t xml:space="preserve"> </w:t>
      </w:r>
      <w:r>
        <w:rPr>
          <w:i/>
          <w:iCs/>
        </w:rPr>
        <w:t xml:space="preserve">Mya arenaria</w:t>
      </w:r>
      <w:r>
        <w:t xml:space="preserve"> </w:t>
      </w:r>
      <w:r>
        <w:t xml:space="preserve">and quahog grounds were progressively closed through the 1980s–1990s. Buzzards Bay and Waquoit remain the canonical septic-to-shellfish-closure analogues for East Coast sandy coastal-plain settings.</w:t>
      </w:r>
      <w:r>
        <w:t xml:space="preserve"> </w:t>
      </w:r>
      <w:r>
        <w:rPr>
          <w:b/>
          <w:bCs/>
        </w:rPr>
        <w:t xml:space="preserve">[Oct 2026]</w:t>
      </w:r>
      <w:r>
        <w:t xml:space="preserve"> </w:t>
      </w:r>
      <w:r>
        <w:t xml:space="preserve">Earlier text added</w:t>
      </w:r>
      <w:r>
        <w:t xml:space="preserve"> </w:t>
      </w:r>
      <w:r>
        <w:t xml:space="preserve">“directly mappable onto ESVA.”</w:t>
      </w:r>
      <w:r>
        <w:t xml:space="preserve"> </w:t>
      </w:r>
      <w:r>
        <w:t xml:space="preserve">Both are far more densely developed than ESVA, so their mechanisms transfer but their magnitudes do not.</w:t>
      </w:r>
    </w:p>
    <w:p>
      <w:pPr>
        <w:pStyle w:val="BodyText"/>
      </w:pPr>
      <w:r>
        <w:rPr>
          <w:i/>
          <w:iCs/>
        </w:rPr>
        <w:t xml:space="preserve">Narragansett Bay, Rhode Island — the sewer-extension quasi-experiment.</w:t>
      </w:r>
      <w:r>
        <w:t xml:space="preserve"> </w:t>
      </w:r>
      <w:r>
        <w:t xml:space="preserve">RIDEM’s Conditionally Approved program is analogous to Virginia’s. Greenwich Bay, Potowomut, Wickford, and the Narrow River watershed were historically the most closure-exposed areas; sewer extension between 2000 and 2020 reopened roughly 500 previously closed acres [unsourced — Oct 2026], principally attributable to the Warwick sewer project — a quasi-experimental demonstration that removing OWTS restores harvestable shellfish water.</w:t>
      </w:r>
    </w:p>
    <w:p>
      <w:pPr>
        <w:pStyle w:val="BodyText"/>
      </w:pPr>
      <w:r>
        <w:rPr>
          <w:i/>
          <w:iCs/>
        </w:rPr>
        <w:t xml:space="preserve">Pamlico Sound and NC ShellCast.</w:t>
      </w:r>
      <w:r>
        <w:t xml:space="preserve"> </w:t>
      </w:r>
      <w:r>
        <w:t xml:space="preserve">NC DMF has documented sustained increases in Conditionally Approved acreage driven by OWTS and stormwater sources, with hurricanes producing regional closures lasting weeks to months. NC State ShellCast (Nelson et al. 2022) now provides operational rainfall-based closure prediction; its underlying datasets confirm that OWTS-dense coastal-plain settings have the steepest rainfall-closure response curves [citation unverified — Oct 2026].</w:t>
      </w:r>
    </w:p>
    <w:p>
      <w:pPr>
        <w:pStyle w:val="BodyText"/>
      </w:pPr>
      <w:r>
        <w:rPr>
          <w:i/>
          <w:iCs/>
        </w:rPr>
        <w:t xml:space="preserve">Indian River Lagoon.</w:t>
      </w:r>
      <w:r>
        <w:t xml:space="preserve"> </w:t>
      </w:r>
      <w:r>
        <w:t xml:space="preserve">The Florida IRL is the nearest US case in which residential OWTS has been directly implicated in a lagoon-scale shellfish and seagrass collapse. Lapointe et al. (2015, 2017, 2020, 2023) used δ¹⁵N fingerprinting to attribute the bulk of bioavailable N loading to OWTS (the 2023 paper reported ~79% septic, ~21% fertilizer). The 2011-onset brown-tide and</w:t>
      </w:r>
      <w:r>
        <w:t xml:space="preserve"> </w:t>
      </w:r>
      <w:r>
        <w:rPr>
          <w:i/>
          <w:iCs/>
        </w:rPr>
        <w:t xml:space="preserve">Caulerpa prolifera</w:t>
      </w:r>
      <w:r>
        <w:t xml:space="preserve"> </w:t>
      </w:r>
      <w:r>
        <w:t xml:space="preserve">cascade (Phlips et al. 2015) removed &gt;60% of IRL seagrass, crashed bay scallop and hard-clam populations, and triggered manatee mass mortality. The IRL is more urbanized than ESVA and has a comparable sandy coastal-plain aquifer.</w:t>
      </w:r>
      <w:r>
        <w:t xml:space="preserve"> </w:t>
      </w:r>
      <w:r>
        <w:rPr>
          <w:b/>
          <w:bCs/>
        </w:rPr>
        <w:t xml:space="preserve">[Oct 2026]</w:t>
      </w:r>
      <w:r>
        <w:t xml:space="preserve"> </w:t>
      </w:r>
      <w:r>
        <w:t xml:space="preserve">Its lagoon physics are not comparable: IRL residence times are months, versus days to weeks in the open ESVA seaside lagoons (Pathway 3b). The IRL is the strongest published demonstration that OWTS nutrients can push a shallow coastal lagoon past a shellfish-relevant tipping point within a decade.</w:t>
      </w:r>
    </w:p>
    <w:p>
      <w:pPr>
        <w:pStyle w:val="BodyText"/>
      </w:pPr>
      <w:r>
        <w:rPr>
          <w:i/>
          <w:iCs/>
        </w:rPr>
        <w:t xml:space="preserve">Great South Bay — brown-tide and the bay scallop.</w:t>
      </w:r>
      <w:r>
        <w:t xml:space="preserve"> </w:t>
      </w:r>
      <w:r>
        <w:t xml:space="preserve">Long Island’s Great South Bay supported the most productive</w:t>
      </w:r>
      <w:r>
        <w:t xml:space="preserve"> </w:t>
      </w:r>
      <w:r>
        <w:rPr>
          <w:i/>
          <w:iCs/>
        </w:rPr>
        <w:t xml:space="preserve">A. irradians</w:t>
      </w:r>
      <w:r>
        <w:t xml:space="preserve"> </w:t>
      </w:r>
      <w:r>
        <w:t xml:space="preserve">fishery in the US before 1985; the initial</w:t>
      </w:r>
      <w:r>
        <w:t xml:space="preserve"> </w:t>
      </w:r>
      <w:r>
        <w:rPr>
          <w:i/>
          <w:iCs/>
        </w:rPr>
        <w:t xml:space="preserve">Aureococcus anophagefferens</w:t>
      </w:r>
      <w:r>
        <w:t xml:space="preserve"> </w:t>
      </w:r>
      <w:r>
        <w:t xml:space="preserve">bloom crashed the population and the fishery has never recovered. Gobler et al. (2005, 2017) documented that brown tide thrives on DON; Kinney &amp; Valiela (2011) attributed much Long Island DON loading to residential OWTS. This is ESVA-relevant because the seaside bay-scallop reintroduction depends on the same scallop–seagrass relationship.</w:t>
      </w:r>
      <w:r>
        <w:t xml:space="preserve"> </w:t>
      </w:r>
      <w:r>
        <w:rPr>
          <w:b/>
          <w:bCs/>
        </w:rPr>
        <w:t xml:space="preserve">[Oct 2026]</w:t>
      </w:r>
      <w:r>
        <w:t xml:space="preserve"> </w:t>
      </w:r>
      <w:r>
        <w:t xml:space="preserve">Earlier text implied that brown tide had collapsed a Virginia scallop fishery. Virginia’s 1933 collapse was caused by eelgrass wasting disease and a hurricane. No bloom-grade brown tide has been documented in the Virginia seaside lagoons (Pathway 3b).</w:t>
      </w:r>
    </w:p>
    <w:p>
      <w:pPr>
        <w:pStyle w:val="BodyText"/>
      </w:pPr>
      <w:r>
        <w:rPr>
          <w:i/>
          <w:iCs/>
        </w:rPr>
        <w:t xml:space="preserve">Apalachicola Bay — multi-stressor collapse precedent.</w:t>
      </w:r>
      <w:r>
        <w:t xml:space="preserve"> </w:t>
      </w:r>
      <w:r>
        <w:t xml:space="preserve">The 2012 Apalachicola</w:t>
      </w:r>
      <w:r>
        <w:t xml:space="preserve"> </w:t>
      </w:r>
      <w:r>
        <w:rPr>
          <w:i/>
          <w:iCs/>
        </w:rPr>
        <w:t xml:space="preserve">C. virginica</w:t>
      </w:r>
      <w:r>
        <w:t xml:space="preserve"> </w:t>
      </w:r>
      <w:r>
        <w:t xml:space="preserve">collapse (Camp et al. 2015) was driven by upstream freshwater withdrawal and post-spill overharvest, not septic. It is a reference point for ESVA because it shows that a productive East Coast oyster fishery can collapse in months once multiple stressors align, and because the post-2012 record (commercial harvest suspended in 2020 through at least 2025) shows that recovery after crossing a tipping point is neither fast nor guaranteed.</w:t>
      </w:r>
    </w:p>
    <w:p>
      <w:pPr>
        <w:pStyle w:val="BodyText"/>
      </w:pPr>
      <w:r>
        <w:rPr>
          <w:i/>
          <w:iCs/>
        </w:rPr>
        <w:t xml:space="preserve">Norovirus outbreak analogues.</w:t>
      </w:r>
      <w:r>
        <w:t xml:space="preserve"> </w:t>
      </w:r>
      <w:r>
        <w:t xml:space="preserve">Webby et al. (2007), Iwamoto et al. (2010), and Campos et al. (2017) together establish that shellfish-associated norovirus outbreaks routinely trace back to specific human fecal sources (OWTS, straight pipes, CSOs), norovirus persists in oyster tissue for weeks at winter temperatures, and outbreaks occur even in waters meeting fecal coliform criteria. The ESVA implication is that fecal-coliform-only closure systems cannot guarantee absence of norovirus risk in OWTS-affected areas.</w:t>
      </w:r>
    </w:p>
    <w:p>
      <w:pPr>
        <w:pStyle w:val="BodyText"/>
      </w:pPr>
      <w:r>
        <w:rPr>
          <w:i/>
          <w:iCs/>
        </w:rPr>
        <w:t xml:space="preserve">Taken together,</w:t>
      </w:r>
      <w:r>
        <w:t xml:space="preserve"> </w:t>
      </w:r>
      <w:r>
        <w:t xml:space="preserve">the analogue record establishes (1) OWTS-dense coastal watersheds produce quantifiable increases in shellfish closure days; (2) removing OWTS via sewer restores harvestable acreage; (3) OWTS nutrients can drive coastal-plain lagoons past habitat-mediated tipping points within a decade; and (4) fecal-coliform regulation is systematically insensitive to norovirus risk.</w:t>
      </w:r>
      <w:r>
        <w:t xml:space="preserve"> </w:t>
      </w:r>
      <w:r>
        <w:rPr>
          <w:b/>
          <w:bCs/>
        </w:rPr>
        <w:t xml:space="preserve">[Oct 2026]</w:t>
      </w:r>
      <w:r>
        <w:t xml:space="preserve"> </w:t>
      </w:r>
      <w:r>
        <w:t xml:space="preserve">Earlier text concluded</w:t>
      </w:r>
      <w:r>
        <w:t xml:space="preserve"> </w:t>
      </w:r>
      <w:r>
        <w:t xml:space="preserve">“All four apply to ESVA.”</w:t>
      </w:r>
      <w:r>
        <w:t xml:space="preserve"> </w:t>
      </w:r>
      <w:r>
        <w:t xml:space="preserve">Points (1), (2) and (4) apply in principle, but none has been demonstrated on ESVA. Point (3) comes from lagoons with far higher OWTS density and much longer residence times.</w:t>
      </w:r>
    </w:p>
    <w:bookmarkEnd w:id="12"/>
    <w:bookmarkStart w:id="13" w:name="strength-of-evidence-assessment"/>
    <w:p>
      <w:pPr>
        <w:pStyle w:val="Heading2"/>
      </w:pPr>
      <w:r>
        <w:t xml:space="preserve">Strength-of-evidence assessment</w:t>
      </w:r>
    </w:p>
    <w:p>
      <w:pPr>
        <w:pStyle w:val="FirstParagraph"/>
      </w:pPr>
      <w:r>
        <w:t xml:space="preserve">Evidence is asymmetric. It is very strong for the pathogen/closure mechanism in general and moderate for the nutrient/physiology mechanism. It is weak for direct quantitative attribution of specific ESVA closure days or production losses to OWTS.</w:t>
      </w:r>
      <w:r>
        <w:t xml:space="preserve"> </w:t>
      </w:r>
      <w:r>
        <w:rPr>
          <w:b/>
          <w:bCs/>
        </w:rPr>
        <w:t xml:space="preserve">[Oct 2026]</w:t>
      </w:r>
      <w:r>
        <w:t xml:space="preserve"> </w:t>
      </w:r>
      <w:r>
        <w:t xml:space="preserve">Earlier text also rated</w:t>
      </w:r>
      <w:r>
        <w:t xml:space="preserve"> </w:t>
      </w:r>
      <w:r>
        <w:t xml:space="preserve">“ESVA spatial overlap of OWTS exposure with classified shellfish waters”</w:t>
      </w:r>
      <w:r>
        <w:t xml:space="preserve"> </w:t>
      </w:r>
      <w:r>
        <w:t xml:space="preserve">as strong; that is withdrawn, because no overlay has been published.</w:t>
      </w:r>
    </w:p>
    <w:p>
      <w:pPr>
        <w:pStyle w:val="BodyText"/>
      </w:pPr>
      <w:r>
        <w:rPr>
          <w:i/>
          <w:iCs/>
        </w:rPr>
        <w:t xml:space="preserve">Pathogen/closure mechanism — high confidence.</w:t>
      </w:r>
      <w:r>
        <w:t xml:space="preserve"> </w:t>
      </w:r>
      <w:r>
        <w:t xml:space="preserve">The OWTS-to-fecal-coliform link in shellfish waters is mechanistically clear and supported by decades of regulatory monitoring. The NSSP/FDA framework routinely identifies OWTS-dense watersheds as closure contributors. Buzzards Bay, Narragansett, Pamlico, and ShellCast each independently confirm exceedance probability rising with OWTS density and rainfall-pulse intensity. DSS shoreline surveys on ESVA walk the buffer and enumerate OWTS.</w:t>
      </w:r>
      <w:r>
        <w:t xml:space="preserve"> </w:t>
      </w:r>
      <w:r>
        <w:rPr>
          <w:b/>
          <w:bCs/>
        </w:rPr>
        <w:t xml:space="preserve">[Oct 2026, withdrawn]</w:t>
      </w:r>
      <w:r>
        <w:t xml:space="preserve"> </w:t>
      </w:r>
      <w:r>
        <w:t xml:space="preserve">Earlier text said</w:t>
      </w:r>
      <w:r>
        <w:t xml:space="preserve"> </w:t>
      </w:r>
      <w:r>
        <w:t xml:space="preserve">“the mapping of closed waters onto residentially developed creek headwaters is qualitatively exact.”</w:t>
      </w:r>
      <w:r>
        <w:t xml:space="preserve"> </w:t>
      </w:r>
      <w:r>
        <w:t xml:space="preserve">No such mapping has been published, and NSSP-required closures around marinas and outfalls confound any visual impression.</w:t>
      </w:r>
    </w:p>
    <w:p>
      <w:pPr>
        <w:pStyle w:val="BodyText"/>
      </w:pPr>
      <w:r>
        <w:rPr>
          <w:i/>
          <w:iCs/>
        </w:rPr>
        <w:t xml:space="preserve">ESVA OWTS exposure — moderate</w:t>
      </w:r>
      <w:r>
        <w:t xml:space="preserve"> </w:t>
      </w:r>
      <w:r>
        <w:rPr>
          <w:b/>
          <w:bCs/>
        </w:rPr>
        <w:t xml:space="preserve">[Oct 2026: was</w:t>
      </w:r>
      <w:r>
        <w:rPr>
          <w:b/>
          <w:bCs/>
        </w:rPr>
        <w:t xml:space="preserve"> </w:t>
      </w:r>
      <w:r>
        <w:rPr>
          <w:b/>
          <w:bCs/>
        </w:rPr>
        <w:t xml:space="preserve">“high confidence”</w:t>
      </w:r>
      <w:r>
        <w:rPr>
          <w:b/>
          <w:bCs/>
        </w:rPr>
        <w:t xml:space="preserve">]</w:t>
      </w:r>
      <w:r>
        <w:t xml:space="preserve">. Earlier text said Mitchell et al. (2021) and RD883 (2021)</w:t>
      </w:r>
      <w:r>
        <w:t xml:space="preserve"> </w:t>
      </w:r>
      <w:r>
        <w:t xml:space="preserve">“independently identify ESVA as the most OWTS-exposed coastal Virginia locality.”</w:t>
      </w:r>
      <w:r>
        <w:t xml:space="preserve"> </w:t>
      </w:r>
      <w:r>
        <w:t xml:space="preserve">Neither does: Mitchell et al. is Tidewater-wide and does not analyze ESVA separately, and RD883 does not rank localities. Capps et al. (2020) is not an ESVA study. Thousands of ESVA parcels operate OWTS within the hydrogeologic buffer of classified shellfish waters; a non-trivial fraction are already marginal or inundated; both counts will rise with SLR.</w:t>
      </w:r>
    </w:p>
    <w:p>
      <w:pPr>
        <w:pStyle w:val="BodyText"/>
      </w:pPr>
      <w:r>
        <w:rPr>
          <w:i/>
          <w:iCs/>
        </w:rPr>
        <w:t xml:space="preserve">Virus–indicator discordance — mechanism high confidence, ESVA local data absent.</w:t>
      </w:r>
      <w:r>
        <w:t xml:space="preserve"> </w:t>
      </w:r>
      <w:r>
        <w:t xml:space="preserve">Lipp et al. (2001), Campos et al. (2015, 2017), Iwamoto et al. (2010), and Lowther et al. (2021) close the mechanistic case that fecal coliform is a poor proxy for norovirus and depuration does not clear it. No published norovirus survey of ESVA shellfish tissue or water exists; the ESVA conclusion is imported from the analogue literature.</w:t>
      </w:r>
    </w:p>
    <w:p>
      <w:pPr>
        <w:pStyle w:val="BodyText"/>
      </w:pPr>
      <w:r>
        <w:rPr>
          <w:i/>
          <w:iCs/>
        </w:rPr>
        <w:t xml:space="preserve">Nutrient/physiology mechanism — moderate confidence.</w:t>
      </w:r>
      <w:r>
        <w:t xml:space="preserve"> </w:t>
      </w:r>
      <w:r>
        <w:t xml:space="preserve">Waldbusser et al. (2015), Gobler &amp; Talmage (2013), and the coastal-acidification literature establish physiological dose-response curves for</w:t>
      </w:r>
      <w:r>
        <w:t xml:space="preserve"> </w:t>
      </w:r>
      <w:r>
        <w:rPr>
          <w:i/>
          <w:iCs/>
        </w:rPr>
        <w:t xml:space="preserve">C. virginica</w:t>
      </w:r>
      <w:r>
        <w:t xml:space="preserve"> </w:t>
      </w:r>
      <w:r>
        <w:t xml:space="preserve">and</w:t>
      </w:r>
      <w:r>
        <w:t xml:space="preserve"> </w:t>
      </w:r>
      <w:r>
        <w:rPr>
          <w:i/>
          <w:iCs/>
        </w:rPr>
        <w:t xml:space="preserve">M. mercenaria</w:t>
      </w:r>
      <w:r>
        <w:t xml:space="preserve"> </w:t>
      </w:r>
      <w:r>
        <w:t xml:space="preserve">larvae; the brown-tide literature establishes HAB impacts on bivalve feeding. The direct link from OWTS N to ESVA growing-area water chemistry rests on importing parameterized curves — VCR LTER and CBP monitoring are not designed for growing-area-scale attribution.</w:t>
      </w:r>
    </w:p>
    <w:p>
      <w:pPr>
        <w:pStyle w:val="BodyText"/>
      </w:pPr>
      <w:r>
        <w:rPr>
          <w:i/>
          <w:iCs/>
        </w:rPr>
        <w:t xml:space="preserve">Habitat mediation — moderate confidence.</w:t>
      </w:r>
      <w:r>
        <w:t xml:space="preserve"> </w:t>
      </w:r>
      <w:r>
        <w:t xml:space="preserve">Seagrass loss → bay scallop and juvenile finfish decline is well-established in the Long Island and ESVA-seaside records. Oyster-reef condition → juvenile blue crab and fish nursery function is established in principle (Newell 2004; Coen et al. 2007) but ESVA-specific quantification is limited. Pathways 3a/3b provide the OWTS-to-SAV chain; Pathway 4 inherits it.</w:t>
      </w:r>
    </w:p>
    <w:p>
      <w:pPr>
        <w:pStyle w:val="BodyText"/>
      </w:pPr>
      <w:r>
        <w:rPr>
          <w:i/>
          <w:iCs/>
        </w:rPr>
        <w:t xml:space="preserve">Direct ESVA attribution — low confidence.</w:t>
      </w:r>
      <w:r>
        <w:t xml:space="preserve"> </w:t>
      </w:r>
      <w:r>
        <w:t xml:space="preserve">The biggest evidentiary weakness. No published ESVA study has quantified what fraction of DSS closure days are attributable to OWTS vs. stormwater, wildlife, or agriculture. No ESVA study has used microbial source tracking (HF183, F+ coliphage, crAssphage, enteric-virus PCR) to quantify the human-fecal fraction; none has matched OWTS-density gradients to closure-day gradients.</w:t>
      </w:r>
    </w:p>
    <w:p>
      <w:pPr>
        <w:pStyle w:val="BodyText"/>
      </w:pPr>
      <w:r>
        <w:rPr>
          <w:i/>
          <w:iCs/>
        </w:rPr>
        <w:t xml:space="preserve">Overall.</w:t>
      </w:r>
      <w:r>
        <w:t xml:space="preserve"> </w:t>
      </w:r>
      <w:r>
        <w:rPr>
          <w:b/>
          <w:bCs/>
        </w:rPr>
        <w:t xml:space="preserve">[Oct 2026, revised]</w:t>
      </w:r>
      <w:r>
        <w:t xml:space="preserve"> </w:t>
      </w:r>
      <w:r>
        <w:t xml:space="preserve">The case that failing OWTS could affect ESVA shellfish grounds rests on a strong analogue record from more densely developed coasts and a strong general mechanism. There is no published ESVA attribution, and VDH reports no widespread septic-related shellfish contamination on the Shore. Earlier text cited</w:t>
      </w:r>
      <w:r>
        <w:t xml:space="preserve"> </w:t>
      </w:r>
      <w:r>
        <w:t xml:space="preserve">“a strong spatial-overlap argument”</w:t>
      </w:r>
      <w:r>
        <w:t xml:space="preserve"> </w:t>
      </w:r>
      <w:r>
        <w:t xml:space="preserve">and called OWTS</w:t>
      </w:r>
      <w:r>
        <w:t xml:space="preserve"> </w:t>
      </w:r>
      <w:r>
        <w:t xml:space="preserve">“a first-order threat to the ESVA shellfish industry”</w:t>
      </w:r>
      <w:r>
        <w:t xml:space="preserve">; both are withdrawn. OWTS is a plausible contributor whose local share is unmeasured. For specific management decisions (e.g., sewer-extension cost-benefit in a specific creek), the targeted studies in Data gaps are needed.</w:t>
      </w:r>
    </w:p>
    <w:bookmarkEnd w:id="13"/>
    <w:bookmarkStart w:id="14" w:name="data-gaps"/>
    <w:p>
      <w:pPr>
        <w:pStyle w:val="Heading2"/>
      </w:pPr>
      <w:r>
        <w:t xml:space="preserve">Data gaps</w:t>
      </w:r>
    </w:p>
    <w:p>
      <w:pPr>
        <w:numPr>
          <w:ilvl w:val="0"/>
          <w:numId w:val="1002"/>
        </w:numPr>
      </w:pPr>
      <w:r>
        <w:rPr>
          <w:i/>
          <w:iCs/>
        </w:rPr>
        <w:t xml:space="preserve">Microbial source tracking.</w:t>
      </w:r>
      <w:r>
        <w:t xml:space="preserve"> </w:t>
      </w:r>
      <w:r>
        <w:t xml:space="preserve">No published HF183, F+ coliphage, or crAssphage survey pairs ESVA creeks with simultaneous OWTS-density mapping. A targeted MST campaign across an ESVA OWTS-density gradient would directly quantify the OWTS fraction of fecal indicator loading — the attribution DSS shoreline surveys cannot produce.</w:t>
      </w:r>
    </w:p>
    <w:p>
      <w:pPr>
        <w:numPr>
          <w:ilvl w:val="0"/>
          <w:numId w:val="1002"/>
        </w:numPr>
      </w:pPr>
      <w:r>
        <w:rPr>
          <w:i/>
          <w:iCs/>
        </w:rPr>
        <w:t xml:space="preserve">Quantitative closure-day attribution.</w:t>
      </w:r>
      <w:r>
        <w:t xml:space="preserve"> </w:t>
      </w:r>
      <w:r>
        <w:t xml:space="preserve">DSS Conditional Shellfish Harvesting Area Status records contain years of closure-day data for every conditionally approved ESVA growing area, but no published analysis has decomposed closure-day counts by source or related closure-day trends to shoreline OWTS density. A retrospective using existing DSS and parcel data would yield a quantitative</w:t>
      </w:r>
      <w:r>
        <w:t xml:space="preserve"> </w:t>
      </w:r>
      <w:r>
        <w:t xml:space="preserve">“closure days per OWTS-density unit”</w:t>
      </w:r>
      <w:r>
        <w:t xml:space="preserve"> </w:t>
      </w:r>
      <w:r>
        <w:t xml:space="preserve">figure.</w:t>
      </w:r>
    </w:p>
    <w:p>
      <w:pPr>
        <w:numPr>
          <w:ilvl w:val="0"/>
          <w:numId w:val="1002"/>
        </w:numPr>
      </w:pPr>
      <w:r>
        <w:rPr>
          <w:i/>
          <w:iCs/>
        </w:rPr>
        <w:t xml:space="preserve">Norovirus prevalence in ESVA shellfish tissue and water.</w:t>
      </w:r>
      <w:r>
        <w:t xml:space="preserve"> </w:t>
      </w:r>
      <w:r>
        <w:t xml:space="preserve">No published survey of norovirus GI/GII or human enteric adenovirus in ESVA harvest water or shellfish tissue exists — simultaneously a public-health and ecological gap given the indicator-virus discordance.</w:t>
      </w:r>
    </w:p>
    <w:p>
      <w:pPr>
        <w:numPr>
          <w:ilvl w:val="0"/>
          <w:numId w:val="1002"/>
        </w:numPr>
      </w:pPr>
      <w:r>
        <w:rPr>
          <w:i/>
          <w:iCs/>
        </w:rPr>
        <w:t xml:space="preserve">Parcel-level OWTS N loading to growing areas.</w:t>
      </w:r>
      <w:r>
        <w:t xml:space="preserve"> </w:t>
      </w:r>
      <w:r>
        <w:t xml:space="preserve">The Valiela Nitrogen Loading Model has not been parameterized and applied at the ESVA growing-area scale; application with ESVA-specific attenuation coefficients would produce a parcel-level expected-N-loading map for each classified growing area.</w:t>
      </w:r>
    </w:p>
    <w:p>
      <w:pPr>
        <w:numPr>
          <w:ilvl w:val="0"/>
          <w:numId w:val="1002"/>
        </w:numPr>
      </w:pPr>
      <w:r>
        <w:rPr>
          <w:i/>
          <w:iCs/>
        </w:rPr>
        <w:t xml:space="preserve">Farm-level water-quality records.</w:t>
      </w:r>
      <w:r>
        <w:t xml:space="preserve"> </w:t>
      </w:r>
      <w:r>
        <w:t xml:space="preserve">Leaseholder pH, DO, chl-a, and turbidity data exist informally for several ESVA farms but are not collated into a research-quality time series. A formal network — with VIMS Eastern Shore Lab — would close the gap between regulatory (fecal coliform only) monitoring and the nutrient/physiology endpoints that drive production.</w:t>
      </w:r>
    </w:p>
    <w:p>
      <w:pPr>
        <w:numPr>
          <w:ilvl w:val="0"/>
          <w:numId w:val="1002"/>
        </w:numPr>
      </w:pPr>
      <w:r>
        <w:rPr>
          <w:i/>
          <w:iCs/>
        </w:rPr>
        <w:t xml:space="preserve">Economic-ecological coupling.</w:t>
      </w:r>
      <w:r>
        <w:t xml:space="preserve"> </w:t>
      </w:r>
      <w:r>
        <w:t xml:space="preserve">The VIMS Situation &amp; Outlook Report quantifies aggregate value but does not decompose production losses by closure days or water-quality events at lease scale. Lease-level production-and-closure datasets would permit</w:t>
      </w:r>
      <w:r>
        <w:t xml:space="preserve"> </w:t>
      </w:r>
      <w:r>
        <w:t xml:space="preserve">“dollars per OWTS-delivered kg N”</w:t>
      </w:r>
      <w:r>
        <w:t xml:space="preserve"> </w:t>
      </w:r>
      <w:r>
        <w:t xml:space="preserve">and</w:t>
      </w:r>
      <w:r>
        <w:t xml:space="preserve"> </w:t>
      </w:r>
      <w:r>
        <w:t xml:space="preserve">“dollars per closure day per unit area”</w:t>
      </w:r>
      <w:r>
        <w:t xml:space="preserve"> </w:t>
      </w:r>
      <w:r>
        <w:t xml:space="preserve">estimates.</w:t>
      </w:r>
    </w:p>
    <w:p>
      <w:pPr>
        <w:numPr>
          <w:ilvl w:val="0"/>
          <w:numId w:val="1002"/>
        </w:numPr>
      </w:pPr>
      <w:r>
        <w:rPr>
          <w:i/>
          <w:iCs/>
        </w:rPr>
        <w:t xml:space="preserve">SLR trajectory for closure-day burden.</w:t>
      </w:r>
      <w:r>
        <w:t xml:space="preserve"> </w:t>
      </w:r>
      <w:r>
        <w:t xml:space="preserve">No study has combined ESVA OWTS-inundation projections (Hesamfar et al., in review; Mitchell et al. 2021 is Tidewater-wide</w:t>
      </w:r>
      <w:r>
        <w:t xml:space="preserve"> </w:t>
      </w:r>
      <w:r>
        <w:rPr>
          <w:b/>
          <w:bCs/>
        </w:rPr>
        <w:t xml:space="preserve">[Oct 2026]</w:t>
      </w:r>
      <w:r>
        <w:t xml:space="preserve">) with rainfall-pulse scenarios and DSS records to forecast 2030–2050 closure-day burden by ESVA growing area.</w:t>
      </w:r>
    </w:p>
    <w:p>
      <w:pPr>
        <w:numPr>
          <w:ilvl w:val="0"/>
          <w:numId w:val="1002"/>
        </w:numPr>
      </w:pPr>
      <w:r>
        <w:rPr>
          <w:i/>
          <w:iCs/>
        </w:rPr>
        <w:t xml:space="preserve">Gear-specific exposure geometry.</w:t>
      </w:r>
      <w:r>
        <w:t xml:space="preserve"> </w:t>
      </w:r>
      <w:r>
        <w:t xml:space="preserve">Cage-cultured floating oysters, bottom-planted oysters, and bottom hard clams experience different exposures to bottom-derived pathogens and HABs; these have not been quantified for ESVA practice.</w:t>
      </w:r>
    </w:p>
    <w:p>
      <w:pPr>
        <w:numPr>
          <w:ilvl w:val="0"/>
          <w:numId w:val="1002"/>
        </w:numPr>
      </w:pPr>
      <w:r>
        <w:rPr>
          <w:i/>
          <w:iCs/>
        </w:rPr>
        <w:t xml:space="preserve">Disease–water-quality interactions.</w:t>
      </w:r>
      <w:r>
        <w:t xml:space="preserve"> </w:t>
      </w:r>
      <w:r>
        <w:t xml:space="preserve">Interactions between chronic nutrient enrichment and susceptibility to</w:t>
      </w:r>
      <w:r>
        <w:t xml:space="preserve"> </w:t>
      </w:r>
      <w:r>
        <w:rPr>
          <w:i/>
          <w:iCs/>
        </w:rPr>
        <w:t xml:space="preserve">Perkinsus marinus</w:t>
      </w:r>
      <w:r>
        <w:t xml:space="preserve"> </w:t>
      </w:r>
      <w:r>
        <w:t xml:space="preserve">(Dermo) and</w:t>
      </w:r>
      <w:r>
        <w:t xml:space="preserve"> </w:t>
      </w:r>
      <w:r>
        <w:rPr>
          <w:i/>
          <w:iCs/>
        </w:rPr>
        <w:t xml:space="preserve">Haplosporidium nelsoni</w:t>
      </w:r>
      <w:r>
        <w:t xml:space="preserve"> </w:t>
      </w:r>
      <w:r>
        <w:t xml:space="preserve">(MSX) in ESVA cultured oyster stocks are documented only in general terms, despite disease being a major production driver.</w:t>
      </w:r>
    </w:p>
    <w:bookmarkEnd w:id="14"/>
    <w:bookmarkStart w:id="15" w:name="references"/>
    <w:p>
      <w:pPr>
        <w:pStyle w:val="Heading2"/>
      </w:pPr>
      <w:r>
        <w:t xml:space="preserve">References</w:t>
      </w:r>
    </w:p>
    <w:p>
      <w:pPr>
        <w:pStyle w:val="Compact"/>
        <w:numPr>
          <w:ilvl w:val="0"/>
          <w:numId w:val="1003"/>
        </w:numPr>
      </w:pPr>
      <w:r>
        <w:t xml:space="preserve">Camp, E. V., Pine, W. E. III, Havens, K., Kane, A. S., Walters, C. J., Irani, T., Lindsey, A. B., &amp; Morris, J. G. Jr. (2015). Collapse of a historic oyster fishery: diagnosing causes and identifying paths toward increased resilience.</w:t>
      </w:r>
      <w:r>
        <w:t xml:space="preserve"> </w:t>
      </w:r>
      <w:r>
        <w:rPr>
          <w:i/>
          <w:iCs/>
        </w:rPr>
        <w:t xml:space="preserve">Ecology and Society</w:t>
      </w:r>
      <w:r>
        <w:t xml:space="preserve"> </w:t>
      </w:r>
      <w:r>
        <w:t xml:space="preserve">20(3):45.</w:t>
      </w:r>
    </w:p>
    <w:p>
      <w:pPr>
        <w:pStyle w:val="Compact"/>
        <w:numPr>
          <w:ilvl w:val="0"/>
          <w:numId w:val="1003"/>
        </w:numPr>
      </w:pPr>
      <w:r>
        <w:t xml:space="preserve">Campos, C. J. A., Kershaw, S. R., &amp; Lees, D. N. (2013). Environmental influences on faecal indicator organisms in coastal waters and their accumulation in bivalve shellfish.</w:t>
      </w:r>
      <w:r>
        <w:t xml:space="preserve"> </w:t>
      </w:r>
      <w:r>
        <w:rPr>
          <w:i/>
          <w:iCs/>
        </w:rPr>
        <w:t xml:space="preserve">Estuaries and Coasts</w:t>
      </w:r>
      <w:r>
        <w:t xml:space="preserve"> </w:t>
      </w:r>
      <w:r>
        <w:t xml:space="preserve">36:834–853.</w:t>
      </w:r>
    </w:p>
    <w:p>
      <w:pPr>
        <w:pStyle w:val="Compact"/>
        <w:numPr>
          <w:ilvl w:val="0"/>
          <w:numId w:val="1003"/>
        </w:numPr>
      </w:pPr>
      <w:r>
        <w:t xml:space="preserve">Campos, C. J. A., Avant, J., Gustar, N., Lowther, J., Powell, A., Stockley, L., &amp; Lees, D. N. (2015). Fate of human noroviruses in shellfish and water impacted by frequent sewage pollution events.</w:t>
      </w:r>
      <w:r>
        <w:t xml:space="preserve"> </w:t>
      </w:r>
      <w:r>
        <w:rPr>
          <w:i/>
          <w:iCs/>
        </w:rPr>
        <w:t xml:space="preserve">Environmental Science &amp; Technology</w:t>
      </w:r>
      <w:r>
        <w:t xml:space="preserve"> </w:t>
      </w:r>
      <w:r>
        <w:t xml:space="preserve">49:8377–8385.</w:t>
      </w:r>
    </w:p>
    <w:p>
      <w:pPr>
        <w:pStyle w:val="Compact"/>
        <w:numPr>
          <w:ilvl w:val="0"/>
          <w:numId w:val="1003"/>
        </w:numPr>
      </w:pPr>
      <w:r>
        <w:t xml:space="preserve">Campos, C. J. A., Avant, J., Lowther, J., Till, D., Le Saux, J.-C., Atmar, R. L., &amp; Lees, D. N. (2017). Determination of norovirus concentrations in the digestive tissue of oysters: sampling and handling considerations.</w:t>
      </w:r>
      <w:r>
        <w:t xml:space="preserve"> </w:t>
      </w:r>
      <w:r>
        <w:rPr>
          <w:i/>
          <w:iCs/>
        </w:rPr>
        <w:t xml:space="preserve">Food and Environmental Virology</w:t>
      </w:r>
      <w:r>
        <w:t xml:space="preserve"> </w:t>
      </w:r>
      <w:r>
        <w:t xml:space="preserve">9:140–147.</w:t>
      </w:r>
    </w:p>
    <w:p>
      <w:pPr>
        <w:pStyle w:val="Compact"/>
        <w:numPr>
          <w:ilvl w:val="0"/>
          <w:numId w:val="1003"/>
        </w:numPr>
      </w:pPr>
      <w:r>
        <w:t xml:space="preserve">[Oct 2026: this entry could not be verified, and it conflicts with the Capps 2020 entries in other pathway files. The verified OWTS risk paper is Capps, K. A., Bateman McDonald, J. M., Gaur, N., &amp; Parsons, R. (2020). Assessing the socio-environmental risk of onsite wastewater treatment systems to inform management decisions.</w:t>
      </w:r>
      <w:r>
        <w:t xml:space="preserve"> </w:t>
      </w:r>
      <w:r>
        <w:rPr>
          <w:i/>
          <w:iCs/>
        </w:rPr>
        <w:t xml:space="preserve">Environmental Science &amp; Technology</w:t>
      </w:r>
      <w:r>
        <w:t xml:space="preserve"> </w:t>
      </w:r>
      <w:r>
        <w:t xml:space="preserve">54:14843–14853. It is a single-jurisdiction framework study and does not address ESVA.] Capps, K. A., Bentsen, C. N., &amp; Ramírez, A. (2020). Poverty, race, and CKD in a regional U.S. South septic-dependent community: socio-environmental determinants of risk.</w:t>
      </w:r>
      <w:r>
        <w:t xml:space="preserve"> </w:t>
      </w:r>
      <w:r>
        <w:rPr>
          <w:i/>
          <w:iCs/>
        </w:rPr>
        <w:t xml:space="preserve">Environmental Science &amp; Technology</w:t>
      </w:r>
      <w:r>
        <w:t xml:space="preserve"> </w:t>
      </w:r>
      <w:r>
        <w:t xml:space="preserve">54:14585–14588.</w:t>
      </w:r>
    </w:p>
    <w:p>
      <w:pPr>
        <w:pStyle w:val="Compact"/>
        <w:numPr>
          <w:ilvl w:val="0"/>
          <w:numId w:val="1003"/>
        </w:numPr>
      </w:pPr>
      <w:r>
        <w:t xml:space="preserve">Coen, L. D., Brumbaugh, R. D., Bushek, D., Grizzle, R., Luckenbach, M. W., Posey, M. H., Powers, S. P., &amp; Tolley, S. G. (2007). Ecosystem services related to oyster restoration.</w:t>
      </w:r>
      <w:r>
        <w:t xml:space="preserve"> </w:t>
      </w:r>
      <w:r>
        <w:rPr>
          <w:i/>
          <w:iCs/>
        </w:rPr>
        <w:t xml:space="preserve">Marine Ecology Progress Series</w:t>
      </w:r>
      <w:r>
        <w:t xml:space="preserve"> </w:t>
      </w:r>
      <w:r>
        <w:t xml:space="preserve">341:303–307.</w:t>
      </w:r>
    </w:p>
    <w:p>
      <w:pPr>
        <w:pStyle w:val="Compact"/>
        <w:numPr>
          <w:ilvl w:val="0"/>
          <w:numId w:val="1003"/>
        </w:numPr>
      </w:pPr>
      <w:r>
        <w:t xml:space="preserve">FDA / Interstate Shellfish Sanitation Conference (2019). National Shellfish Sanitation Program Guide for the Control of Molluscan Shellfish: Model Ordinance.</w:t>
      </w:r>
    </w:p>
    <w:p>
      <w:pPr>
        <w:pStyle w:val="Compact"/>
        <w:numPr>
          <w:ilvl w:val="0"/>
          <w:numId w:val="1003"/>
        </w:numPr>
      </w:pPr>
      <w:r>
        <w:t xml:space="preserve">Gobler, C. J., Boneillo, G. E., Debenham, C. J., &amp; Caron, D. A. (2005). Nutrient limitation, organic matter cycling, and plankton dynamics during an</w:t>
      </w:r>
      <w:r>
        <w:t xml:space="preserve"> </w:t>
      </w:r>
      <w:r>
        <w:rPr>
          <w:i/>
          <w:iCs/>
        </w:rPr>
        <w:t xml:space="preserve">Aureococcus anophagefferens</w:t>
      </w:r>
      <w:r>
        <w:t xml:space="preserve"> </w:t>
      </w:r>
      <w:r>
        <w:t xml:space="preserve">bloom.</w:t>
      </w:r>
      <w:r>
        <w:t xml:space="preserve"> </w:t>
      </w:r>
      <w:r>
        <w:rPr>
          <w:i/>
          <w:iCs/>
        </w:rPr>
        <w:t xml:space="preserve">Aquatic Microbial Ecology</w:t>
      </w:r>
      <w:r>
        <w:t xml:space="preserve"> </w:t>
      </w:r>
      <w:r>
        <w:t xml:space="preserve">38:171–187.</w:t>
      </w:r>
    </w:p>
    <w:p>
      <w:pPr>
        <w:pStyle w:val="Compact"/>
        <w:numPr>
          <w:ilvl w:val="0"/>
          <w:numId w:val="1003"/>
        </w:numPr>
      </w:pPr>
      <w:r>
        <w:t xml:space="preserve">Gobler, C. J., &amp; Talmage, S. C. (2013). Short- and long-term consequences of larval stage exposure to constantly and ephemerally elevated carbon dioxide for marine bivalve populations.</w:t>
      </w:r>
      <w:r>
        <w:t xml:space="preserve"> </w:t>
      </w:r>
      <w:r>
        <w:rPr>
          <w:i/>
          <w:iCs/>
        </w:rPr>
        <w:t xml:space="preserve">Biogeosciences</w:t>
      </w:r>
      <w:r>
        <w:t xml:space="preserve"> </w:t>
      </w:r>
      <w:r>
        <w:t xml:space="preserve">10:2241–2253.</w:t>
      </w:r>
    </w:p>
    <w:p>
      <w:pPr>
        <w:pStyle w:val="Compact"/>
        <w:numPr>
          <w:ilvl w:val="0"/>
          <w:numId w:val="1003"/>
        </w:numPr>
      </w:pPr>
      <w:r>
        <w:t xml:space="preserve">Havens, K., Allen, M., Camp, E., Irani, T., Lindsey, A., Morris, J. G. Jr., Kane, A., &amp; Pine, W. E. III (2013). Apalachicola Bay Oyster Situation Report. University of Florida IFAS/Florida Sea Grant TP-200.</w:t>
      </w:r>
    </w:p>
    <w:p>
      <w:pPr>
        <w:pStyle w:val="Compact"/>
        <w:numPr>
          <w:ilvl w:val="0"/>
          <w:numId w:val="1003"/>
        </w:numPr>
      </w:pPr>
      <w:r>
        <w:t xml:space="preserve">Hudson, K. (2018, 2025). Virginia Shellfish Aquaculture Situation and Outlook Report. VIMS Marine Advisory Program / Virginia Sea Grant.</w:t>
      </w:r>
    </w:p>
    <w:p>
      <w:pPr>
        <w:pStyle w:val="Compact"/>
        <w:numPr>
          <w:ilvl w:val="0"/>
          <w:numId w:val="1003"/>
        </w:numPr>
      </w:pPr>
      <w:r>
        <w:t xml:space="preserve">Iwamoto, M., Ayers, T., Mahon, B. E., &amp; Swerdlow, D. L. (2010). Epidemiology of seafood-associated infections in the United States.</w:t>
      </w:r>
      <w:r>
        <w:t xml:space="preserve"> </w:t>
      </w:r>
      <w:r>
        <w:rPr>
          <w:i/>
          <w:iCs/>
        </w:rPr>
        <w:t xml:space="preserve">Clinical Microbiology Reviews</w:t>
      </w:r>
      <w:r>
        <w:t xml:space="preserve"> </w:t>
      </w:r>
      <w:r>
        <w:t xml:space="preserve">23:399–411.</w:t>
      </w:r>
    </w:p>
    <w:p>
      <w:pPr>
        <w:pStyle w:val="Compact"/>
        <w:numPr>
          <w:ilvl w:val="0"/>
          <w:numId w:val="1003"/>
        </w:numPr>
      </w:pPr>
      <w:r>
        <w:t xml:space="preserve">Kinney, E. L., &amp; Valiela, I. (2011). Nitrogen loading to Great South Bay: land use, sources, retention, and transport from land to bay.</w:t>
      </w:r>
      <w:r>
        <w:t xml:space="preserve"> </w:t>
      </w:r>
      <w:r>
        <w:rPr>
          <w:i/>
          <w:iCs/>
        </w:rPr>
        <w:t xml:space="preserve">Journal of Coastal Research</w:t>
      </w:r>
      <w:r>
        <w:t xml:space="preserve"> </w:t>
      </w:r>
      <w:r>
        <w:t xml:space="preserve">27:672–686.</w:t>
      </w:r>
    </w:p>
    <w:p>
      <w:pPr>
        <w:pStyle w:val="Compact"/>
        <w:numPr>
          <w:ilvl w:val="0"/>
          <w:numId w:val="1003"/>
        </w:numPr>
      </w:pPr>
      <w:r>
        <w:t xml:space="preserve">Lapointe, B. E., Herren, L. W., Debortoli, D. D., &amp; Vogel, M. A. (2015). Evidence of sewage-driven eutrophication and harmful algal blooms in Florida’s Indian River Lagoon.</w:t>
      </w:r>
      <w:r>
        <w:t xml:space="preserve"> </w:t>
      </w:r>
      <w:r>
        <w:rPr>
          <w:i/>
          <w:iCs/>
        </w:rPr>
        <w:t xml:space="preserve">Harmful Algae</w:t>
      </w:r>
      <w:r>
        <w:t xml:space="preserve"> </w:t>
      </w:r>
      <w:r>
        <w:t xml:space="preserve">43:82–102.</w:t>
      </w:r>
    </w:p>
    <w:p>
      <w:pPr>
        <w:pStyle w:val="Compact"/>
        <w:numPr>
          <w:ilvl w:val="0"/>
          <w:numId w:val="1003"/>
        </w:numPr>
      </w:pPr>
      <w:r>
        <w:t xml:space="preserve">Lapointe, B. E., Herren, L. W., &amp; Paule, A. L. (2017). Septic systems contribute to nutrient pollution and harmful algal blooms in the St. Lucie Estuary, Southeast Florida, USA.</w:t>
      </w:r>
      <w:r>
        <w:t xml:space="preserve"> </w:t>
      </w:r>
      <w:r>
        <w:rPr>
          <w:i/>
          <w:iCs/>
        </w:rPr>
        <w:t xml:space="preserve">Harmful Algae</w:t>
      </w:r>
      <w:r>
        <w:t xml:space="preserve"> </w:t>
      </w:r>
      <w:r>
        <w:t xml:space="preserve">70:1–22.</w:t>
      </w:r>
    </w:p>
    <w:p>
      <w:pPr>
        <w:pStyle w:val="Compact"/>
        <w:numPr>
          <w:ilvl w:val="0"/>
          <w:numId w:val="1003"/>
        </w:numPr>
      </w:pPr>
      <w:r>
        <w:t xml:space="preserve">Lapointe, B. E., Herren, L. W., Brewton, R. A., &amp; Alderman, P. K. (2020). Nutrient over-enrichment and light limitation of seagrass communities in the Indian River Lagoon.</w:t>
      </w:r>
      <w:r>
        <w:t xml:space="preserve"> </w:t>
      </w:r>
      <w:r>
        <w:rPr>
          <w:i/>
          <w:iCs/>
        </w:rPr>
        <w:t xml:space="preserve">Science of the Total Environment</w:t>
      </w:r>
      <w:r>
        <w:t xml:space="preserve"> </w:t>
      </w:r>
      <w:r>
        <w:t xml:space="preserve">699:134068.</w:t>
      </w:r>
    </w:p>
    <w:p>
      <w:pPr>
        <w:pStyle w:val="Compact"/>
        <w:numPr>
          <w:ilvl w:val="0"/>
          <w:numId w:val="1003"/>
        </w:numPr>
      </w:pPr>
      <w:r>
        <w:t xml:space="preserve">Lapointe, B. E., Brewton, R. A., Herren, L. W., Wang, M., Hu, C., McGillicuddy, D. J. Jr., et al. (2023). Nutrient source signatures in the Indian River Lagoon and St. Lucie Estuary reveal the relative importance of septic vs. fertilizer N.</w:t>
      </w:r>
      <w:r>
        <w:t xml:space="preserve"> </w:t>
      </w:r>
      <w:r>
        <w:rPr>
          <w:i/>
          <w:iCs/>
        </w:rPr>
        <w:t xml:space="preserve">Marine Pollution Bulletin</w:t>
      </w:r>
      <w:r>
        <w:t xml:space="preserve">.</w:t>
      </w:r>
    </w:p>
    <w:p>
      <w:pPr>
        <w:pStyle w:val="Compact"/>
        <w:numPr>
          <w:ilvl w:val="0"/>
          <w:numId w:val="1003"/>
        </w:numPr>
      </w:pPr>
      <w:r>
        <w:t xml:space="preserve">Lipp, E. K., Farrah, S. A., &amp; Rose, J. B. (2001). Assessment and impact of microbial fecal pollution and human enteric pathogens in a coastal community.</w:t>
      </w:r>
      <w:r>
        <w:t xml:space="preserve"> </w:t>
      </w:r>
      <w:r>
        <w:rPr>
          <w:i/>
          <w:iCs/>
        </w:rPr>
        <w:t xml:space="preserve">Marine Pollution Bulletin</w:t>
      </w:r>
      <w:r>
        <w:t xml:space="preserve"> </w:t>
      </w:r>
      <w:r>
        <w:t xml:space="preserve">42:286–293.</w:t>
      </w:r>
    </w:p>
    <w:p>
      <w:pPr>
        <w:pStyle w:val="Compact"/>
        <w:numPr>
          <w:ilvl w:val="0"/>
          <w:numId w:val="1003"/>
        </w:numPr>
      </w:pPr>
      <w:r>
        <w:t xml:space="preserve">Lowther, J. A., Gustar, N. E., Powell, A. L., Hartnell, R. E., &amp; Lees, D. N. (2021).</w:t>
      </w:r>
      <w:r>
        <w:t xml:space="preserve"> </w:t>
      </w:r>
      <w:r>
        <w:rPr>
          <w:i/>
          <w:iCs/>
        </w:rPr>
        <w:t xml:space="preserve">E. coli</w:t>
      </w:r>
      <w:r>
        <w:t xml:space="preserve"> </w:t>
      </w:r>
      <w:r>
        <w:t xml:space="preserve">is a poor end-product criterion for assessing the general microbial risk posed from consuming norovirus-contaminated shellfish.</w:t>
      </w:r>
      <w:r>
        <w:t xml:space="preserve"> </w:t>
      </w:r>
      <w:r>
        <w:rPr>
          <w:i/>
          <w:iCs/>
        </w:rPr>
        <w:t xml:space="preserve">Frontiers in Microbiology</w:t>
      </w:r>
      <w:r>
        <w:t xml:space="preserve"> </w:t>
      </w:r>
      <w:r>
        <w:t xml:space="preserve">12:608888.</w:t>
      </w:r>
    </w:p>
    <w:p>
      <w:pPr>
        <w:pStyle w:val="Compact"/>
        <w:numPr>
          <w:ilvl w:val="0"/>
          <w:numId w:val="1003"/>
        </w:numPr>
      </w:pPr>
      <w:r>
        <w:t xml:space="preserve">Mitchell, M., Isdell, R. E., Herman, J., &amp; Tombleson, C. (2021). Impact assessment and management challenges of key rural human health infrastructure under sea level rise.</w:t>
      </w:r>
      <w:r>
        <w:t xml:space="preserve"> </w:t>
      </w:r>
      <w:r>
        <w:rPr>
          <w:i/>
          <w:iCs/>
        </w:rPr>
        <w:t xml:space="preserve">Frontiers in Marine Science</w:t>
      </w:r>
      <w:r>
        <w:t xml:space="preserve"> </w:t>
      </w:r>
      <w:r>
        <w:t xml:space="preserve">8:631757. https://doi.org/10.3389/fmars.2021.631757</w:t>
      </w:r>
      <w:r>
        <w:t xml:space="preserve"> </w:t>
      </w:r>
      <w:r>
        <w:rPr>
          <w:b/>
          <w:bCs/>
        </w:rPr>
        <w:t xml:space="preserve">[Oct 2026: author list corrected]</w:t>
      </w:r>
    </w:p>
    <w:p>
      <w:pPr>
        <w:pStyle w:val="Compact"/>
        <w:numPr>
          <w:ilvl w:val="0"/>
          <w:numId w:val="1003"/>
        </w:numPr>
      </w:pPr>
      <w:r>
        <w:t xml:space="preserve">Nelson, N. G., Coffey, R., Muñoz, D. F., Moftakhari, H., Moradkhani, H., &amp; Kim, S. H. (2022). ShellCast: a modelling framework for forecasting shellfish harvest closures.</w:t>
      </w:r>
      <w:r>
        <w:t xml:space="preserve"> </w:t>
      </w:r>
      <w:r>
        <w:rPr>
          <w:i/>
          <w:iCs/>
        </w:rPr>
        <w:t xml:space="preserve">Environmental Modelling &amp; Software</w:t>
      </w:r>
      <w:r>
        <w:t xml:space="preserve">.</w:t>
      </w:r>
    </w:p>
    <w:p>
      <w:pPr>
        <w:pStyle w:val="Compact"/>
        <w:numPr>
          <w:ilvl w:val="0"/>
          <w:numId w:val="1003"/>
        </w:numPr>
      </w:pPr>
      <w:r>
        <w:t xml:space="preserve">Newell, R. I. E. (2004). Ecosystem influences of natural and cultivated populations of suspension-feeding bivalve molluscs: a review.</w:t>
      </w:r>
      <w:r>
        <w:t xml:space="preserve"> </w:t>
      </w:r>
      <w:r>
        <w:rPr>
          <w:i/>
          <w:iCs/>
        </w:rPr>
        <w:t xml:space="preserve">Journal of Shellfish Research</w:t>
      </w:r>
      <w:r>
        <w:t xml:space="preserve"> </w:t>
      </w:r>
      <w:r>
        <w:t xml:space="preserve">23:51–61.</w:t>
      </w:r>
    </w:p>
    <w:p>
      <w:pPr>
        <w:pStyle w:val="Compact"/>
        <w:numPr>
          <w:ilvl w:val="0"/>
          <w:numId w:val="1003"/>
        </w:numPr>
      </w:pPr>
      <w:r>
        <w:t xml:space="preserve">Phlips, E. J., Badylak, S., Lasi, M. A., Chamberlain, R., Green, W. C., Hall, L. M., Hart, J. A., Lockwood, J. C., Miller, J. D., Morris, L. J., &amp; Steward, J. S. (2015). From red tides to green and brown tides: bloom dynamics in a restricted subtropical lagoon.</w:t>
      </w:r>
      <w:r>
        <w:t xml:space="preserve"> </w:t>
      </w:r>
      <w:r>
        <w:rPr>
          <w:i/>
          <w:iCs/>
        </w:rPr>
        <w:t xml:space="preserve">Estuaries and Coasts</w:t>
      </w:r>
      <w:r>
        <w:t xml:space="preserve"> </w:t>
      </w:r>
      <w:r>
        <w:t xml:space="preserve">38:886–904.</w:t>
      </w:r>
    </w:p>
    <w:p>
      <w:pPr>
        <w:pStyle w:val="Compact"/>
        <w:numPr>
          <w:ilvl w:val="0"/>
          <w:numId w:val="1003"/>
        </w:numPr>
      </w:pPr>
      <w:r>
        <w:t xml:space="preserve">Rothschild, B. J., Ault, J. S., Goulletquer, P., &amp; Héral, M. (1994). Decline of the Chesapeake Bay oyster population: a century of habitat destruction and overfishing.</w:t>
      </w:r>
      <w:r>
        <w:t xml:space="preserve"> </w:t>
      </w:r>
      <w:r>
        <w:rPr>
          <w:i/>
          <w:iCs/>
        </w:rPr>
        <w:t xml:space="preserve">Marine Ecology Progress Series</w:t>
      </w:r>
      <w:r>
        <w:t xml:space="preserve"> </w:t>
      </w:r>
      <w:r>
        <w:t xml:space="preserve">111:29–39.</w:t>
      </w:r>
    </w:p>
    <w:p>
      <w:pPr>
        <w:pStyle w:val="Compact"/>
        <w:numPr>
          <w:ilvl w:val="0"/>
          <w:numId w:val="1003"/>
        </w:numPr>
      </w:pPr>
      <w:r>
        <w:t xml:space="preserve">US FDA (2019). National Shellfish Sanitation Program Guide for the Control of Molluscan Shellfish. Washington DC.</w:t>
      </w:r>
    </w:p>
    <w:p>
      <w:pPr>
        <w:pStyle w:val="Compact"/>
        <w:numPr>
          <w:ilvl w:val="0"/>
          <w:numId w:val="1003"/>
        </w:numPr>
      </w:pPr>
      <w:r>
        <w:t xml:space="preserve">Valiela, I., Collins, G., Kremer, J., Lajtha, K., Geist, M., Seely, B., Brawley, J., &amp; Sham, C. H. (1997). Nitrogen loading from coastal watersheds to receiving estuaries: new method and application.</w:t>
      </w:r>
      <w:r>
        <w:t xml:space="preserve"> </w:t>
      </w:r>
      <w:r>
        <w:rPr>
          <w:i/>
          <w:iCs/>
        </w:rPr>
        <w:t xml:space="preserve">Ecological Applications</w:t>
      </w:r>
      <w:r>
        <w:t xml:space="preserve"> </w:t>
      </w:r>
      <w:r>
        <w:t xml:space="preserve">7:358–380.</w:t>
      </w:r>
    </w:p>
    <w:p>
      <w:pPr>
        <w:pStyle w:val="Compact"/>
        <w:numPr>
          <w:ilvl w:val="0"/>
          <w:numId w:val="1003"/>
        </w:numPr>
      </w:pPr>
      <w:r>
        <w:t xml:space="preserve">Virginia Department of Health, Division of Shellfish Safety. Classification of Shellfish Growing Areas; Conditional Shellfish Harvesting Area Status; Accomack County and Northampton County Shellfish Closure and Shoreline Survey Documents. https://www.vdh.virginia.gov/environmental-health/environmental-health-services/shellfish-safety/</w:t>
      </w:r>
    </w:p>
    <w:p>
      <w:pPr>
        <w:pStyle w:val="Compact"/>
        <w:numPr>
          <w:ilvl w:val="0"/>
          <w:numId w:val="1003"/>
        </w:numPr>
      </w:pPr>
      <w:r>
        <w:t xml:space="preserve">Virginia General Assembly (2021). Wastewater Infrastructure Policy Working Group Report, RD883.</w:t>
      </w:r>
    </w:p>
    <w:p>
      <w:pPr>
        <w:pStyle w:val="Compact"/>
        <w:numPr>
          <w:ilvl w:val="0"/>
          <w:numId w:val="1003"/>
        </w:numPr>
      </w:pPr>
      <w:r>
        <w:t xml:space="preserve">VMRC — Virginia Marine Resources Commission. Commercial Landings Statistics, Hard Clam / Eastern Oyster / Blue Crab, Accomack and Northampton Counties.</w:t>
      </w:r>
    </w:p>
    <w:p>
      <w:pPr>
        <w:pStyle w:val="Compact"/>
        <w:numPr>
          <w:ilvl w:val="0"/>
          <w:numId w:val="1003"/>
        </w:numPr>
      </w:pPr>
      <w:r>
        <w:t xml:space="preserve">Waldbusser, G. G., Hales, B., Langdon, C. J., Haley, B. A., Schrader, P., Brunner, E. L., Gray, M. W., Miller, C. A., &amp; Gimenez, I. (2015). Saturation-state sensitivity of marine bivalve larvae to ocean acidification.</w:t>
      </w:r>
      <w:r>
        <w:t xml:space="preserve"> </w:t>
      </w:r>
      <w:r>
        <w:rPr>
          <w:i/>
          <w:iCs/>
        </w:rPr>
        <w:t xml:space="preserve">Nature Climate Change</w:t>
      </w:r>
      <w:r>
        <w:t xml:space="preserve"> </w:t>
      </w:r>
      <w:r>
        <w:t xml:space="preserve">5:273–280.</w:t>
      </w:r>
    </w:p>
    <w:p>
      <w:pPr>
        <w:pStyle w:val="Compact"/>
        <w:numPr>
          <w:ilvl w:val="0"/>
          <w:numId w:val="1003"/>
        </w:numPr>
      </w:pPr>
      <w:r>
        <w:t xml:space="preserve">Webby, R. J., Carville, K. S., Kirk, M. D., Greening, G., Ratcliff, R. M., Crerar, S. K., Dempsey, K., Sarna, M., Stafford, R., Patel, M., &amp; Hall, G. (2007). Internationally distributed frozen oyster meat causing multiple outbreaks of norovirus infection in Australia.</w:t>
      </w:r>
      <w:r>
        <w:t xml:space="preserve"> </w:t>
      </w:r>
      <w:r>
        <w:rPr>
          <w:i/>
          <w:iCs/>
        </w:rPr>
        <w:t xml:space="preserve">Clinical Infectious Diseases</w:t>
      </w:r>
      <w:r>
        <w:t xml:space="preserve"> </w:t>
      </w:r>
      <w:r>
        <w:t xml:space="preserve">44:1026–1031.</w:t>
      </w:r>
    </w:p>
    <w:p>
      <w:pPr>
        <w:pStyle w:val="Compact"/>
        <w:numPr>
          <w:ilvl w:val="0"/>
          <w:numId w:val="1003"/>
        </w:numPr>
      </w:pPr>
      <w:r>
        <w:t xml:space="preserve">Leight, A. K., &amp; Hood, R. R. (2018). Precipitation thresholds for fecal bacterial indicators in the Chesapeake Bay.</w:t>
      </w:r>
      <w:r>
        <w:t xml:space="preserve"> </w:t>
      </w:r>
      <w:r>
        <w:rPr>
          <w:i/>
          <w:iCs/>
        </w:rPr>
        <w:t xml:space="preserve">Water Research</w:t>
      </w:r>
      <w:r>
        <w:t xml:space="preserve"> </w:t>
      </w:r>
      <w:r>
        <w:t xml:space="preserve">139:252–262. [Maryland shellfish waters, 2004–2014; fecal source not apportioned.]</w:t>
      </w:r>
      <w:r>
        <w:t xml:space="preserve"> </w:t>
      </w:r>
      <w:r>
        <w:rPr>
          <w:b/>
          <w:bCs/>
        </w:rPr>
        <w:t xml:space="preserve">[Oct 2026: citation corrected; earlier version had co-authors from an unrelated paper spliced in]</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2026-10-02T14:00:49Z</dcterms:created>
  <dcterms:modified xsi:type="dcterms:W3CDTF">2026-10-02T14:00:49Z</dcterms:modified>
</cp:coreProperties>
</file>

<file path=docProps/custom.xml><?xml version="1.0" encoding="utf-8"?>
<Properties xmlns="http://schemas.openxmlformats.org/officeDocument/2006/custom-properties" xmlns:vt="http://schemas.openxmlformats.org/officeDocument/2006/docPropsVTypes"/>
</file>