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f31b252508fbfae65fc2863eedac4e4a1cf2ac0"/>
    <w:p>
      <w:pPr>
        <w:pStyle w:val="Heading1"/>
      </w:pPr>
      <w:r>
        <w:t xml:space="preserve">Pathway 5 — Iconic and sensitive species and habitats</w:t>
      </w:r>
    </w:p>
    <w:p>
      <w:pPr>
        <w:pStyle w:val="Heading3"/>
      </w:pPr>
      <w:bookmarkStart w:id="9" w:name="october-2026-evidence-review"/>
      <w:r>
        <w:t xml:space="preserve">October 2026 evidence review</w:t>
      </w:r>
      <w:bookmarkEnd w:id="9"/>
    </w:p>
    <w:p>
      <w:pPr>
        <w:pStyle w:val="BlockText"/>
      </w:pPr>
      <w:r>
        <w:t xml:space="preserve">This file was audited source-by-source in October 2026. Several claims overstated the evidence. Corrections are marked</w:t>
      </w:r>
      <w:r>
        <w:t xml:space="preserve"> </w:t>
      </w:r>
      <w:r>
        <w:rPr>
          <w:b/>
          <w:bCs/>
        </w:rPr>
        <w:t xml:space="preserve">[Oct 2026]</w:t>
      </w:r>
      <w:r>
        <w:t xml:space="preserve"> </w:t>
      </w:r>
      <w:r>
        <w:t xml:space="preserve">in the text:</w:t>
      </w:r>
    </w:p>
    <w:p>
      <w:pPr>
        <w:pStyle w:val="Compact"/>
        <w:numPr>
          <w:ilvl w:val="0"/>
          <w:numId w:val="1001"/>
        </w:numPr>
      </w:pPr>
      <w:r>
        <w:rPr>
          <w:b/>
          <w:bCs/>
        </w:rPr>
        <w:t xml:space="preserve">The Chincoteague water-supply claim is withdrawn.</w:t>
      </w:r>
      <w:r>
        <w:t xml:space="preserve"> </w:t>
      </w:r>
      <w:r>
        <w:t xml:space="preserve">No source documents a septic cause. The island’s early shallow wells were brackish. The town’s supply wells are on the mainland at Wallops Flight Facility, and the contamination actually documented there is PFAS from firefighting foam, detected in 2017. Chincoteague island is excluded from the 1997 sole-source aquifer designation.</w:t>
      </w:r>
    </w:p>
    <w:p>
      <w:pPr>
        <w:pStyle w:val="Compact"/>
        <w:numPr>
          <w:ilvl w:val="0"/>
          <w:numId w:val="1001"/>
        </w:numPr>
      </w:pPr>
      <w:r>
        <w:rPr>
          <w:b/>
          <w:bCs/>
        </w:rPr>
        <w:t xml:space="preserve">Bay scallop.</w:t>
      </w:r>
      <w:r>
        <w:t xml:space="preserve"> </w:t>
      </w:r>
      <w:r>
        <w:t xml:space="preserve">“Globally unique / only one of its kind”</w:t>
      </w:r>
      <w:r>
        <w:t xml:space="preserve"> </w:t>
      </w:r>
      <w:r>
        <w:t xml:space="preserve">is removed as unsourced. Peterson &amp; Heck (2001) is about mussels facilitating seagrass and does not support scallop–eelgrass dependency. Aoki et al. (2020) does not report scallop densities or faunal colonization. The absence is ~75 years before the 2009 reintroduction, or ~90 years to the recent recovery signal (Pathway 3b).</w:t>
      </w:r>
    </w:p>
    <w:p>
      <w:pPr>
        <w:pStyle w:val="Compact"/>
        <w:numPr>
          <w:ilvl w:val="0"/>
          <w:numId w:val="1001"/>
        </w:numPr>
      </w:pPr>
      <w:r>
        <w:rPr>
          <w:b/>
          <w:bCs/>
        </w:rPr>
        <w:t xml:space="preserve">The</w:t>
      </w:r>
      <w:r>
        <w:rPr>
          <w:b/>
          <w:bCs/>
        </w:rPr>
        <w:t xml:space="preserve"> </w:t>
      </w:r>
      <w:r>
        <w:rPr>
          <w:b/>
          <w:bCs/>
        </w:rPr>
        <w:t xml:space="preserve">“margin of safety is measurably / quantitatively narrow”</w:t>
      </w:r>
      <w:r>
        <w:rPr>
          <w:b/>
          <w:bCs/>
        </w:rPr>
        <w:t xml:space="preserve"> </w:t>
      </w:r>
      <w:r>
        <w:rPr>
          <w:b/>
          <w:bCs/>
        </w:rPr>
        <w:t xml:space="preserve">claim is withdrawn.</w:t>
      </w:r>
      <w:r>
        <w:t xml:space="preserve"> </w:t>
      </w:r>
      <w:r>
        <w:t xml:space="preserve">No nutrient threshold has been estimated for the seaside meadows.</w:t>
      </w:r>
    </w:p>
    <w:p>
      <w:pPr>
        <w:pStyle w:val="Compact"/>
        <w:numPr>
          <w:ilvl w:val="0"/>
          <w:numId w:val="1001"/>
        </w:numPr>
      </w:pPr>
      <w:r>
        <w:rPr>
          <w:b/>
          <w:bCs/>
        </w:rPr>
        <w:t xml:space="preserve">Citation fixes.</w:t>
      </w:r>
      <w:r>
        <w:t xml:space="preserve"> </w:t>
      </w:r>
      <w:r>
        <w:t xml:space="preserve">Lefcheck et al. 2019 is a</w:t>
      </w:r>
      <w:r>
        <w:t xml:space="preserve"> </w:t>
      </w:r>
      <w:r>
        <w:rPr>
          <w:i/>
          <w:iCs/>
        </w:rPr>
        <w:t xml:space="preserve">Conservation Letters</w:t>
      </w:r>
      <w:r>
        <w:t xml:space="preserve"> </w:t>
      </w:r>
      <w:r>
        <w:t xml:space="preserve">meta-analysis, not</w:t>
      </w:r>
      <w:r>
        <w:t xml:space="preserve"> </w:t>
      </w:r>
      <w:r>
        <w:rPr>
          <w:i/>
          <w:iCs/>
        </w:rPr>
        <w:t xml:space="preserve">PNAS</w:t>
      </w:r>
      <w:r>
        <w:t xml:space="preserve"> </w:t>
      </w:r>
      <w:r>
        <w:t xml:space="preserve">116:20636. The Lefcheck 2018 result is a ~23% TN decline with a ~316% SAV increase. Seitz et al. is a 2001 bivalve-prey paper. La Peyre et al. is a 2014 reef ecosystem-services paper. The Carroll et al. 2015 entry is unverified. Claims resting on these are marked.</w:t>
      </w:r>
    </w:p>
    <w:p>
      <w:pPr>
        <w:pStyle w:val="Compact"/>
        <w:numPr>
          <w:ilvl w:val="0"/>
          <w:numId w:val="1001"/>
        </w:numPr>
      </w:pPr>
      <w:r>
        <w:rPr>
          <w:b/>
          <w:bCs/>
        </w:rPr>
        <w:t xml:space="preserve">Relabels for consistency with the summary and the synthesis.</w:t>
      </w:r>
      <w:r>
        <w:t xml:space="preserve"> </w:t>
      </w:r>
      <w:r>
        <w:t xml:space="preserve">Septic attribution for SAV, blue crab and waterfowl is now SPECULATIVE (table said PLAUSIBLE).</w:t>
      </w:r>
    </w:p>
    <w:p>
      <w:pPr>
        <w:pStyle w:val="Compact"/>
        <w:numPr>
          <w:ilvl w:val="0"/>
          <w:numId w:val="1001"/>
        </w:numPr>
      </w:pPr>
      <w:r>
        <w:rPr>
          <w:b/>
          <w:bCs/>
        </w:rPr>
        <w:t xml:space="preserve">Other fixes.</w:t>
      </w:r>
      <w:r>
        <w:t xml:space="preserve"> </w:t>
      </w:r>
      <w:r>
        <w:t xml:space="preserve">“Cape Charles NWR”</w:t>
      </w:r>
      <w:r>
        <w:t xml:space="preserve"> </w:t>
      </w:r>
      <w:r>
        <w:t xml:space="preserve">is the Eastern Shore of Virginia NWR. The terrapin</w:t>
      </w:r>
      <w:r>
        <w:t xml:space="preserve"> </w:t>
      </w:r>
      <w:r>
        <w:t xml:space="preserve">“spatial overlap is high”</w:t>
      </w:r>
      <w:r>
        <w:t xml:space="preserve"> </w:t>
      </w:r>
      <w:r>
        <w:t xml:space="preserve">claim is unsourced.</w:t>
      </w:r>
    </w:p>
    <w:p>
      <w:pPr>
        <w:pStyle w:val="BlockText"/>
      </w:pPr>
      <w:r>
        <w:t xml:space="preserve">See</w:t>
      </w:r>
      <w:r>
        <w:t xml:space="preserve"> </w:t>
      </w:r>
      <w:r>
        <w:rPr>
          <w:rStyle w:val="VerbatimChar"/>
        </w:rPr>
        <w:t xml:space="preserve">ECOLOGICAL_EFFECTS_SYNTHESIS.md</w:t>
      </w:r>
      <w:r>
        <w:t xml:space="preserve"> </w:t>
      </w:r>
      <w:r>
        <w:t xml:space="preserve">(October 2026 evidence review and Section 4) and</w:t>
      </w:r>
      <w:r>
        <w:t xml:space="preserve"> </w:t>
      </w:r>
      <w:r>
        <w:rPr>
          <w:rStyle w:val="VerbatimChar"/>
        </w:rPr>
        <w:t xml:space="preserve">OUTREACH_MESSAGING_REVIEW.md</w:t>
      </w:r>
      <w:r>
        <w:t xml:space="preserve">.</w:t>
      </w:r>
    </w:p>
    <w:bookmarkStart w:id="10" w:name="framing-and-scope"/>
    <w:p>
      <w:pPr>
        <w:pStyle w:val="Heading2"/>
      </w:pPr>
      <w:r>
        <w:t xml:space="preserve">Framing and scope</w:t>
      </w:r>
    </w:p>
    <w:p>
      <w:pPr>
        <w:pStyle w:val="FirstParagraph"/>
      </w:pPr>
      <w:r>
        <w:t xml:space="preserve">Pathways 1 through 4 have established the biogeochemical and water-quality consequences of failing onsite wastewater treatment systems (OWTS) on Virginia’s Eastern Shore (ESVA): subterranean nitrogen transport through the Columbia surficial aquifer (Pathway 1), tidal-creek and salt-marsh enrichment (Pathway 2), Chesapeake mainstem and ESVA seaside lagoon responses (Pathways 3a, 3b), and shellfish-closure and aquaculture impacts (Pathway 4). Pathway 5 asks a different and more public-facing question: does failing septic infrastructure plausibly contribute to the degradation of habitats for the species that ESVA residents, managers, and visitors recognize and care about — the oysters, scallops, blue crabs, terrapins, horseshoe crabs, shorebirds, and feral ponies that define the region’s ecological identity?</w:t>
      </w:r>
    </w:p>
    <w:p>
      <w:pPr>
        <w:pStyle w:val="BodyText"/>
      </w:pPr>
      <w:r>
        <w:t xml:space="preserve">This pathway is framing-critical. Overclaiming direct septic causation for any of these iconic species would undermine the credibility of the broader synthesis, because in almost every case the proximate drivers of population change are multiple, interacting, and dominated by non-septic stressors: climate warming, sea-level rise, overharvest, disease, predation, incidental take in fishing gear, and historic habitat loss. Understating the links, on the other hand, would miss a real and defensible story: nutrient enrichment of shallow water bodies degrades habitat quality at the margin for every species on this list.</w:t>
      </w:r>
      <w:r>
        <w:t xml:space="preserve"> </w:t>
      </w:r>
      <w:r>
        <w:rPr>
          <w:b/>
          <w:bCs/>
        </w:rPr>
        <w:t xml:space="preserve">[Oct 2026]</w:t>
      </w:r>
      <w:r>
        <w:t xml:space="preserve"> </w:t>
      </w:r>
      <w:r>
        <w:t xml:space="preserve">Earlier text added that for bay scallops and eelgrass-dependent fauna</w:t>
      </w:r>
      <w:r>
        <w:t xml:space="preserve"> </w:t>
      </w:r>
      <w:r>
        <w:t xml:space="preserve">“the margin of safety is measurably narrow.”</w:t>
      </w:r>
      <w:r>
        <w:t xml:space="preserve"> </w:t>
      </w:r>
      <w:r>
        <w:t xml:space="preserve">That is withdrawn: no nutrient threshold has been estimated for the ESVA seaside meadows.</w:t>
      </w:r>
    </w:p>
    <w:p>
      <w:pPr>
        <w:pStyle w:val="BodyText"/>
      </w:pPr>
      <w:r>
        <w:t xml:space="preserve">The approach taken here is to describe, for each species or species complex, (1) the ecological dependency on a habitat or water-quality condition that septic effluent can alter, (2) the mechanistic pathway from OWTS to that alteration, (3) the ESVA-specific evidence, (4) the analogue evidence from comparable systems where causation has been established, and (5) an explicit evidence-strength label using four tiers: ESTABLISHED (direct causal link documented in the peer-reviewed literature, ESVA or close analogue), STRONGLY SUPPORTED (mechanism well-documented, quantitative data exist but full causal chain is inferential), PLAUSIBLE (mechanism is sound and consistent with the data but direct attribution has not been demonstrated), SPECULATIVE (mechanism is imaginable and consistent with the literature but the weight of evidence does not yet support assertion). A strength-of-evidence table at the end of the section consolidates these labels to make the honesty of the synthesis explicit.</w:t>
      </w:r>
    </w:p>
    <w:p>
      <w:pPr>
        <w:pStyle w:val="BodyText"/>
      </w:pPr>
      <w:r>
        <w:t xml:space="preserve">Excluded from this pathway, because they are addressed elsewhere, are: human drinking-water and recreational-water health effects; shellfish aquaculture economics and harvest closures (Pathway 4); and the detailed decline and recovery trajectory of SAV itself, which Pathways 3a and 3b cover at length. Here SAV is treated only as habitat for other species.</w:t>
      </w:r>
    </w:p>
    <w:bookmarkEnd w:id="10"/>
    <w:bookmarkStart w:id="13" w:name="habitat-forming-species"/>
    <w:p>
      <w:pPr>
        <w:pStyle w:val="Heading2"/>
      </w:pPr>
      <w:r>
        <w:t xml:space="preserve">Habitat-forming species</w:t>
      </w:r>
    </w:p>
    <w:bookmarkStart w:id="11" w:name="X320d4eea960bcfed8b0987626da0605ca686ede"/>
    <w:p>
      <w:pPr>
        <w:pStyle w:val="Heading3"/>
      </w:pPr>
      <w:r>
        <w:t xml:space="preserve">Submerged aquatic vegetation as habitat for faunal cascades</w:t>
      </w:r>
    </w:p>
    <w:p>
      <w:pPr>
        <w:pStyle w:val="FirstParagraph"/>
      </w:pPr>
      <w:r>
        <w:t xml:space="preserve">Pathways 3a and 3b cover SAV decline, recovery, and nutrient-sensitivity in detail; they should be read first for the mechanistic argument. What is specific to Pathway 5 is that SAV beds — primarily eelgrass (</w:t>
      </w:r>
      <w:r>
        <w:rPr>
          <w:i/>
          <w:iCs/>
        </w:rPr>
        <w:t xml:space="preserve">Zostera marina</w:t>
      </w:r>
      <w:r>
        <w:t xml:space="preserve">) on the seaside and in lower Bay salinities, widgeon grass (</w:t>
      </w:r>
      <w:r>
        <w:rPr>
          <w:i/>
          <w:iCs/>
        </w:rPr>
        <w:t xml:space="preserve">Ruppia maritima</w:t>
      </w:r>
      <w:r>
        <w:t xml:space="preserve">) across mid-salinity bayside creeks, and freshwater-to-mesohaline mixed-species meadows at the head of tidal creeks — function as biogenic habitat that structures the lives of several of the iconic species treated below. Orth, Dennison, Lefcheck and colleagues (2017, BioScience 67:698) describe SAV as the mid-Atlantic coast’s most important foundation species: the meadow provides three-dimensional structure, refuge from predation, food in the form of epiphytes and blades themselves, wave attenuation, sediment stabilization, and biogeochemical filtration. When a meadow is lost, the fauna it supported are forced into habitats with higher predation risk, lower food availability, and poorer water quality.</w:t>
      </w:r>
    </w:p>
    <w:p>
      <w:pPr>
        <w:pStyle w:val="BodyText"/>
      </w:pPr>
      <w:r>
        <w:t xml:space="preserve">Lefcheck et al. (2019, PNAS 116:20636) used four decades of Chesapeake monitoring data to show that SAV extent is a positive predictor of juvenile blue crab abundance, bay anchovy biomass, silver perch, and several other finfish [citation unverified — Oct 2026: the Lefcheck et al. 2019 in the reference list is a</w:t>
      </w:r>
      <w:r>
        <w:t xml:space="preserve"> </w:t>
      </w:r>
      <w:r>
        <w:rPr>
          <w:i/>
          <w:iCs/>
        </w:rPr>
        <w:t xml:space="preserve">Conservation Letters</w:t>
      </w:r>
      <w:r>
        <w:t xml:space="preserve"> </w:t>
      </w:r>
      <w:r>
        <w:t xml:space="preserve">meta-analysis of nursery habitats, and no matching PNAS paper was found].</w:t>
      </w:r>
      <w:r>
        <w:t xml:space="preserve"> </w:t>
      </w:r>
      <w:r>
        <w:rPr>
          <w:b/>
          <w:bCs/>
        </w:rPr>
        <w:t xml:space="preserve">[Oct 2026, corrected]</w:t>
      </w:r>
      <w:r>
        <w:t xml:space="preserve"> </w:t>
      </w:r>
      <w:r>
        <w:t xml:space="preserve">Lefcheck, Orth et al. (2018, PNAS 115:3658) linked a ~23% decline in TN to a ~316% increase in Bay SAV area since 1984 (see Pathway 3a); earlier text described this as</w:t>
      </w:r>
      <w:r>
        <w:t xml:space="preserve"> </w:t>
      </w:r>
      <w:r>
        <w:t xml:space="preserve">“a ~23% area recovery.”</w:t>
      </w:r>
      <w:r>
        <w:t xml:space="preserve"> </w:t>
      </w:r>
      <w:r>
        <w:t xml:space="preserve">Aoki, McGlathery et al. (2020) extended this to the ESVA seaside restoration: faunal colonization (bivalves, amphipods, juvenile fish) tracked structural recovery of the seed-planted</w:t>
      </w:r>
      <w:r>
        <w:t xml:space="preserve"> </w:t>
      </w:r>
      <w:r>
        <w:rPr>
          <w:i/>
          <w:iCs/>
        </w:rPr>
        <w:t xml:space="preserve">Zostera</w:t>
      </w:r>
      <w:r>
        <w:t xml:space="preserve"> </w:t>
      </w:r>
      <w:r>
        <w:t xml:space="preserve">meadow with a 4- to 6-year lag [citation unverified — Oct 2026: the Aoki et al. 2020 papers cited in this project concern carbon/nitrogen cycling and depth, not fauna]. Orth, Lefcheck, McGlathery et al. (2020, Sci Adv 6:eabc6434) quantified post-restoration increases in invertebrate density, fish biomass, and water clarity — providing the first rigorous demonstration that restoring seagrass in a nutrient-limited lagoon re-establishes not just the plant but the fauna that depend on it.</w:t>
      </w:r>
    </w:p>
    <w:p>
      <w:pPr>
        <w:pStyle w:val="BodyText"/>
      </w:pPr>
      <w:r>
        <w:t xml:space="preserve">The implication for Pathway 5 is that any process that erodes SAV extent or condition — including incremental N loading from failing septic systems — cascades through a broad set of species. This does not mean every faunal decline in Chesapeake or seaside waters is septic-driven; it means the habitat-quality floor on which these species depend is sensitive to N loading at the margin.</w:t>
      </w:r>
      <w:r>
        <w:t xml:space="preserve"> </w:t>
      </w:r>
      <w:r>
        <w:rPr>
          <w:b/>
          <w:bCs/>
        </w:rPr>
        <w:t xml:space="preserve">[Oct 2026]</w:t>
      </w:r>
      <w:r>
        <w:t xml:space="preserve"> </w:t>
      </w:r>
      <w:r>
        <w:t xml:space="preserve">Earlier text said the margin on ESVA</w:t>
      </w:r>
      <w:r>
        <w:t xml:space="preserve"> </w:t>
      </w:r>
      <w:r>
        <w:t xml:space="preserve">“is quantitatively narrow”</w:t>
      </w:r>
      <w:r>
        <w:t xml:space="preserve">; no threshold has been estimated, and that is withdrawn. Evidence strength: SAV-as-habitat coupling is ESTABLISHED. The marginal contribution of ESVA septic specifically to SAV change is SPECULATIVE</w:t>
      </w:r>
      <w:r>
        <w:t xml:space="preserve"> </w:t>
      </w:r>
      <w:r>
        <w:rPr>
          <w:b/>
          <w:bCs/>
        </w:rPr>
        <w:t xml:space="preserve">[Oct 2026: was PLAUSIBLE]</w:t>
      </w:r>
      <w:r>
        <w:t xml:space="preserve">: it is not quantitatively attributed, and documented seaside losses have been thermal.</w:t>
      </w:r>
    </w:p>
    <w:bookmarkEnd w:id="11"/>
    <w:bookmarkStart w:id="12" w:name="X32a76509a46e69fced3d1384e3b55477b42857e"/>
    <w:p>
      <w:pPr>
        <w:pStyle w:val="Heading3"/>
      </w:pPr>
      <w:r>
        <w:t xml:space="preserve">Eastern oyster as reef-forming ecosystem engineer</w:t>
      </w:r>
    </w:p>
    <w:p>
      <w:pPr>
        <w:pStyle w:val="FirstParagraph"/>
      </w:pPr>
      <w:r>
        <w:t xml:space="preserve">Pathway 4 treats the eastern oyster (</w:t>
      </w:r>
      <w:r>
        <w:rPr>
          <w:i/>
          <w:iCs/>
        </w:rPr>
        <w:t xml:space="preserve">Crassostrea virginica</w:t>
      </w:r>
      <w:r>
        <w:t xml:space="preserve">) as an aquaculture species and as a bellwether for bacterial and viral water-quality closures. Here the focus is the ecological role of oyster reefs as ecosystem engineers, and the more subtle ways nutrient enrichment can degrade reef function independently of closure-based management.</w:t>
      </w:r>
    </w:p>
    <w:p>
      <w:pPr>
        <w:pStyle w:val="BodyText"/>
      </w:pPr>
      <w:r>
        <w:t xml:space="preserve">Newell (2004, J Shellfish Res 23:51) and Grabowski et al. (2012, BioScience 62:900) established that oyster reefs provide quantifiable ecosystem services beyond harvest: water filtration, denitrification at the reef–sediment interface, shoreline protection, and three-dimensional habitat for mobile fauna. Reef-associated communities include mud crabs, xanthid crabs, naked gobies, oyster toadfish, grass shrimp, and a suite of polychaetes and amphipods; reef-to-fish production links have been quantified for striped bass, red drum, and speckled trout. Oyster reefs in the ESVA — in the Bayside tidal creeks, in protected seaside lagoon margins, and as part of TNC and VIMS restoration projects — are a small fraction of their pre-1880 extent but remain ecologically load-bearing.</w:t>
      </w:r>
    </w:p>
    <w:p>
      <w:pPr>
        <w:pStyle w:val="BodyText"/>
      </w:pPr>
      <w:r>
        <w:t xml:space="preserve">The septic-relevant mechanism is indirect but real. Moderate nutrient enrichment accelerates oyster growth (Kemp et al. 2005), but at high loadings it shifts the food web toward pelagic primary production, increases hypoxia risk in reef-adjacent bottom waters, and promotes the boring sponge</w:t>
      </w:r>
      <w:r>
        <w:t xml:space="preserve"> </w:t>
      </w:r>
      <w:r>
        <w:rPr>
          <w:i/>
          <w:iCs/>
        </w:rPr>
        <w:t xml:space="preserve">Cliona celata</w:t>
      </w:r>
      <w:r>
        <w:t xml:space="preserve"> </w:t>
      </w:r>
      <w:r>
        <w:t xml:space="preserve">and related reef-degrading epibionts (Carroll et al. 2015) [citation unverified — Oct 2026: the Carroll et al. 2015 reference listed concerns eelgrass, not boring sponges]. Elevated summer temperatures combined with moderately enriched, organic-matter-rich waters favor</w:t>
      </w:r>
      <w:r>
        <w:t xml:space="preserve"> </w:t>
      </w:r>
      <w:r>
        <w:rPr>
          <w:i/>
          <w:iCs/>
        </w:rPr>
        <w:t xml:space="preserve">Perkinsus marinus</w:t>
      </w:r>
      <w:r>
        <w:t xml:space="preserve"> </w:t>
      </w:r>
      <w:r>
        <w:t xml:space="preserve">(Dermo) and</w:t>
      </w:r>
      <w:r>
        <w:t xml:space="preserve"> </w:t>
      </w:r>
      <w:r>
        <w:rPr>
          <w:i/>
          <w:iCs/>
        </w:rPr>
        <w:t xml:space="preserve">Haplosporidium nelsoni</w:t>
      </w:r>
      <w:r>
        <w:t xml:space="preserve"> </w:t>
      </w:r>
      <w:r>
        <w:t xml:space="preserve">(MSX), the two parasitic diseases that have devastated Chesapeake oyster populations since the 1950s (Kennedy, Newell &amp; Eble 1996; Ford &amp; Tripp 1996); La Peyre et al. documented nutrient–temperature–Dermo interactions experimentally [citation unverified — Oct 2026: the La Peyre et al. paper in the reference list is a 2014 study of how reef ecosystem services develop over time, not Dermo]. Denitrification on restored oyster reefs is itself a valuable nutrient-cycling service (Kellogg et al. 2013, Mar Ecol Prog Ser 480:1), meaning that degrading reef condition removes a N sink that would otherwise partly buffer septic inputs. Evidence that ESVA septic measurably affects reef condition is not directly established; the mechanism is PLAUSIBLE and the broader oyster-reef-as-habitat story is ESTABLISHED.</w:t>
      </w:r>
    </w:p>
    <w:bookmarkEnd w:id="12"/>
    <w:bookmarkEnd w:id="13"/>
    <w:bookmarkStart w:id="21" w:name="faunal-species"/>
    <w:p>
      <w:pPr>
        <w:pStyle w:val="Heading2"/>
      </w:pPr>
      <w:r>
        <w:t xml:space="preserve">Faunal species</w:t>
      </w:r>
    </w:p>
    <w:bookmarkStart w:id="14" w:name="bay-scallop-argopecten-irradians"/>
    <w:p>
      <w:pPr>
        <w:pStyle w:val="Heading3"/>
      </w:pPr>
      <w:r>
        <w:t xml:space="preserve">Bay scallop (</w:t>
      </w:r>
      <w:r>
        <w:rPr>
          <w:i/>
          <w:iCs/>
        </w:rPr>
        <w:t xml:space="preserve">Argopecten irradians</w:t>
      </w:r>
      <w:r>
        <w:t xml:space="preserve">)</w:t>
      </w:r>
    </w:p>
    <w:p>
      <w:pPr>
        <w:pStyle w:val="FirstParagraph"/>
      </w:pPr>
      <w:r>
        <w:t xml:space="preserve">No ESVA species is more tightly coupled to the seaside septic-loading story than the bay scallop. Bay scallops are obligate eelgrass associates for most of their juvenile life: newly settled spat attach to</w:t>
      </w:r>
      <w:r>
        <w:t xml:space="preserve"> </w:t>
      </w:r>
      <w:r>
        <w:rPr>
          <w:i/>
          <w:iCs/>
        </w:rPr>
        <w:t xml:space="preserve">Zostera marina</w:t>
      </w:r>
      <w:r>
        <w:t xml:space="preserve"> </w:t>
      </w:r>
      <w:r>
        <w:t xml:space="preserve">blades as byssally attached recruits, using the vertical leaf as both substrate and refuge from benthic predators. When eelgrass meadows collapse, bay scallop populations collapse on a near-identical timescale; the species is a textbook case of foundation-species dependency.</w:t>
      </w:r>
      <w:r>
        <w:t xml:space="preserve"> </w:t>
      </w:r>
      <w:r>
        <w:rPr>
          <w:b/>
          <w:bCs/>
        </w:rPr>
        <w:t xml:space="preserve">[Oct 2026]</w:t>
      </w:r>
      <w:r>
        <w:t xml:space="preserve"> </w:t>
      </w:r>
      <w:r>
        <w:t xml:space="preserve">Earlier versions cited Peterson and Heck (2001), which is about suspension-feeding mussels raising seagrass productivity and does not support this. Carroll et al. (2010) and Orth et al. (2006), also cited, are general eelgrass papers [citation unverified — Oct 2026]. The Virginia link is supported by the scallops’ disappearance with the eelgrass in 1933 and their reappearance after restoration (Pathway 3b).</w:t>
      </w:r>
    </w:p>
    <w:p>
      <w:pPr>
        <w:pStyle w:val="BodyText"/>
      </w:pPr>
      <w:r>
        <w:t xml:space="preserve">Bay scallops were extirpated from Virginia seaside waters by the 1933 hurricane and the subsequent eelgrass wasting disease, and remained absent for roughly 75 years before the 2009 reintroduction (~90 years before the recent recovery signal; Pathway 3b)</w:t>
      </w:r>
      <w:r>
        <w:t xml:space="preserve"> </w:t>
      </w:r>
      <w:r>
        <w:rPr>
          <w:b/>
          <w:bCs/>
        </w:rPr>
        <w:t xml:space="preserve">[Oct 2026]</w:t>
      </w:r>
      <w:r>
        <w:t xml:space="preserve">. Following the VIMS-led</w:t>
      </w:r>
      <w:r>
        <w:t xml:space="preserve"> </w:t>
      </w:r>
      <w:r>
        <w:rPr>
          <w:i/>
          <w:iCs/>
        </w:rPr>
        <w:t xml:space="preserve">Zostera</w:t>
      </w:r>
      <w:r>
        <w:t xml:space="preserve"> </w:t>
      </w:r>
      <w:r>
        <w:t xml:space="preserve">seed restoration that began in 1999 and the attendant recovery of meadow structure (Orth et al. 2020), scallops were reintroduced to the restored meadows in South Bay beginning in 2009 and expanded through the 2010s. By the 2020s the reintroduced population had reached densities of ~0.1 scallops m⁻² (VIMS Eastern Shore Laboratory survey, cited in Pathway 3b).</w:t>
      </w:r>
      <w:r>
        <w:t xml:space="preserve"> </w:t>
      </w:r>
      <w:r>
        <w:rPr>
          <w:b/>
          <w:bCs/>
        </w:rPr>
        <w:t xml:space="preserve">[Oct 2026]</w:t>
      </w:r>
      <w:r>
        <w:t xml:space="preserve"> </w:t>
      </w:r>
      <w:r>
        <w:t xml:space="preserve">The earlier citation to Aoki, McGlathery, and Orth (2020) for these densities is removed, because that paper does not report scallop data. The population rests on the continued health of the seaside eelgrass meadow.</w:t>
      </w:r>
      <w:r>
        <w:t xml:space="preserve"> </w:t>
      </w:r>
      <w:r>
        <w:rPr>
          <w:b/>
          <w:bCs/>
        </w:rPr>
        <w:t xml:space="preserve">[Oct 2026]</w:t>
      </w:r>
      <w:r>
        <w:t xml:space="preserve"> </w:t>
      </w:r>
      <w:r>
        <w:t xml:space="preserve">The earlier claim that</w:t>
      </w:r>
      <w:r>
        <w:t xml:space="preserve"> </w:t>
      </w:r>
      <w:r>
        <w:t xml:space="preserve">“the restoration is globally unique — no other bay scallop reintroduction has succeeded at this scale”</w:t>
      </w:r>
      <w:r>
        <w:t xml:space="preserve"> </w:t>
      </w:r>
      <w:r>
        <w:t xml:space="preserve">is unsourced and has been removed.</w:t>
      </w:r>
    </w:p>
    <w:p>
      <w:pPr>
        <w:pStyle w:val="BodyText"/>
      </w:pPr>
      <w:r>
        <w:t xml:space="preserve">The septic-relevant mechanism is inherited from Pathway 3b: any process that degrades the seaside eelgrass meadow — in principle including incremental N inputs from failing septic systems on the seaside uplands — threatens the scallop.</w:t>
      </w:r>
      <w:r>
        <w:t xml:space="preserve"> </w:t>
      </w:r>
      <w:r>
        <w:rPr>
          <w:b/>
          <w:bCs/>
        </w:rPr>
        <w:t xml:space="preserve">[Oct 2026]</w:t>
      </w:r>
      <w:r>
        <w:t xml:space="preserve"> </w:t>
      </w:r>
      <w:r>
        <w:t xml:space="preserve">No nutrient threshold has been estimated for the seaside meadows, and the documented threat has been thermal. Analogue-region evidence is strong and cautionary. The</w:t>
      </w:r>
      <w:r>
        <w:t xml:space="preserve"> </w:t>
      </w:r>
      <w:r>
        <w:rPr>
          <w:i/>
          <w:iCs/>
        </w:rPr>
        <w:t xml:space="preserve">Aureococcus anophagefferens</w:t>
      </w:r>
      <w:r>
        <w:t xml:space="preserve"> </w:t>
      </w:r>
      <w:r>
        <w:t xml:space="preserve">brown tides that began in the Peconic estuary (NY) in 1985 and returned repeatedly through the 1990s and 2000s collapsed both the eelgrass meadow and the bay scallop fishery, and were attributed in part to N loading from dense residential septic development (Gobler, Boneillo, and Debenham 2005; Kinney and Valiela 2011; Gobler and Sunda 2012). Great South Bay (NY) followed a similar trajectory. The Peconic and Great South Bay examples are not ESVA — regulatory regimes and flushing differ — but they demonstrate that residential septic nitrogen in a shallow lagoon can drive a regime shift that ends scallop fisheries.</w:t>
      </w:r>
    </w:p>
    <w:p>
      <w:pPr>
        <w:pStyle w:val="BodyText"/>
      </w:pPr>
      <w:r>
        <w:t xml:space="preserve">Evidence strength: scallop dependency on eelgrass is ESTABLISHED; ESVA septic contribution to eelgrass decline is PLAUSIBLE; direct attribution of any ESVA scallop population change to septic loading is SPECULATIVE because the restored population is still in its early exponential phase and has not been tested by a loading-driven stressor.</w:t>
      </w:r>
    </w:p>
    <w:bookmarkEnd w:id="14"/>
    <w:bookmarkStart w:id="15" w:name="blue-crab-callinectes-sapidus"/>
    <w:p>
      <w:pPr>
        <w:pStyle w:val="Heading3"/>
      </w:pPr>
      <w:r>
        <w:t xml:space="preserve">Blue crab (</w:t>
      </w:r>
      <w:r>
        <w:rPr>
          <w:i/>
          <w:iCs/>
        </w:rPr>
        <w:t xml:space="preserve">Callinectes sapidus</w:t>
      </w:r>
      <w:r>
        <w:t xml:space="preserve">)</w:t>
      </w:r>
    </w:p>
    <w:p>
      <w:pPr>
        <w:pStyle w:val="FirstParagraph"/>
      </w:pPr>
      <w:r>
        <w:t xml:space="preserve">The blue crab is the Chesapeake’s iconic wild-capture fishery and one of ESVA’s most economically and culturally important species. Juvenile blue crabs use SAV meadows and salt marsh edges as nursery habitat — Orth and van Montfrans (1987) and Lipcius et al. (2005) documented that juvenile survival is an order of magnitude higher in SAV beds than in bare substrate, and Hines (2007) and Seitz et al. established that SAV acreage and quality are direct predictors of age-0 and age-1 crab abundance [citation unverified — Oct 2026: the Seitz et al. paper in the reference list is a 2001</w:t>
      </w:r>
      <w:r>
        <w:t xml:space="preserve"> </w:t>
      </w:r>
      <w:r>
        <w:rPr>
          <w:i/>
          <w:iCs/>
        </w:rPr>
        <w:t xml:space="preserve">Ecology</w:t>
      </w:r>
      <w:r>
        <w:t xml:space="preserve"> </w:t>
      </w:r>
      <w:r>
        <w:t xml:space="preserve">study of bivalve prey persistence, not crab–SAV relationships]. The 2022 Chesapeake Bay Stock Assessment Committee report flagged a historically low total blue crab abundance, with recruitment pressure a likely contributor (CBSAC 2022). The population is now monitored annually through the Winter Dredge Survey; total abundance has fluctuated substantially in the 2020s.</w:t>
      </w:r>
    </w:p>
    <w:p>
      <w:pPr>
        <w:pStyle w:val="BodyText"/>
      </w:pPr>
      <w:r>
        <w:t xml:space="preserve">Several septic-relevant mechanisms operate simultaneously. First, SAV loss driven in part by nutrient loading reduces nursery habitat capacity (Lefcheck, Wilcox et al. 2017, 2018; see Pathway 3a). Second, nutrient-driven hypoxia in deeper channel waters displaces and stresses adult crabs (Long, Seitz, and Montagna 2014). Third, oyster reef degradation — indirectly linked to nutrient loading as above — removes another nursery and refuge habitat (Grabowski et al. 2012). Fourth, fecal-indicator contamination from septic effluent can co-occur with HAB events that affect crab physiology, though direct documentation is sparse.</w:t>
      </w:r>
    </w:p>
    <w:p>
      <w:pPr>
        <w:pStyle w:val="BodyText"/>
      </w:pPr>
      <w:r>
        <w:t xml:space="preserve">The honest assessment is that blue crab population change on ESVA is driven by a tangle of factors — temperature, predation, harvest regulation, SAV, winter mortality — in which septic-derived nitrogen is one of several inputs, not the dominant driver. Nonetheless, because the species’ nursery function is SAV-coupled and ESVA SAV is N-sensitive, the link from septic loading to blue crab habitat quality is mechanistically sound. Evidence: SAV-nursery coupling ESTABLISHED; septic-specific contribution SPECULATIVE</w:t>
      </w:r>
      <w:r>
        <w:t xml:space="preserve"> </w:t>
      </w:r>
      <w:r>
        <w:rPr>
          <w:b/>
          <w:bCs/>
        </w:rPr>
        <w:t xml:space="preserve">[Oct 2026: was PLAUSIBLE, for consistency with the summary below and the synthesis]</w:t>
      </w:r>
      <w:r>
        <w:t xml:space="preserve">; direct attribution of ESVA blue crab change to septic SPECULATIVE.</w:t>
      </w:r>
    </w:p>
    <w:bookmarkEnd w:id="15"/>
    <w:bookmarkStart w:id="16" w:name="diamondback-terrapin-malaclemys-terrapin"/>
    <w:p>
      <w:pPr>
        <w:pStyle w:val="Heading3"/>
      </w:pPr>
      <w:r>
        <w:t xml:space="preserve">Diamondback terrapin (</w:t>
      </w:r>
      <w:r>
        <w:rPr>
          <w:i/>
          <w:iCs/>
        </w:rPr>
        <w:t xml:space="preserve">Malaclemys terrapin</w:t>
      </w:r>
      <w:r>
        <w:t xml:space="preserve">)</w:t>
      </w:r>
    </w:p>
    <w:p>
      <w:pPr>
        <w:pStyle w:val="FirstParagraph"/>
      </w:pPr>
      <w:r>
        <w:t xml:space="preserve">The northern diamondback terrapin is the only true brackish-water turtle in North America and is concentrated in mid-Atlantic tidal creeks and salt marshes — ESVA is one of its core ranges. Terrapins are marsh and creek obligates, feeding primarily on periwinkles (</w:t>
      </w:r>
      <w:r>
        <w:rPr>
          <w:i/>
          <w:iCs/>
        </w:rPr>
        <w:t xml:space="preserve">Littoraria irrorata</w:t>
      </w:r>
      <w:r>
        <w:t xml:space="preserve">), blue crabs, fiddler crabs, ribbed mussels, and small fish (Roosenburg 1991; Bilkovic et al. 2015). Nests are placed on sandy dunes, berms, and occasionally on spoil islands and sandy upland edges just above the high-tide line. The species is listed as a Species of Greatest Conservation Need in Virginia and as Threatened or Endangered in several adjacent states; principal threats include crab-pot drowning (the species is small enough to enter recreational crab pots), road mortality, nest depredation by raccoons, and sea-level-rise-driven nest-site loss (Isdell et al. 2015; Bilkovic et al. 2015).</w:t>
      </w:r>
    </w:p>
    <w:p>
      <w:pPr>
        <w:pStyle w:val="BodyText"/>
      </w:pPr>
      <w:r>
        <w:t xml:space="preserve">Septic-relevant mechanisms are indirect but plausible. First, nutrient-driven changes in the tidal-creek benthic community (Pathway 2) can alter the abundance of the small mollusks and crustaceans that make up the terrapin’s prey base; whether the net effect is positive or negative is uncertain because some prey taxa (e.g., fiddler crabs) are tolerant or even favored by moderate enrichment, while others are sensitive to hypoxia. Second, bacterial and viral contamination of tidal creeks from failing septic drainfields is a documented water-quality risk for the sympatric human population and for filter-feeding shellfish, but effects on terrapin immunity, parasite load, or embryo development have not been studied. Third, the same small tidal-creek-head parcels most affected by septic failure on ESVA are also primary terrapin nesting and foraging habitats, meaning the spatial overlap between failing septics and the species is high even if the causal chain is not resolved [unsourced — Oct 2026: no ESVA mapping of septic failure against terrapin habitat exists].</w:t>
      </w:r>
    </w:p>
    <w:p>
      <w:pPr>
        <w:pStyle w:val="BodyText"/>
      </w:pPr>
      <w:r>
        <w:t xml:space="preserve">Evidence: ESVA concentration of terrapin populations ESTABLISHED (Isdell et al. 2015; Bilkovic et al. 2015); terrapin sensitivity to marsh habitat loss ESTABLISHED; specific septic attribution SPECULATIVE.</w:t>
      </w:r>
    </w:p>
    <w:bookmarkEnd w:id="16"/>
    <w:bookmarkStart w:id="17" w:name="X0482cc33b7406c86ca9e425aff024ac3c2d5429"/>
    <w:p>
      <w:pPr>
        <w:pStyle w:val="Heading3"/>
      </w:pPr>
      <w:r>
        <w:t xml:space="preserve">Horseshoe crab (</w:t>
      </w:r>
      <w:r>
        <w:rPr>
          <w:i/>
          <w:iCs/>
        </w:rPr>
        <w:t xml:space="preserve">Limulus polyphemus</w:t>
      </w:r>
      <w:r>
        <w:t xml:space="preserve">) and red knot (</w:t>
      </w:r>
      <w:r>
        <w:rPr>
          <w:i/>
          <w:iCs/>
        </w:rPr>
        <w:t xml:space="preserve">Calidris canutus rufa</w:t>
      </w:r>
      <w:r>
        <w:t xml:space="preserve">)</w:t>
      </w:r>
    </w:p>
    <w:p>
      <w:pPr>
        <w:pStyle w:val="FirstParagraph"/>
      </w:pPr>
      <w:r>
        <w:t xml:space="preserve">The Delaware Bay is the global hotspot for spring spawning of the American horseshoe crab, but the ESVA seaside and bayside host significant secondary spawning beaches — Chincoteague, Assateague, Wallops, Cedar Island, Parramore Island, and others (Smith et al. 2017; ASMFC 2019). Horseshoe crab eggs deposited in sandy intertidal sediments during May and June are the critical fuel for the northbound migration of the rufa red knot, a shorebird federally listed as Threatened in 2014 under the U.S. Endangered Species Act. Red knots stage on Delmarva beaches for roughly two to three weeks each spring, doubling their body mass on horseshoe crab eggs before continuing to Arctic breeding grounds (Niles et al. 2008; Baker et al. 2004). The rufa population has declined by more than 75% since the 1980s.</w:t>
      </w:r>
    </w:p>
    <w:p>
      <w:pPr>
        <w:pStyle w:val="BodyText"/>
      </w:pPr>
      <w:r>
        <w:t xml:space="preserve">Septic-relevant mechanisms for this pair are the weakest in the entire synthesis, and the evidence is correspondingly thin. Horseshoe crab spawning sediments are intertidal sands that may receive episodic bacterial and nutrient input from adjacent upland septic failures, particularly where shoreline housing density is high. Dungan, Arens, and Watson (2008) and subsequent work have documented horseshoe crab embryo sensitivity to sediment temperature, salinity, and porewater chemistry, but the peer-reviewed literature does not directly address septic-derived bacterial or nutrient exposure as a threat to embryo development at documented field concentrations. For red knots, the stopover habitat requirement is abundant horseshoe crab eggs and a disturbance-free beach; direct septic effects on the shorebirds themselves are not documented.</w:t>
      </w:r>
    </w:p>
    <w:p>
      <w:pPr>
        <w:pStyle w:val="BodyText"/>
      </w:pPr>
      <w:r>
        <w:t xml:space="preserve">Evidence: the horseshoe crab / red knot coupling is ESTABLISHED (Niles et al. 2008); septic-specific effects on either species are SPECULATIVE. The species are included here because the potential pathway exists and because the ESVA spawning beaches sit close to residentially developed shorelines, but overclaiming causation would misrepresent the literature.</w:t>
      </w:r>
    </w:p>
    <w:bookmarkEnd w:id="17"/>
    <w:bookmarkStart w:id="18" w:name="X0f918c763f70660ffb3847580723760bb3aee99"/>
    <w:p>
      <w:pPr>
        <w:pStyle w:val="Heading3"/>
      </w:pPr>
      <w:r>
        <w:t xml:space="preserve">Piping plover (</w:t>
      </w:r>
      <w:r>
        <w:rPr>
          <w:i/>
          <w:iCs/>
        </w:rPr>
        <w:t xml:space="preserve">Charadrius melodus</w:t>
      </w:r>
      <w:r>
        <w:t xml:space="preserve">) and barrier-island shorebirds</w:t>
      </w:r>
    </w:p>
    <w:p>
      <w:pPr>
        <w:pStyle w:val="FirstParagraph"/>
      </w:pPr>
      <w:r>
        <w:t xml:space="preserve">Piping plover (Atlantic Coast population, federally Threatened), American oystercatcher, Wilson’s plover, and least tern nest on ESVA’s barrier island beaches and adjacent overwash flats — including Fisherman Island NWR, the Eastern Shore of Virginia NWR</w:t>
      </w:r>
      <w:r>
        <w:t xml:space="preserve"> </w:t>
      </w:r>
      <w:r>
        <w:rPr>
          <w:b/>
          <w:bCs/>
        </w:rPr>
        <w:t xml:space="preserve">[Oct 2026: earlier text said</w:t>
      </w:r>
      <w:r>
        <w:rPr>
          <w:b/>
          <w:bCs/>
        </w:rPr>
        <w:t xml:space="preserve"> </w:t>
      </w:r>
      <w:r>
        <w:rPr>
          <w:b/>
          <w:bCs/>
        </w:rPr>
        <w:t xml:space="preserve">“Cape Charles NWR”</w:t>
      </w:r>
      <w:r>
        <w:rPr>
          <w:b/>
          <w:bCs/>
        </w:rPr>
        <w:t xml:space="preserve">]</w:t>
      </w:r>
      <w:r>
        <w:t xml:space="preserve">, and the Assateague/Chincoteague complex to the north. The species are ground nesters, rely on open sandy beach with invertebrate-rich wrackline and intertidal foraging, and are threatened principally by human disturbance, predators (ghost crabs, raccoons, red fox), sea-level rise, and storm-driven nest loss (USFWS 2020; Nol and Humphrey 2020). Freshwater lenses on the barrier islands support small but important invertebrate prey bases on the backbarrier flats.</w:t>
      </w:r>
    </w:p>
    <w:p>
      <w:pPr>
        <w:pStyle w:val="BodyText"/>
      </w:pPr>
      <w:r>
        <w:t xml:space="preserve">Septic-relevant mechanisms for barrier-island shorebirds are essentially absent because the islands themselves are unsewered and largely unpopulated; septic impact on barrier island bird habitat is indirect, via changes to receiving-water quality, and the pathway is several steps removed from any direct effect on the birds. Where septic effluent from mainland ESVA enters lagoons and backbarrier bays (Pathway 3b), it can alter the invertebrate communities on intertidal flats where plovers and oystercatchers feed, but this effect has not been measured. Evidence: SPECULATIVE.</w:t>
      </w:r>
    </w:p>
    <w:bookmarkEnd w:id="18"/>
    <w:bookmarkStart w:id="19" w:name="chincoteague-ponies"/>
    <w:p>
      <w:pPr>
        <w:pStyle w:val="Heading3"/>
      </w:pPr>
      <w:r>
        <w:t xml:space="preserve">Chincoteague ponies</w:t>
      </w:r>
    </w:p>
    <w:p>
      <w:pPr>
        <w:pStyle w:val="FirstParagraph"/>
      </w:pPr>
      <w:r>
        <w:t xml:space="preserve">The Chincoteague pony herd, made famous by the Beebe books and the annual Pony Swim, is a feral horse population grazing the saltmarsh and maritime forest of Assateague Island. The Virginia herd is maintained at roughly 150 animals by the Chincoteague Volunteer Fire Company (National Park Service 2023). Ponies graze primarily on</w:t>
      </w:r>
      <w:r>
        <w:t xml:space="preserve"> </w:t>
      </w:r>
      <w:r>
        <w:rPr>
          <w:i/>
          <w:iCs/>
        </w:rPr>
        <w:t xml:space="preserve">Spartina alterniflora</w:t>
      </w:r>
      <w:r>
        <w:t xml:space="preserve">,</w:t>
      </w:r>
      <w:r>
        <w:t xml:space="preserve"> </w:t>
      </w:r>
      <w:r>
        <w:rPr>
          <w:i/>
          <w:iCs/>
        </w:rPr>
        <w:t xml:space="preserve">S. patens</w:t>
      </w:r>
      <w:r>
        <w:t xml:space="preserve">, and associated marsh vegetation and are thought to depend on small freshwater sources on the island.</w:t>
      </w:r>
    </w:p>
    <w:p>
      <w:pPr>
        <w:pStyle w:val="BodyText"/>
      </w:pPr>
      <w:r>
        <w:t xml:space="preserve">Septic-relevant mechanisms are indirect and the species is included here primarily because of public recognition rather than weight of evidence. Nutrient enrichment of salt marshes can increase above-ground</w:t>
      </w:r>
      <w:r>
        <w:t xml:space="preserve"> </w:t>
      </w:r>
      <w:r>
        <w:rPr>
          <w:i/>
          <w:iCs/>
        </w:rPr>
        <w:t xml:space="preserve">Spartina</w:t>
      </w:r>
      <w:r>
        <w:t xml:space="preserve"> </w:t>
      </w:r>
      <w:r>
        <w:t xml:space="preserve">biomass (Deegan et al. 2012; Pathway 2) and might, in principle, alter forage quality and quantity.</w:t>
      </w:r>
      <w:r>
        <w:t xml:space="preserve"> </w:t>
      </w:r>
      <w:r>
        <w:rPr>
          <w:b/>
          <w:bCs/>
        </w:rPr>
        <w:t xml:space="preserve">[Oct 2026, withdrawn]</w:t>
      </w:r>
      <w:r>
        <w:t xml:space="preserve"> </w:t>
      </w:r>
      <w:r>
        <w:t xml:space="preserve">Earlier versions included a</w:t>
      </w:r>
      <w:r>
        <w:t xml:space="preserve"> </w:t>
      </w:r>
      <w:r>
        <w:t xml:space="preserve">“historical anecdote”</w:t>
      </w:r>
      <w:r>
        <w:t xml:space="preserve">: that since the 1970s the town of Chincoteague has imported drinking water from Wallops because septic systems contaminated its own groundwater. No source supports a septic cause, and the cited</w:t>
      </w:r>
      <w:r>
        <w:t xml:space="preserve"> </w:t>
      </w:r>
      <w:r>
        <w:t xml:space="preserve">“Bay Journal 2005”</w:t>
      </w:r>
      <w:r>
        <w:t xml:space="preserve"> </w:t>
      </w:r>
      <w:r>
        <w:t xml:space="preserve">article could not be located. The island’s early shallow wells were brackish. The town’s supply wells are on the mainland at Wallops Flight Facility. The contamination actually documented in that supply is PFAS from firefighting foam used at Wallops, detected in 2017. Chincoteague island is excluded from the 1997 sole-source aquifer designation. Do not use this example. Whether the feral pony population is itself affected by septic-driven vegetation change is not documented. Evidence: SPECULATIVE.</w:t>
      </w:r>
    </w:p>
    <w:bookmarkEnd w:id="19"/>
    <w:bookmarkStart w:id="20" w:name="short-mentions"/>
    <w:p>
      <w:pPr>
        <w:pStyle w:val="Heading3"/>
      </w:pPr>
      <w:r>
        <w:t xml:space="preserve">Short mentions</w:t>
      </w:r>
    </w:p>
    <w:p>
      <w:pPr>
        <w:pStyle w:val="FirstParagraph"/>
      </w:pPr>
      <w:r>
        <w:rPr>
          <w:b/>
          <w:bCs/>
        </w:rPr>
        <w:t xml:space="preserve">Ribbed mussel (</w:t>
      </w:r>
      <w:r>
        <w:rPr>
          <w:b/>
          <w:bCs/>
          <w:i/>
          <w:iCs/>
        </w:rPr>
        <w:t xml:space="preserve">Geukensia demissa</w:t>
      </w:r>
      <w:r>
        <w:rPr>
          <w:b/>
          <w:bCs/>
        </w:rPr>
        <w:t xml:space="preserve">).</w:t>
      </w:r>
      <w:r>
        <w:t xml:space="preserve"> </w:t>
      </w:r>
      <w:r>
        <w:t xml:space="preserve">Ribbed mussels are critical N-cycling infauna in Chesapeake salt marshes, forming a mutualistic relationship with</w:t>
      </w:r>
      <w:r>
        <w:t xml:space="preserve"> </w:t>
      </w:r>
      <w:r>
        <w:rPr>
          <w:i/>
          <w:iCs/>
        </w:rPr>
        <w:t xml:space="preserve">Spartina alterniflora</w:t>
      </w:r>
      <w:r>
        <w:t xml:space="preserve"> </w:t>
      </w:r>
      <w:r>
        <w:t xml:space="preserve">in which the mussel fertilizes the grass while the grass provides physical support (Bertness 1984; Kreeger and Newell 2001). Mussels filter creek water at rates that are significant at marsh-edge scale, and they sequester fecal-indicator bacteria and pathogens from the water column. Septic-derived nitrogen and pathogen loading thus directly loads an organism that is itself a key regulator of marsh N cycling. Evidence: mechanism ESTABLISHED, ESVA-specific attribution PLAUSIBLE.</w:t>
      </w:r>
    </w:p>
    <w:p>
      <w:pPr>
        <w:pStyle w:val="BodyText"/>
      </w:pPr>
      <w:r>
        <w:rPr>
          <w:b/>
          <w:bCs/>
        </w:rPr>
        <w:t xml:space="preserve">Fiddler crabs (</w:t>
      </w:r>
      <w:r>
        <w:rPr>
          <w:b/>
          <w:bCs/>
          <w:i/>
          <w:iCs/>
        </w:rPr>
        <w:t xml:space="preserve">Minuca pugnax</w:t>
      </w:r>
      <w:r>
        <w:rPr>
          <w:b/>
          <w:bCs/>
        </w:rPr>
        <w:t xml:space="preserve">,</w:t>
      </w:r>
      <w:r>
        <w:rPr>
          <w:b/>
          <w:bCs/>
        </w:rPr>
        <w:t xml:space="preserve"> </w:t>
      </w:r>
      <w:r>
        <w:rPr>
          <w:b/>
          <w:bCs/>
          <w:i/>
          <w:iCs/>
        </w:rPr>
        <w:t xml:space="preserve">Uca pugilator</w:t>
      </w:r>
      <w:r>
        <w:rPr>
          <w:b/>
          <w:bCs/>
        </w:rPr>
        <w:t xml:space="preserve">).</w:t>
      </w:r>
      <w:r>
        <w:t xml:space="preserve"> </w:t>
      </w:r>
      <w:r>
        <w:t xml:space="preserve">Fiddler crabs are widely used as indicators of salt marsh health because their burrow networks oxygenate marsh peat and regulate below-ground decomposition. Moderate nutrient enrichment tends to increase fiddler crab density, but severe enrichment and the associated peat collapse (Deegan et al. 2012) eliminate suitable burrow substrate. Evidence: mechanism ESTABLISHED, ESVA attribution PLAUSIBLE.</w:t>
      </w:r>
    </w:p>
    <w:p>
      <w:pPr>
        <w:pStyle w:val="BodyText"/>
      </w:pPr>
      <w:r>
        <w:rPr>
          <w:b/>
          <w:bCs/>
        </w:rPr>
        <w:t xml:space="preserve">Migratory waterfowl.</w:t>
      </w:r>
      <w:r>
        <w:t xml:space="preserve"> </w:t>
      </w:r>
      <w:r>
        <w:t xml:space="preserve">ESVA’s tidal creeks and seaside lagoons are a critical Atlantic Flyway wintering ground for black duck, brant, scaup, canvasback, and numerous dabbling duck species. Brant, in particular, depend on eelgrass and widgeon grass for winter forage, linking waterfowl ecology directly to SAV condition (Perry and Deller 1996). Evidence: SAV-waterfowl coupling ESTABLISHED; septic-specific contribution SPECULATIVE</w:t>
      </w:r>
      <w:r>
        <w:t xml:space="preserve"> </w:t>
      </w:r>
      <w:r>
        <w:rPr>
          <w:b/>
          <w:bCs/>
        </w:rPr>
        <w:t xml:space="preserve">[Oct 2026: was PLAUSIBLE]</w:t>
      </w:r>
      <w:r>
        <w:t xml:space="preserve">.</w:t>
      </w:r>
    </w:p>
    <w:p>
      <w:pPr>
        <w:pStyle w:val="BodyText"/>
      </w:pPr>
      <w:r>
        <w:rPr>
          <w:b/>
          <w:bCs/>
        </w:rPr>
        <w:t xml:space="preserve">Bald eagle.</w:t>
      </w:r>
      <w:r>
        <w:t xml:space="preserve"> </w:t>
      </w:r>
      <w:r>
        <w:t xml:space="preserve">The mid-Atlantic bald eagle recovery is one of the Clean Water Act’s success stories, and ESVA is part of that recovery. Eagles are top predators in the Bay food web and are sensitive to bioaccumulative contaminants; septic-derived PPCPs and PFAS (Pathway 1) could in principle accumulate up the food chain, but direct evidence linking ESVA septic sources to eagle contaminant burdens does not exist. Evidence: SPECULATIVE.</w:t>
      </w:r>
    </w:p>
    <w:bookmarkEnd w:id="20"/>
    <w:bookmarkEnd w:id="21"/>
    <w:bookmarkStart w:id="22" w:name="strength-of-evidence-summary-table"/>
    <w:p>
      <w:pPr>
        <w:pStyle w:val="Heading2"/>
      </w:pPr>
      <w:r>
        <w:t xml:space="preserve">Strength-of-evidence summary table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Species / habitat</w:t>
            </w:r>
          </w:p>
        </w:tc>
        <w:tc>
          <w:tcPr/>
          <w:p>
            <w:pPr>
              <w:pStyle w:val="Compact"/>
            </w:pPr>
            <w:r>
              <w:t xml:space="preserve">Dependency</w:t>
            </w:r>
          </w:p>
        </w:tc>
        <w:tc>
          <w:tcPr/>
          <w:p>
            <w:pPr>
              <w:pStyle w:val="Compact"/>
            </w:pPr>
            <w:r>
              <w:t xml:space="preserve">Septic mechanism</w:t>
            </w:r>
          </w:p>
        </w:tc>
        <w:tc>
          <w:tcPr/>
          <w:p>
            <w:pPr>
              <w:pStyle w:val="Compact"/>
            </w:pPr>
            <w:r>
              <w:t xml:space="preserve">ESVA evidence</w:t>
            </w:r>
          </w:p>
        </w:tc>
        <w:tc>
          <w:tcPr/>
          <w:p>
            <w:pPr>
              <w:pStyle w:val="Compact"/>
            </w:pPr>
            <w:r>
              <w:t xml:space="preserve">Analogue evidence</w:t>
            </w:r>
          </w:p>
        </w:tc>
        <w:tc>
          <w:tcPr/>
          <w:p>
            <w:pPr>
              <w:pStyle w:val="Compact"/>
            </w:pPr>
            <w:r>
              <w:t xml:space="preserve">Overall strength</w:t>
            </w:r>
          </w:p>
        </w:tc>
      </w:tr>
      <w:tr>
        <w:tc>
          <w:tcPr/>
          <w:p>
            <w:pPr>
              <w:pStyle w:val="Compact"/>
            </w:pPr>
            <w:r>
              <w:t xml:space="preserve">SAV as foundation habitat</w:t>
            </w:r>
          </w:p>
        </w:tc>
        <w:tc>
          <w:tcPr/>
          <w:p>
            <w:pPr>
              <w:pStyle w:val="Compact"/>
            </w:pPr>
            <w:r>
              <w:t xml:space="preserve">Faunal cascade depends on meadow structure, clarity, N status</w:t>
            </w:r>
          </w:p>
        </w:tc>
        <w:tc>
          <w:tcPr/>
          <w:p>
            <w:pPr>
              <w:pStyle w:val="Compact"/>
            </w:pPr>
            <w:r>
              <w:t xml:space="preserve">Incremental N loading erodes meadow extent and condition</w:t>
            </w:r>
          </w:p>
        </w:tc>
        <w:tc>
          <w:tcPr/>
          <w:p>
            <w:pPr>
              <w:pStyle w:val="Compact"/>
            </w:pPr>
            <w:r>
              <w:t xml:space="preserve">Orth et al. 2020; Lefcheck et al. 2018; VIMS monitoring</w:t>
            </w:r>
          </w:p>
        </w:tc>
        <w:tc>
          <w:tcPr/>
          <w:p>
            <w:pPr>
              <w:pStyle w:val="Compact"/>
            </w:pPr>
            <w:r>
              <w:t xml:space="preserve">Peconic, IRL, Great South Bay regime shifts</w:t>
            </w:r>
          </w:p>
        </w:tc>
        <w:tc>
          <w:tcPr/>
          <w:p>
            <w:pPr>
              <w:pStyle w:val="Compact"/>
            </w:pPr>
            <w:r>
              <w:t xml:space="preserve">SAV-faunal coupling ESTABLISHED; septic attribution SPECULATIVE</w:t>
            </w:r>
            <w:r>
              <w:t xml:space="preserve"> </w:t>
            </w:r>
            <w:r>
              <w:rPr>
                <w:b/>
                <w:bCs/>
              </w:rPr>
              <w:t xml:space="preserve">[Oct 2026: was PLAUSIBLE]</w:t>
            </w:r>
          </w:p>
        </w:tc>
      </w:tr>
      <w:tr>
        <w:tc>
          <w:tcPr/>
          <w:p>
            <w:pPr>
              <w:pStyle w:val="Compact"/>
            </w:pPr>
            <w:r>
              <w:t xml:space="preserve">Oyster reef as engineer</w:t>
            </w:r>
          </w:p>
        </w:tc>
        <w:tc>
          <w:tcPr/>
          <w:p>
            <w:pPr>
              <w:pStyle w:val="Compact"/>
            </w:pPr>
            <w:r>
              <w:t xml:space="preserve">Reef-associated fauna; reef denitrification</w:t>
            </w:r>
          </w:p>
        </w:tc>
        <w:tc>
          <w:tcPr/>
          <w:p>
            <w:pPr>
              <w:pStyle w:val="Compact"/>
            </w:pPr>
            <w:r>
              <w:t xml:space="preserve">Enrichment shifts food web pelagic, favors boring epibionts, enables Dermo/MSX interaction</w:t>
            </w:r>
          </w:p>
        </w:tc>
        <w:tc>
          <w:tcPr/>
          <w:p>
            <w:pPr>
              <w:pStyle w:val="Compact"/>
            </w:pPr>
            <w:r>
              <w:t xml:space="preserve">Kellogg et al. 2013 (Chesapeake); mechanism sound</w:t>
            </w:r>
          </w:p>
        </w:tc>
        <w:tc>
          <w:tcPr/>
          <w:p>
            <w:pPr>
              <w:pStyle w:val="Compact"/>
            </w:pPr>
            <w:r>
              <w:t xml:space="preserve">Newell 2004; Grabowski et al. 2012</w:t>
            </w:r>
          </w:p>
        </w:tc>
        <w:tc>
          <w:tcPr/>
          <w:p>
            <w:pPr>
              <w:pStyle w:val="Compact"/>
            </w:pPr>
            <w:r>
              <w:t xml:space="preserve">Mechanism PLAUSIBLE; direct ESVA septic attribution SPECULATIVE</w:t>
            </w:r>
          </w:p>
        </w:tc>
      </w:tr>
      <w:tr>
        <w:tc>
          <w:tcPr/>
          <w:p>
            <w:pPr>
              <w:pStyle w:val="Compact"/>
            </w:pPr>
            <w:r>
              <w:t xml:space="preserve">Bay scallop</w:t>
            </w:r>
          </w:p>
        </w:tc>
        <w:tc>
          <w:tcPr/>
          <w:p>
            <w:pPr>
              <w:pStyle w:val="Compact"/>
            </w:pPr>
            <w:r>
              <w:t xml:space="preserve">Obligate eelgrass associate</w:t>
            </w:r>
          </w:p>
        </w:tc>
        <w:tc>
          <w:tcPr/>
          <w:p>
            <w:pPr>
              <w:pStyle w:val="Compact"/>
            </w:pPr>
            <w:r>
              <w:t xml:space="preserve">Loss of seaside eelgrass via N loading</w:t>
            </w:r>
          </w:p>
        </w:tc>
        <w:tc>
          <w:tcPr/>
          <w:p>
            <w:pPr>
              <w:pStyle w:val="Compact"/>
            </w:pPr>
            <w:r>
              <w:t xml:space="preserve">VIMS restored population growing; nutrient tolerance unquantified</w:t>
            </w:r>
            <w:r>
              <w:t xml:space="preserve"> </w:t>
            </w:r>
            <w:r>
              <w:rPr>
                <w:b/>
                <w:bCs/>
              </w:rPr>
              <w:t xml:space="preserve">[Oct 2026: was</w:t>
            </w:r>
            <w:r>
              <w:rPr>
                <w:b/>
                <w:bCs/>
              </w:rPr>
              <w:t xml:space="preserve"> </w:t>
            </w:r>
            <w:r>
              <w:rPr>
                <w:b/>
                <w:bCs/>
              </w:rPr>
              <w:t xml:space="preserve">“narrow margin”</w:t>
            </w:r>
            <w:r>
              <w:rPr>
                <w:b/>
                <w:bCs/>
              </w:rPr>
              <w:t xml:space="preserve">]</w:t>
            </w:r>
          </w:p>
        </w:tc>
        <w:tc>
          <w:tcPr/>
          <w:p>
            <w:pPr>
              <w:pStyle w:val="Compact"/>
            </w:pPr>
            <w:r>
              <w:t xml:space="preserve">Peconic brown-tide collapse, Great South Bay</w:t>
            </w:r>
          </w:p>
        </w:tc>
        <w:tc>
          <w:tcPr/>
          <w:p>
            <w:pPr>
              <w:pStyle w:val="Compact"/>
            </w:pPr>
            <w:r>
              <w:t xml:space="preserve">Dependency ESTABLISHED; septic-specific attribution SPECULATIVE</w:t>
            </w:r>
          </w:p>
        </w:tc>
      </w:tr>
      <w:tr>
        <w:tc>
          <w:tcPr/>
          <w:p>
            <w:pPr>
              <w:pStyle w:val="Compact"/>
            </w:pPr>
            <w:r>
              <w:t xml:space="preserve">Blue crab</w:t>
            </w:r>
          </w:p>
        </w:tc>
        <w:tc>
          <w:tcPr/>
          <w:p>
            <w:pPr>
              <w:pStyle w:val="Compact"/>
            </w:pPr>
            <w:r>
              <w:t xml:space="preserve">SAV and marsh nursery; channel water quality</w:t>
            </w:r>
          </w:p>
        </w:tc>
        <w:tc>
          <w:tcPr/>
          <w:p>
            <w:pPr>
              <w:pStyle w:val="Compact"/>
            </w:pPr>
            <w:r>
              <w:t xml:space="preserve">SAV loss + hypoxia + reef loss</w:t>
            </w:r>
          </w:p>
        </w:tc>
        <w:tc>
          <w:tcPr/>
          <w:p>
            <w:pPr>
              <w:pStyle w:val="Compact"/>
            </w:pPr>
            <w:r>
              <w:t xml:space="preserve">CBSAC 2022; Lefcheck et al. 2018</w:t>
            </w:r>
          </w:p>
        </w:tc>
        <w:tc>
          <w:tcPr/>
          <w:p>
            <w:pPr>
              <w:pStyle w:val="Compact"/>
            </w:pPr>
            <w:r>
              <w:t xml:space="preserve">Hines 2007; Seitz et al. (citation unverified)</w:t>
            </w:r>
          </w:p>
        </w:tc>
        <w:tc>
          <w:tcPr/>
          <w:p>
            <w:pPr>
              <w:pStyle w:val="Compact"/>
            </w:pPr>
            <w:r>
              <w:t xml:space="preserve">Nursery coupling ESTABLISHED; septic-specific attribution SPECULATIVE</w:t>
            </w:r>
            <w:r>
              <w:t xml:space="preserve"> </w:t>
            </w:r>
            <w:r>
              <w:rPr>
                <w:b/>
                <w:bCs/>
              </w:rPr>
              <w:t xml:space="preserve">[Oct 2026: was PLAUSIBLE]</w:t>
            </w:r>
          </w:p>
        </w:tc>
      </w:tr>
      <w:tr>
        <w:tc>
          <w:tcPr/>
          <w:p>
            <w:pPr>
              <w:pStyle w:val="Compact"/>
            </w:pPr>
            <w:r>
              <w:t xml:space="preserve">Diamondback terrapin</w:t>
            </w:r>
          </w:p>
        </w:tc>
        <w:tc>
          <w:tcPr/>
          <w:p>
            <w:pPr>
              <w:pStyle w:val="Compact"/>
            </w:pPr>
            <w:r>
              <w:t xml:space="preserve">Tidal creek and marsh obligate; sandy nest sites</w:t>
            </w:r>
          </w:p>
        </w:tc>
        <w:tc>
          <w:tcPr/>
          <w:p>
            <w:pPr>
              <w:pStyle w:val="Compact"/>
            </w:pPr>
            <w:r>
              <w:t xml:space="preserve">Creek prey-community shifts; pathogens unstudied</w:t>
            </w:r>
          </w:p>
        </w:tc>
        <w:tc>
          <w:tcPr/>
          <w:p>
            <w:pPr>
              <w:pStyle w:val="Compact"/>
            </w:pPr>
            <w:r>
              <w:t xml:space="preserve">Isdell et al. 2015; Bilkovic et al. 2015 (ESVA concentration)</w:t>
            </w:r>
          </w:p>
        </w:tc>
        <w:tc>
          <w:tcPr/>
          <w:p>
            <w:pPr>
              <w:pStyle w:val="Compact"/>
            </w:pPr>
            <w:r>
              <w:t xml:space="preserve">None directly</w:t>
            </w:r>
          </w:p>
        </w:tc>
        <w:tc>
          <w:tcPr/>
          <w:p>
            <w:pPr>
              <w:pStyle w:val="Compact"/>
            </w:pPr>
            <w:r>
              <w:t xml:space="preserve">Distribution ESTABLISHED; septic attribution SPECULATIVE</w:t>
            </w:r>
          </w:p>
        </w:tc>
      </w:tr>
      <w:tr>
        <w:tc>
          <w:tcPr/>
          <w:p>
            <w:pPr>
              <w:pStyle w:val="Compact"/>
            </w:pPr>
            <w:r>
              <w:t xml:space="preserve">Horseshoe crab</w:t>
            </w:r>
          </w:p>
        </w:tc>
        <w:tc>
          <w:tcPr/>
          <w:p>
            <w:pPr>
              <w:pStyle w:val="Compact"/>
            </w:pPr>
            <w:r>
              <w:t xml:space="preserve">Intertidal spawning beaches</w:t>
            </w:r>
          </w:p>
        </w:tc>
        <w:tc>
          <w:tcPr/>
          <w:p>
            <w:pPr>
              <w:pStyle w:val="Compact"/>
            </w:pPr>
            <w:r>
              <w:t xml:space="preserve">Fecal/nutrient loading of spawning sediments</w:t>
            </w:r>
          </w:p>
        </w:tc>
        <w:tc>
          <w:tcPr/>
          <w:p>
            <w:pPr>
              <w:pStyle w:val="Compact"/>
            </w:pPr>
            <w:r>
              <w:t xml:space="preserve">None</w:t>
            </w:r>
          </w:p>
        </w:tc>
        <w:tc>
          <w:tcPr/>
          <w:p>
            <w:pPr>
              <w:pStyle w:val="Compact"/>
            </w:pPr>
            <w:r>
              <w:t xml:space="preserve">Smith et al. 2017; Dungan et al. 2008</w:t>
            </w:r>
          </w:p>
        </w:tc>
        <w:tc>
          <w:tcPr/>
          <w:p>
            <w:pPr>
              <w:pStyle w:val="Compact"/>
            </w:pPr>
            <w:r>
              <w:t xml:space="preserve">SPECULATIVE</w:t>
            </w:r>
          </w:p>
        </w:tc>
      </w:tr>
      <w:tr>
        <w:tc>
          <w:tcPr/>
          <w:p>
            <w:pPr>
              <w:pStyle w:val="Compact"/>
            </w:pPr>
            <w:r>
              <w:t xml:space="preserve">Red knot</w:t>
            </w:r>
          </w:p>
        </w:tc>
        <w:tc>
          <w:tcPr/>
          <w:p>
            <w:pPr>
              <w:pStyle w:val="Compact"/>
            </w:pPr>
            <w:r>
              <w:t xml:space="preserve">Horseshoe crab eggs as staging fuel</w:t>
            </w:r>
          </w:p>
        </w:tc>
        <w:tc>
          <w:tcPr/>
          <w:p>
            <w:pPr>
              <w:pStyle w:val="Compact"/>
            </w:pPr>
            <w:r>
              <w:t xml:space="preserve">Only indirect via horseshoe crab</w:t>
            </w:r>
          </w:p>
        </w:tc>
        <w:tc>
          <w:tcPr/>
          <w:p>
            <w:pPr>
              <w:pStyle w:val="Compact"/>
            </w:pPr>
            <w:r>
              <w:t xml:space="preserve">None</w:t>
            </w:r>
          </w:p>
        </w:tc>
        <w:tc>
          <w:tcPr/>
          <w:p>
            <w:pPr>
              <w:pStyle w:val="Compact"/>
            </w:pPr>
            <w:r>
              <w:t xml:space="preserve">Niles et al. 2008; Baker et al. 2004</w:t>
            </w:r>
          </w:p>
        </w:tc>
        <w:tc>
          <w:tcPr/>
          <w:p>
            <w:pPr>
              <w:pStyle w:val="Compact"/>
            </w:pPr>
            <w:r>
              <w:t xml:space="preserve">SPECULATIVE</w:t>
            </w:r>
          </w:p>
        </w:tc>
      </w:tr>
      <w:tr>
        <w:tc>
          <w:tcPr/>
          <w:p>
            <w:pPr>
              <w:pStyle w:val="Compact"/>
            </w:pPr>
            <w:r>
              <w:t xml:space="preserve">Piping plover &amp; barrier shorebirds</w:t>
            </w:r>
          </w:p>
        </w:tc>
        <w:tc>
          <w:tcPr/>
          <w:p>
            <w:pPr>
              <w:pStyle w:val="Compact"/>
            </w:pPr>
            <w:r>
              <w:t xml:space="preserve">Open sandy beach, intertidal invertebrates</w:t>
            </w:r>
          </w:p>
        </w:tc>
        <w:tc>
          <w:tcPr/>
          <w:p>
            <w:pPr>
              <w:pStyle w:val="Compact"/>
            </w:pPr>
            <w:r>
              <w:t xml:space="preserve">Only indirect via lagoon water quality</w:t>
            </w:r>
          </w:p>
        </w:tc>
        <w:tc>
          <w:tcPr/>
          <w:p>
            <w:pPr>
              <w:pStyle w:val="Compact"/>
            </w:pPr>
            <w:r>
              <w:t xml:space="preserve">None</w:t>
            </w:r>
          </w:p>
        </w:tc>
        <w:tc>
          <w:tcPr/>
          <w:p>
            <w:pPr>
              <w:pStyle w:val="Compact"/>
            </w:pPr>
            <w:r>
              <w:t xml:space="preserve">USFWS 2020</w:t>
            </w:r>
          </w:p>
        </w:tc>
        <w:tc>
          <w:tcPr/>
          <w:p>
            <w:pPr>
              <w:pStyle w:val="Compact"/>
            </w:pPr>
            <w:r>
              <w:t xml:space="preserve">SPECULATIVE</w:t>
            </w:r>
          </w:p>
        </w:tc>
      </w:tr>
      <w:tr>
        <w:tc>
          <w:tcPr/>
          <w:p>
            <w:pPr>
              <w:pStyle w:val="Compact"/>
            </w:pPr>
            <w:r>
              <w:t xml:space="preserve">Chincoteague ponies</w:t>
            </w:r>
          </w:p>
        </w:tc>
        <w:tc>
          <w:tcPr/>
          <w:p>
            <w:pPr>
              <w:pStyle w:val="Compact"/>
            </w:pPr>
            <w:r>
              <w:t xml:space="preserve">Salt marsh forage, freshwater</w:t>
            </w:r>
          </w:p>
        </w:tc>
        <w:tc>
          <w:tcPr/>
          <w:p>
            <w:pPr>
              <w:pStyle w:val="Compact"/>
            </w:pPr>
            <w:r>
              <w:t xml:space="preserve">Enrichment may alter marsh grass quality</w:t>
            </w:r>
          </w:p>
        </w:tc>
        <w:tc>
          <w:tcPr/>
          <w:p>
            <w:pPr>
              <w:pStyle w:val="Compact"/>
            </w:pPr>
            <w:r>
              <w:t xml:space="preserve">None</w:t>
            </w:r>
            <w:r>
              <w:t xml:space="preserve"> </w:t>
            </w:r>
            <w:r>
              <w:rPr>
                <w:b/>
                <w:bCs/>
              </w:rPr>
              <w:t xml:space="preserve">[Oct 2026: water-supply anecdote withdrawn]</w:t>
            </w:r>
          </w:p>
        </w:tc>
        <w:tc>
          <w:tcPr/>
          <w:p>
            <w:pPr>
              <w:pStyle w:val="Compact"/>
            </w:pPr>
            <w:r>
              <w:t xml:space="preserve">Deegan et al. 2012 (mechanism)</w:t>
            </w:r>
          </w:p>
        </w:tc>
        <w:tc>
          <w:tcPr/>
          <w:p>
            <w:pPr>
              <w:pStyle w:val="Compact"/>
            </w:pPr>
            <w:r>
              <w:t xml:space="preserve">SPECULATIVE</w:t>
            </w:r>
          </w:p>
        </w:tc>
      </w:tr>
      <w:tr>
        <w:tc>
          <w:tcPr/>
          <w:p>
            <w:pPr>
              <w:pStyle w:val="Compact"/>
            </w:pPr>
            <w:r>
              <w:t xml:space="preserve">Ribbed mussel</w:t>
            </w:r>
          </w:p>
        </w:tc>
        <w:tc>
          <w:tcPr/>
          <w:p>
            <w:pPr>
              <w:pStyle w:val="Compact"/>
            </w:pPr>
            <w:r>
              <w:t xml:space="preserve">Marsh edge; Spartina mutualism</w:t>
            </w:r>
          </w:p>
        </w:tc>
        <w:tc>
          <w:tcPr/>
          <w:p>
            <w:pPr>
              <w:pStyle w:val="Compact"/>
            </w:pPr>
            <w:r>
              <w:t xml:space="preserve">Direct filter-feeding exposure; N cycling disruption</w:t>
            </w:r>
          </w:p>
        </w:tc>
        <w:tc>
          <w:tcPr/>
          <w:p>
            <w:pPr>
              <w:pStyle w:val="Compact"/>
            </w:pPr>
            <w:r>
              <w:t xml:space="preserve">None directly</w:t>
            </w:r>
          </w:p>
        </w:tc>
        <w:tc>
          <w:tcPr/>
          <w:p>
            <w:pPr>
              <w:pStyle w:val="Compact"/>
            </w:pPr>
            <w:r>
              <w:t xml:space="preserve">Bertness 1984; Kreeger &amp; Newell 2001</w:t>
            </w:r>
          </w:p>
        </w:tc>
        <w:tc>
          <w:tcPr/>
          <w:p>
            <w:pPr>
              <w:pStyle w:val="Compact"/>
            </w:pPr>
            <w:r>
              <w:t xml:space="preserve">Mechanism ESTABLISHED; attribution PLAUSIBLE</w:t>
            </w:r>
          </w:p>
        </w:tc>
      </w:tr>
      <w:tr>
        <w:tc>
          <w:tcPr/>
          <w:p>
            <w:pPr>
              <w:pStyle w:val="Compact"/>
            </w:pPr>
            <w:r>
              <w:t xml:space="preserve">Fiddler crab</w:t>
            </w:r>
          </w:p>
        </w:tc>
        <w:tc>
          <w:tcPr/>
          <w:p>
            <w:pPr>
              <w:pStyle w:val="Compact"/>
            </w:pPr>
            <w:r>
              <w:t xml:space="preserve">Marsh peat; burrow substrate</w:t>
            </w:r>
          </w:p>
        </w:tc>
        <w:tc>
          <w:tcPr/>
          <w:p>
            <w:pPr>
              <w:pStyle w:val="Compact"/>
            </w:pPr>
            <w:r>
              <w:t xml:space="preserve">Peat collapse under severe enrichment</w:t>
            </w:r>
          </w:p>
        </w:tc>
        <w:tc>
          <w:tcPr/>
          <w:p>
            <w:pPr>
              <w:pStyle w:val="Compact"/>
            </w:pPr>
            <w:r>
              <w:t xml:space="preserve">None directly</w:t>
            </w:r>
          </w:p>
        </w:tc>
        <w:tc>
          <w:tcPr/>
          <w:p>
            <w:pPr>
              <w:pStyle w:val="Compact"/>
            </w:pPr>
            <w:r>
              <w:t xml:space="preserve">Deegan et al. 2012</w:t>
            </w:r>
          </w:p>
        </w:tc>
        <w:tc>
          <w:tcPr/>
          <w:p>
            <w:pPr>
              <w:pStyle w:val="Compact"/>
            </w:pPr>
            <w:r>
              <w:t xml:space="preserve">Mechanism ESTABLISHED; attribution PLAUSIBLE</w:t>
            </w:r>
          </w:p>
        </w:tc>
      </w:tr>
      <w:tr>
        <w:tc>
          <w:tcPr/>
          <w:p>
            <w:pPr>
              <w:pStyle w:val="Compact"/>
            </w:pPr>
            <w:r>
              <w:t xml:space="preserve">Migratory waterfowl</w:t>
            </w:r>
          </w:p>
        </w:tc>
        <w:tc>
          <w:tcPr/>
          <w:p>
            <w:pPr>
              <w:pStyle w:val="Compact"/>
            </w:pPr>
            <w:r>
              <w:t xml:space="preserve">SAV forage (brant esp.)</w:t>
            </w:r>
          </w:p>
        </w:tc>
        <w:tc>
          <w:tcPr/>
          <w:p>
            <w:pPr>
              <w:pStyle w:val="Compact"/>
            </w:pPr>
            <w:r>
              <w:t xml:space="preserve">SAV loss via N</w:t>
            </w:r>
          </w:p>
        </w:tc>
        <w:tc>
          <w:tcPr/>
          <w:p>
            <w:pPr>
              <w:pStyle w:val="Compact"/>
            </w:pPr>
            <w:r>
              <w:t xml:space="preserve">Perry &amp; Deller 1996</w:t>
            </w:r>
          </w:p>
        </w:tc>
        <w:tc>
          <w:tcPr/>
          <w:p>
            <w:pPr>
              <w:pStyle w:val="Compact"/>
            </w:pPr>
            <w:r>
              <w:t xml:space="preserve">Lefcheck et al. 2018</w:t>
            </w:r>
          </w:p>
        </w:tc>
        <w:tc>
          <w:tcPr/>
          <w:p>
            <w:pPr>
              <w:pStyle w:val="Compact"/>
            </w:pPr>
            <w:r>
              <w:t xml:space="preserve">SAV coupling ESTABLISHED; septic attribution SPECULATIVE</w:t>
            </w:r>
            <w:r>
              <w:t xml:space="preserve"> </w:t>
            </w:r>
            <w:r>
              <w:rPr>
                <w:b/>
                <w:bCs/>
              </w:rPr>
              <w:t xml:space="preserve">[Oct 2026: was PLAUSIBLE]</w:t>
            </w:r>
          </w:p>
        </w:tc>
      </w:tr>
      <w:tr>
        <w:tc>
          <w:tcPr/>
          <w:p>
            <w:pPr>
              <w:pStyle w:val="Compact"/>
            </w:pPr>
            <w:r>
              <w:t xml:space="preserve">Bald eagle</w:t>
            </w:r>
          </w:p>
        </w:tc>
        <w:tc>
          <w:tcPr/>
          <w:p>
            <w:pPr>
              <w:pStyle w:val="Compact"/>
            </w:pPr>
            <w:r>
              <w:t xml:space="preserve">Fish prey; bioaccumulation-sensitive</w:t>
            </w:r>
          </w:p>
        </w:tc>
        <w:tc>
          <w:tcPr/>
          <w:p>
            <w:pPr>
              <w:pStyle w:val="Compact"/>
            </w:pPr>
            <w:r>
              <w:t xml:space="preserve">PPCPs/PFAS in food web</w:t>
            </w:r>
          </w:p>
        </w:tc>
        <w:tc>
          <w:tcPr/>
          <w:p>
            <w:pPr>
              <w:pStyle w:val="Compact"/>
            </w:pPr>
            <w:r>
              <w:t xml:space="preserve">None directly</w:t>
            </w:r>
          </w:p>
        </w:tc>
        <w:tc>
          <w:tcPr/>
          <w:p>
            <w:pPr>
              <w:pStyle w:val="Compact"/>
            </w:pPr>
            <w:r>
              <w:t xml:space="preserve">Pathway 1 analogue data</w:t>
            </w:r>
          </w:p>
        </w:tc>
        <w:tc>
          <w:tcPr/>
          <w:p>
            <w:pPr>
              <w:pStyle w:val="Compact"/>
            </w:pPr>
            <w:r>
              <w:t xml:space="preserve">SPECULATIVE</w:t>
            </w:r>
          </w:p>
        </w:tc>
      </w:tr>
    </w:tbl>
    <w:p>
      <w:pPr>
        <w:pStyle w:val="BodyText"/>
      </w:pPr>
      <w:r>
        <w:t xml:space="preserve">The honest summary of this table is that three evidence patterns dominate. (1) For habitat-forming species and the fauna most tightly coupled to SAV or to salt marsh structure, the mechanism is well established and the ESVA-specific septic attribution is PLAUSIBLE — defensibly supported but not quantitatively proven. (2) For species that depend on SAV indirectly (blue crab, bay scallop, waterfowl), the habitat-mediated link is strong but the attribution of ESVA population change to septic specifically is SPECULATIVE given competing drivers. (3) For several iconic species that the public most closely associates with ESVA — the Chincoteague ponies, horseshoe crabs, red knot, piping plover — the septic pathway is real in principle but the direct evidence is absent or very weak, and they are included here for completeness and honest scoping rather than because they are the strongest links.</w:t>
      </w:r>
    </w:p>
    <w:bookmarkEnd w:id="22"/>
    <w:bookmarkStart w:id="23" w:name="data-gaps"/>
    <w:p>
      <w:pPr>
        <w:pStyle w:val="Heading2"/>
      </w:pPr>
      <w:r>
        <w:t xml:space="preserve">Data gaps</w:t>
      </w:r>
    </w:p>
    <w:p>
      <w:pPr>
        <w:pStyle w:val="FirstParagraph"/>
      </w:pPr>
      <w:r>
        <w:t xml:space="preserve">Because this pathway has the widest range of evidence strengths of any in the synthesis, the data gaps are specific to individual species or species complexes rather than common to the whole pathway.</w:t>
      </w:r>
    </w:p>
    <w:p>
      <w:pPr>
        <w:numPr>
          <w:ilvl w:val="0"/>
          <w:numId w:val="1002"/>
        </w:numPr>
      </w:pPr>
      <w:r>
        <w:rPr>
          <w:b/>
          <w:bCs/>
        </w:rPr>
        <w:t xml:space="preserve">Bay scallop population resilience to nutrient loading.</w:t>
      </w:r>
      <w:r>
        <w:t xml:space="preserve"> </w:t>
      </w:r>
      <w:r>
        <w:t xml:space="preserve">The sensitivity of the restored ESVA seaside bay scallop population to incremental N loading has not been tested.</w:t>
      </w:r>
      <w:r>
        <w:t xml:space="preserve"> </w:t>
      </w:r>
      <w:r>
        <w:rPr>
          <w:b/>
          <w:bCs/>
        </w:rPr>
        <w:t xml:space="preserve">[Oct 2026]</w:t>
      </w:r>
      <w:r>
        <w:t xml:space="preserve"> </w:t>
      </w:r>
      <w:r>
        <w:t xml:space="preserve">Earlier text described the population as</w:t>
      </w:r>
      <w:r>
        <w:t xml:space="preserve"> </w:t>
      </w:r>
      <w:r>
        <w:t xml:space="preserve">“the only one of its kind globally”</w:t>
      </w:r>
      <w:r>
        <w:t xml:space="preserve">; that claim is unsourced and has been removed. A modeling study coupling Hesamfar et al. (in review) groundwater N delivery to</w:t>
      </w:r>
      <w:r>
        <w:t xml:space="preserve"> </w:t>
      </w:r>
      <w:r>
        <w:rPr>
          <w:i/>
          <w:iCs/>
        </w:rPr>
        <w:t xml:space="preserve">Zostera</w:t>
      </w:r>
      <w:r>
        <w:t xml:space="preserve"> </w:t>
      </w:r>
      <w:r>
        <w:t xml:space="preserve">meadow condition and to recruitment dynamics would estimate the meadow’s nutrient tolerance, which has never been estimated.</w:t>
      </w:r>
    </w:p>
    <w:p>
      <w:pPr>
        <w:numPr>
          <w:ilvl w:val="0"/>
          <w:numId w:val="1002"/>
        </w:numPr>
      </w:pPr>
      <w:r>
        <w:rPr>
          <w:b/>
          <w:bCs/>
        </w:rPr>
        <w:t xml:space="preserve">Quantitative SAV-to-faunal-cascade attribution.</w:t>
      </w:r>
      <w:r>
        <w:t xml:space="preserve"> </w:t>
      </w:r>
      <w:r>
        <w:t xml:space="preserve">Lefcheck et al. (2018, 2019) established that SAV area predicts faunal abundance at Bay-wide scale. A parallel analysis at ESVA-creek scale, partitioned by loading source, has not been done. This could be framed as an ESCC capstone using public CBP monitoring data.</w:t>
      </w:r>
    </w:p>
    <w:p>
      <w:pPr>
        <w:numPr>
          <w:ilvl w:val="0"/>
          <w:numId w:val="1002"/>
        </w:numPr>
      </w:pPr>
      <w:r>
        <w:rPr>
          <w:b/>
          <w:bCs/>
        </w:rPr>
        <w:t xml:space="preserve">Blue crab nursery habitat sensitivity to local N loading.</w:t>
      </w:r>
      <w:r>
        <w:t xml:space="preserve"> </w:t>
      </w:r>
      <w:r>
        <w:t xml:space="preserve">The CBSAC 2022 assessment motivates a targeted analysis of how ESVA sub-basin blue crab recruitment tracks local SAV status and N loading, distinct from Bay-wide drivers. VIMS juvenile crab surveys and the CBP CAST model are the starting datasets.</w:t>
      </w:r>
    </w:p>
    <w:p>
      <w:pPr>
        <w:numPr>
          <w:ilvl w:val="0"/>
          <w:numId w:val="1002"/>
        </w:numPr>
      </w:pPr>
      <w:r>
        <w:rPr>
          <w:b/>
          <w:bCs/>
        </w:rPr>
        <w:t xml:space="preserve">Terrapin prey base and exposure pathways on ESVA.</w:t>
      </w:r>
      <w:r>
        <w:t xml:space="preserve"> </w:t>
      </w:r>
      <w:r>
        <w:t xml:space="preserve">No study has measured how ESVA terrapin population density, body condition, or parasite burden varies with watershed septic density. Isdell, Chambers, and Bilkovic at VIMS are the natural collaborators.</w:t>
      </w:r>
    </w:p>
    <w:p>
      <w:pPr>
        <w:numPr>
          <w:ilvl w:val="0"/>
          <w:numId w:val="1002"/>
        </w:numPr>
      </w:pPr>
      <w:r>
        <w:rPr>
          <w:b/>
          <w:bCs/>
        </w:rPr>
        <w:t xml:space="preserve">Horseshoe crab embryo exposure to septic-derived contaminants on ESVA spawning beaches.</w:t>
      </w:r>
      <w:r>
        <w:t xml:space="preserve"> </w:t>
      </w:r>
      <w:r>
        <w:t xml:space="preserve">The peer-reviewed literature has not addressed whether adjacent-upland septic contamination affects horseshoe crab embryo development at documented field concentrations. This is a genuinely open question and a publication-worthy study design.</w:t>
      </w:r>
    </w:p>
    <w:p>
      <w:pPr>
        <w:numPr>
          <w:ilvl w:val="0"/>
          <w:numId w:val="1002"/>
        </w:numPr>
      </w:pPr>
      <w:r>
        <w:rPr>
          <w:b/>
          <w:bCs/>
        </w:rPr>
        <w:t xml:space="preserve">Ribbed mussel filtration capacity as a creek-scale septic mitigation metric.</w:t>
      </w:r>
      <w:r>
        <w:t xml:space="preserve"> </w:t>
      </w:r>
      <w:r>
        <w:t xml:space="preserve">If ribbed mussels filter septic-derived bacteria and sequester N at creek-scale rates that matter, they represent both a natural attenuation service and an exposure pathway. The data exist in the general ecology literature but have not been applied to ESVA creeks.</w:t>
      </w:r>
    </w:p>
    <w:p>
      <w:pPr>
        <w:numPr>
          <w:ilvl w:val="0"/>
          <w:numId w:val="1002"/>
        </w:numPr>
      </w:pPr>
      <w:r>
        <w:rPr>
          <w:b/>
          <w:bCs/>
        </w:rPr>
        <w:t xml:space="preserve">Barrier-island freshwater-lens ecology.</w:t>
      </w:r>
      <w:r>
        <w:t xml:space="preserve"> </w:t>
      </w:r>
      <w:r>
        <w:t xml:space="preserve">The backbarrier freshwater lenses that support invertebrate prey bases for nesting shorebirds on Fisherman, Parramore, and Cedar Islands are under-studied, and their sensitivity to incremental nutrient loading from septic sources on the mainland via tidal exchange has not been characterized.</w:t>
      </w:r>
    </w:p>
    <w:p>
      <w:pPr>
        <w:numPr>
          <w:ilvl w:val="0"/>
          <w:numId w:val="1002"/>
        </w:numPr>
      </w:pPr>
      <w:r>
        <w:rPr>
          <w:b/>
          <w:bCs/>
        </w:rPr>
        <w:t xml:space="preserve">Honest baseline for the Chincoteague ponies / horseshoe crab / red knot pathway.</w:t>
      </w:r>
      <w:r>
        <w:t xml:space="preserve"> </w:t>
      </w:r>
      <w:r>
        <w:t xml:space="preserve">These three species are the ones most likely to appear in public-facing outreach about ESVA ecology. Before any outreach materials are produced, a scoping study that lays out the actual evidence for each is essential — the risk of overclaiming is highest here.</w:t>
      </w:r>
    </w:p>
    <w:bookmarkEnd w:id="23"/>
    <w:bookmarkStart w:id="24" w:name="references"/>
    <w:p>
      <w:pPr>
        <w:pStyle w:val="Heading2"/>
      </w:pPr>
      <w:r>
        <w:t xml:space="preserve">References</w:t>
      </w:r>
    </w:p>
    <w:p>
      <w:pPr>
        <w:pStyle w:val="FirstParagraph"/>
      </w:pPr>
      <w:r>
        <w:t xml:space="preserve">[Oct 2026: unverified; conflicts with the Aoki 2020 entry in ECOLOGICAL_BIBLIOGRAPHY.md, and does not report scallop or faunal data] Aoki, L. R., K. J. McGlathery, and R. J. Orth. 2020. Seagrass restoration reestablishes the coastal carbon cycle.</w:t>
      </w:r>
      <w:r>
        <w:t xml:space="preserve"> </w:t>
      </w:r>
      <w:r>
        <w:rPr>
          <w:i/>
          <w:iCs/>
        </w:rPr>
        <w:t xml:space="preserve">Limnology and Oceanography Letters</w:t>
      </w:r>
      <w:r>
        <w:t xml:space="preserve"> </w:t>
      </w:r>
      <w:r>
        <w:t xml:space="preserve">5(6): 465–472.</w:t>
      </w:r>
    </w:p>
    <w:p>
      <w:pPr>
        <w:pStyle w:val="BodyText"/>
      </w:pPr>
      <w:r>
        <w:t xml:space="preserve">ASMFC (Atlantic States Marine Fisheries Commission). 2019.</w:t>
      </w:r>
      <w:r>
        <w:t xml:space="preserve"> </w:t>
      </w:r>
      <w:r>
        <w:rPr>
          <w:i/>
          <w:iCs/>
        </w:rPr>
        <w:t xml:space="preserve">2019 horseshoe crab benchmark stock assessment and peer review report.</w:t>
      </w:r>
      <w:r>
        <w:t xml:space="preserve"> </w:t>
      </w:r>
      <w:r>
        <w:t xml:space="preserve">Arlington, VA.</w:t>
      </w:r>
    </w:p>
    <w:p>
      <w:pPr>
        <w:pStyle w:val="BodyText"/>
      </w:pPr>
      <w:r>
        <w:t xml:space="preserve">Baker, A. J., P. M. González, T. Piersma, L. J. Niles, I. de Lima Serrano do Nascimento, P. W. Atkinson, N. A. Clark, C. D. T. Minton, M. K. Peck, and G. Aarts. 2004. Rapid population decline in red knots: fitness consequences of decreased refuelling rates and late arrival in Delaware Bay.</w:t>
      </w:r>
      <w:r>
        <w:t xml:space="preserve"> </w:t>
      </w:r>
      <w:r>
        <w:rPr>
          <w:i/>
          <w:iCs/>
        </w:rPr>
        <w:t xml:space="preserve">Proceedings of the Royal Society B</w:t>
      </w:r>
      <w:r>
        <w:t xml:space="preserve"> </w:t>
      </w:r>
      <w:r>
        <w:t xml:space="preserve">271(1541): 875–882.</w:t>
      </w:r>
    </w:p>
    <w:p>
      <w:pPr>
        <w:pStyle w:val="BodyText"/>
      </w:pPr>
      <w:r>
        <w:rPr>
          <w:b/>
          <w:bCs/>
        </w:rPr>
        <w:t xml:space="preserve">[Oct 2026: this reference could not be located and appears to be constructed; the claim it supported is withdrawn. Do not cite.]</w:t>
      </w:r>
      <w:r>
        <w:t xml:space="preserve"> </w:t>
      </w:r>
      <w:r>
        <w:t xml:space="preserve">Bay Journal. 2005. On Virginia’s Chincoteague, piping in water brings relief from septic contamination. Alliance for the Chesapeake Bay.</w:t>
      </w:r>
    </w:p>
    <w:p>
      <w:pPr>
        <w:pStyle w:val="BodyText"/>
      </w:pPr>
      <w:r>
        <w:t xml:space="preserve">Bertness, M. D. 1984. Ribbed mussels and</w:t>
      </w:r>
      <w:r>
        <w:t xml:space="preserve"> </w:t>
      </w:r>
      <w:r>
        <w:rPr>
          <w:i/>
          <w:iCs/>
        </w:rPr>
        <w:t xml:space="preserve">Spartina alterniflora</w:t>
      </w:r>
      <w:r>
        <w:t xml:space="preserve"> </w:t>
      </w:r>
      <w:r>
        <w:t xml:space="preserve">production in a New England salt marsh.</w:t>
      </w:r>
      <w:r>
        <w:t xml:space="preserve"> </w:t>
      </w:r>
      <w:r>
        <w:rPr>
          <w:i/>
          <w:iCs/>
        </w:rPr>
        <w:t xml:space="preserve">Ecology</w:t>
      </w:r>
      <w:r>
        <w:t xml:space="preserve"> </w:t>
      </w:r>
      <w:r>
        <w:t xml:space="preserve">65(6): 1794–1807.</w:t>
      </w:r>
    </w:p>
    <w:p>
      <w:pPr>
        <w:pStyle w:val="BodyText"/>
      </w:pPr>
      <w:r>
        <w:t xml:space="preserve">Bilkovic, D. M., M. M. Mitchell, R. E. Isdell, M. Schliep, and A. R. Smyth. 2015. The influence of shoreline development on diamondback terrapin populations.</w:t>
      </w:r>
      <w:r>
        <w:t xml:space="preserve"> </w:t>
      </w:r>
      <w:r>
        <w:rPr>
          <w:i/>
          <w:iCs/>
        </w:rPr>
        <w:t xml:space="preserve">Biological Conservation</w:t>
      </w:r>
      <w:r>
        <w:t xml:space="preserve"> </w:t>
      </w:r>
      <w:r>
        <w:t xml:space="preserve">189: 84–92.</w:t>
      </w:r>
    </w:p>
    <w:p>
      <w:pPr>
        <w:pStyle w:val="BodyText"/>
      </w:pPr>
      <w:r>
        <w:t xml:space="preserve">[Oct 2026: unverified — not found in Crossref] Carroll, J. M., L. J. Jackson, and B. J. Peterson. 2015. The effect of increasing loads of nitrogen on eelgrass and its ecology.</w:t>
      </w:r>
      <w:r>
        <w:t xml:space="preserve"> </w:t>
      </w:r>
      <w:r>
        <w:rPr>
          <w:i/>
          <w:iCs/>
        </w:rPr>
        <w:t xml:space="preserve">Environmental Reviews</w:t>
      </w:r>
      <w:r>
        <w:t xml:space="preserve"> </w:t>
      </w:r>
      <w:r>
        <w:t xml:space="preserve">23(4): 399–410.</w:t>
      </w:r>
    </w:p>
    <w:p>
      <w:pPr>
        <w:pStyle w:val="BodyText"/>
      </w:pPr>
      <w:r>
        <w:t xml:space="preserve">Carroll, J., C. J. Gobler, and B. J. Peterson. 2010. Resource-restricted growth of eelgrass in New York estuaries.</w:t>
      </w:r>
      <w:r>
        <w:t xml:space="preserve"> </w:t>
      </w:r>
      <w:r>
        <w:rPr>
          <w:i/>
          <w:iCs/>
        </w:rPr>
        <w:t xml:space="preserve">Limnology and Oceanography</w:t>
      </w:r>
      <w:r>
        <w:t xml:space="preserve"> </w:t>
      </w:r>
      <w:r>
        <w:t xml:space="preserve">55(1): 100–110.</w:t>
      </w:r>
    </w:p>
    <w:p>
      <w:pPr>
        <w:pStyle w:val="BodyText"/>
      </w:pPr>
      <w:r>
        <w:t xml:space="preserve">CBSAC (Chesapeake Bay Stock Assessment Committee). 2022.</w:t>
      </w:r>
      <w:r>
        <w:t xml:space="preserve"> </w:t>
      </w:r>
      <w:r>
        <w:rPr>
          <w:i/>
          <w:iCs/>
        </w:rPr>
        <w:t xml:space="preserve">2022 Chesapeake Bay blue crab advisory report.</w:t>
      </w:r>
      <w:r>
        <w:t xml:space="preserve"> </w:t>
      </w:r>
      <w:r>
        <w:t xml:space="preserve">NOAA Chesapeake Bay Office.</w:t>
      </w:r>
    </w:p>
    <w:p>
      <w:pPr>
        <w:pStyle w:val="BodyText"/>
      </w:pPr>
      <w:r>
        <w:t xml:space="preserve">Deegan, L. A., D. S. Johnson, R. S. Warren, B. J. Peterson, J. W. Fleeger, S. Fagherazzi, and W. M. Wollheim. 2012. Coastal eutrophication as a driver of salt marsh loss.</w:t>
      </w:r>
      <w:r>
        <w:t xml:space="preserve"> </w:t>
      </w:r>
      <w:r>
        <w:rPr>
          <w:i/>
          <w:iCs/>
        </w:rPr>
        <w:t xml:space="preserve">Nature</w:t>
      </w:r>
      <w:r>
        <w:t xml:space="preserve"> </w:t>
      </w:r>
      <w:r>
        <w:t xml:space="preserve">490(7420): 388–392. doi:10.1038/nature11533.</w:t>
      </w:r>
    </w:p>
    <w:p>
      <w:pPr>
        <w:pStyle w:val="BodyText"/>
      </w:pPr>
      <w:r>
        <w:t xml:space="preserve">Dungan, C. F., K. L. Arens, and W. H. Watson. 2008.</w:t>
      </w:r>
      <w:r>
        <w:t xml:space="preserve"> </w:t>
      </w:r>
      <w:r>
        <w:rPr>
          <w:i/>
          <w:iCs/>
        </w:rPr>
        <w:t xml:space="preserve">Limulus polyphemus</w:t>
      </w:r>
      <w:r>
        <w:t xml:space="preserve"> </w:t>
      </w:r>
      <w:r>
        <w:t xml:space="preserve">embryo tolerance to environmental stressors.</w:t>
      </w:r>
      <w:r>
        <w:t xml:space="preserve"> </w:t>
      </w:r>
      <w:r>
        <w:rPr>
          <w:i/>
          <w:iCs/>
        </w:rPr>
        <w:t xml:space="preserve">Journal of Shellfish Research</w:t>
      </w:r>
      <w:r>
        <w:t xml:space="preserve"> </w:t>
      </w:r>
      <w:r>
        <w:t xml:space="preserve">27(4): 807–814.</w:t>
      </w:r>
    </w:p>
    <w:p>
      <w:pPr>
        <w:pStyle w:val="BodyText"/>
      </w:pPr>
      <w:r>
        <w:t xml:space="preserve">Ford, S. E., and M. R. Tripp. 1996. Diseases and defense mechanisms. In Kennedy, V. S., R. I. E. Newell, and A. F. Eble (eds.),</w:t>
      </w:r>
      <w:r>
        <w:t xml:space="preserve"> </w:t>
      </w:r>
      <w:r>
        <w:rPr>
          <w:i/>
          <w:iCs/>
        </w:rPr>
        <w:t xml:space="preserve">The Eastern Oyster, Crassostrea virginica.</w:t>
      </w:r>
      <w:r>
        <w:t xml:space="preserve"> </w:t>
      </w:r>
      <w:r>
        <w:t xml:space="preserve">Maryland Sea Grant, College Park, MD.</w:t>
      </w:r>
    </w:p>
    <w:p>
      <w:pPr>
        <w:pStyle w:val="BodyText"/>
      </w:pPr>
      <w:r>
        <w:t xml:space="preserve">Gobler, C. J., G. E. Boneillo, and C. J. Debenham. 2005. Ecology, phylogeny, and physiology of the harmful brown tide alga,</w:t>
      </w:r>
      <w:r>
        <w:t xml:space="preserve"> </w:t>
      </w:r>
      <w:r>
        <w:rPr>
          <w:i/>
          <w:iCs/>
        </w:rPr>
        <w:t xml:space="preserve">Aureococcus anophagefferens. Harmful Algae</w:t>
      </w:r>
      <w:r>
        <w:t xml:space="preserve"> </w:t>
      </w:r>
      <w:r>
        <w:t xml:space="preserve">4(4): 649–669.</w:t>
      </w:r>
    </w:p>
    <w:p>
      <w:pPr>
        <w:pStyle w:val="BodyText"/>
      </w:pPr>
      <w:r>
        <w:t xml:space="preserve">Gobler, C. J., and W. G. Sunda. 2012. Ecosystem disruptive algal blooms of the brown tide species,</w:t>
      </w:r>
      <w:r>
        <w:t xml:space="preserve"> </w:t>
      </w:r>
      <w:r>
        <w:rPr>
          <w:i/>
          <w:iCs/>
        </w:rPr>
        <w:t xml:space="preserve">Aureococcus anophagefferens</w:t>
      </w:r>
      <w:r>
        <w:t xml:space="preserve"> </w:t>
      </w:r>
      <w:r>
        <w:t xml:space="preserve">and</w:t>
      </w:r>
      <w:r>
        <w:t xml:space="preserve"> </w:t>
      </w:r>
      <w:r>
        <w:rPr>
          <w:i/>
          <w:iCs/>
        </w:rPr>
        <w:t xml:space="preserve">Aureoumbra lagunensis. Harmful Algae</w:t>
      </w:r>
      <w:r>
        <w:t xml:space="preserve"> </w:t>
      </w:r>
      <w:r>
        <w:t xml:space="preserve">14: 36–45.</w:t>
      </w:r>
    </w:p>
    <w:p>
      <w:pPr>
        <w:pStyle w:val="BodyText"/>
      </w:pPr>
      <w:r>
        <w:t xml:space="preserve">Grabowski, J. H., R. D. Brumbaugh, R. F. Conrad, A. G. Keeler, J. J. Opaluch, C. H. Peterson, M. F. Piehler, S. P. Powers, and A. R. Smyth. 2012. Economic valuation of ecosystem services provided by oyster reefs.</w:t>
      </w:r>
      <w:r>
        <w:t xml:space="preserve"> </w:t>
      </w:r>
      <w:r>
        <w:rPr>
          <w:i/>
          <w:iCs/>
        </w:rPr>
        <w:t xml:space="preserve">BioScience</w:t>
      </w:r>
      <w:r>
        <w:t xml:space="preserve"> </w:t>
      </w:r>
      <w:r>
        <w:t xml:space="preserve">62(10): 900–909.</w:t>
      </w:r>
    </w:p>
    <w:p>
      <w:pPr>
        <w:pStyle w:val="BodyText"/>
      </w:pPr>
      <w:r>
        <w:t xml:space="preserve">Hines, A. H. 2007. Ecology of juvenile and adult blue crabs. In Kennedy, V. S. and L. E. Cronin (eds.),</w:t>
      </w:r>
      <w:r>
        <w:t xml:space="preserve"> </w:t>
      </w:r>
      <w:r>
        <w:rPr>
          <w:i/>
          <w:iCs/>
        </w:rPr>
        <w:t xml:space="preserve">The Blue Crab: Callinectes sapidus.</w:t>
      </w:r>
      <w:r>
        <w:t xml:space="preserve"> </w:t>
      </w:r>
      <w:r>
        <w:t xml:space="preserve">Maryland Sea Grant, College Park, MD.</w:t>
      </w:r>
    </w:p>
    <w:p>
      <w:pPr>
        <w:pStyle w:val="BodyText"/>
      </w:pPr>
      <w:r>
        <w:t xml:space="preserve">Isdell, R. E., R. M. Chambers, D. M. Bilkovic, and M. Leu. 2015. Effects of terrestrial-aquatic connectivity on an estuarine turtle.</w:t>
      </w:r>
      <w:r>
        <w:t xml:space="preserve"> </w:t>
      </w:r>
      <w:r>
        <w:rPr>
          <w:i/>
          <w:iCs/>
        </w:rPr>
        <w:t xml:space="preserve">Diversity and Distributions</w:t>
      </w:r>
      <w:r>
        <w:t xml:space="preserve"> </w:t>
      </w:r>
      <w:r>
        <w:t xml:space="preserve">21(6): 643–653.</w:t>
      </w:r>
    </w:p>
    <w:p>
      <w:pPr>
        <w:pStyle w:val="BodyText"/>
      </w:pPr>
      <w:r>
        <w:t xml:space="preserve">Kellogg, M. L., J. C. Cornwell, M. S. Owens, and K. T. Paynter. 2013. Denitrification and nutrient assimilation on a restored oyster reef.</w:t>
      </w:r>
      <w:r>
        <w:t xml:space="preserve"> </w:t>
      </w:r>
      <w:r>
        <w:rPr>
          <w:i/>
          <w:iCs/>
        </w:rPr>
        <w:t xml:space="preserve">Marine Ecology Progress Series</w:t>
      </w:r>
      <w:r>
        <w:t xml:space="preserve"> </w:t>
      </w:r>
      <w:r>
        <w:t xml:space="preserve">480: 1–19.</w:t>
      </w:r>
    </w:p>
    <w:p>
      <w:pPr>
        <w:pStyle w:val="BodyText"/>
      </w:pPr>
      <w:r>
        <w:t xml:space="preserve">Kemp, W. M., W. R. Boynton, J. E. Adolf, D. F. Boesch, W. C. Boicourt, G. Brush, J. C. Cornwell, T. R. Fisher, P. M. Glibert, J. D. Hagy, L. W. Harding, E. D. Houde, D. G. Kimmel, W. D. Miller, R. I. E. Newell, M. R. Roman, E. M. Smith, and J. C. Stevenson. 2005. Eutrophication of Chesapeake Bay: historical trends and ecological interactions.</w:t>
      </w:r>
      <w:r>
        <w:t xml:space="preserve"> </w:t>
      </w:r>
      <w:r>
        <w:rPr>
          <w:i/>
          <w:iCs/>
        </w:rPr>
        <w:t xml:space="preserve">Marine Ecology Progress Series</w:t>
      </w:r>
      <w:r>
        <w:t xml:space="preserve"> </w:t>
      </w:r>
      <w:r>
        <w:t xml:space="preserve">303: 1–29.</w:t>
      </w:r>
    </w:p>
    <w:p>
      <w:pPr>
        <w:pStyle w:val="BodyText"/>
      </w:pPr>
      <w:r>
        <w:t xml:space="preserve">Kennedy, V. S., R. I. E. Newell, and A. F. Eble (eds.). 1996.</w:t>
      </w:r>
      <w:r>
        <w:t xml:space="preserve"> </w:t>
      </w:r>
      <w:r>
        <w:rPr>
          <w:i/>
          <w:iCs/>
        </w:rPr>
        <w:t xml:space="preserve">The Eastern Oyster, Crassostrea virginica.</w:t>
      </w:r>
      <w:r>
        <w:t xml:space="preserve"> </w:t>
      </w:r>
      <w:r>
        <w:t xml:space="preserve">Maryland Sea Grant, College Park, MD.</w:t>
      </w:r>
    </w:p>
    <w:p>
      <w:pPr>
        <w:pStyle w:val="BodyText"/>
      </w:pPr>
      <w:r>
        <w:t xml:space="preserve">Kinney, E. L., and I. Valiela. 2011. Nitrogen loading to Great South Bay: land use, sources, retention, and transport from land to bay.</w:t>
      </w:r>
      <w:r>
        <w:t xml:space="preserve"> </w:t>
      </w:r>
      <w:r>
        <w:rPr>
          <w:i/>
          <w:iCs/>
        </w:rPr>
        <w:t xml:space="preserve">Journal of Coastal Research</w:t>
      </w:r>
      <w:r>
        <w:t xml:space="preserve"> </w:t>
      </w:r>
      <w:r>
        <w:t xml:space="preserve">27(4): 672–686.</w:t>
      </w:r>
    </w:p>
    <w:p>
      <w:pPr>
        <w:pStyle w:val="BodyText"/>
      </w:pPr>
      <w:r>
        <w:t xml:space="preserve">Kreeger, D. A., and R. I. E. Newell. 2001. Trophic complexity between producers and invertebrate consumers in salt marshes. In Weinstein, M. P. and D. A. Kreeger (eds.),</w:t>
      </w:r>
      <w:r>
        <w:t xml:space="preserve"> </w:t>
      </w:r>
      <w:r>
        <w:rPr>
          <w:i/>
          <w:iCs/>
        </w:rPr>
        <w:t xml:space="preserve">Concepts and Controversies in Tidal Marsh Ecology.</w:t>
      </w:r>
      <w:r>
        <w:t xml:space="preserve"> </w:t>
      </w:r>
      <w:r>
        <w:t xml:space="preserve">Kluwer Academic Publishers.</w:t>
      </w:r>
    </w:p>
    <w:p>
      <w:pPr>
        <w:pStyle w:val="BodyText"/>
      </w:pPr>
      <w:r>
        <w:t xml:space="preserve">La Peyre, M. K., A. T. Humphries, S. M. Casas, and J. F. La Peyre. 2014. Temporal variation in development of ecosystem services from oyster reef restoration.</w:t>
      </w:r>
      <w:r>
        <w:t xml:space="preserve"> </w:t>
      </w:r>
      <w:r>
        <w:rPr>
          <w:i/>
          <w:iCs/>
        </w:rPr>
        <w:t xml:space="preserve">Ecological Engineering</w:t>
      </w:r>
      <w:r>
        <w:t xml:space="preserve"> </w:t>
      </w:r>
      <w:r>
        <w:t xml:space="preserve">63: 34–44.</w:t>
      </w:r>
      <w:r>
        <w:t xml:space="preserve"> </w:t>
      </w:r>
      <w:r>
        <w:rPr>
          <w:b/>
          <w:bCs/>
        </w:rPr>
        <w:t xml:space="preserve">[Oct 2026: year corrected from 2010 per Crossref; does not address Dermo–nutrient interactions]</w:t>
      </w:r>
    </w:p>
    <w:p>
      <w:pPr>
        <w:pStyle w:val="BodyText"/>
      </w:pPr>
      <w:r>
        <w:t xml:space="preserve">Lefcheck, J. S., R. J. Orth, W. C. Dennison, D. J. Wilcox, R. R. Murphy, J. Keisman, C. Gurbisz, M. Hannam, J. B. Landry, K. A. Moore, C. J. Patrick, J. Testa, D. E. Weller, and R. A. Batiuk. 2018. Long-term nutrient reductions lead to the unprecedented recovery of a temperate coastal region.</w:t>
      </w:r>
      <w:r>
        <w:t xml:space="preserve"> </w:t>
      </w:r>
      <w:r>
        <w:rPr>
          <w:i/>
          <w:iCs/>
        </w:rPr>
        <w:t xml:space="preserve">Proceedings of the National Academy of Sciences</w:t>
      </w:r>
      <w:r>
        <w:t xml:space="preserve"> </w:t>
      </w:r>
      <w:r>
        <w:t xml:space="preserve">115(14): 3658–3662.</w:t>
      </w:r>
    </w:p>
    <w:p>
      <w:pPr>
        <w:pStyle w:val="BodyText"/>
      </w:pPr>
      <w:r>
        <w:t xml:space="preserve">Lefcheck, J. S., B. B. Hughes, A. J. Johnson, B. W. Pfirrmann, D. B. Rasher, A. R. Smyth, B. L. Williams, M. W. Beck, and R. J. Orth. 2019. Are coastal habitats important nurseries? A meta-analysis.</w:t>
      </w:r>
      <w:r>
        <w:t xml:space="preserve"> </w:t>
      </w:r>
      <w:r>
        <w:rPr>
          <w:i/>
          <w:iCs/>
        </w:rPr>
        <w:t xml:space="preserve">Conservation Letters</w:t>
      </w:r>
      <w:r>
        <w:t xml:space="preserve"> </w:t>
      </w:r>
      <w:r>
        <w:t xml:space="preserve">12(4): e12645.</w:t>
      </w:r>
    </w:p>
    <w:p>
      <w:pPr>
        <w:pStyle w:val="BodyText"/>
      </w:pPr>
      <w:r>
        <w:t xml:space="preserve">Lefcheck, J. S., D. J. Wilcox, R. R. Murphy, S. R. Marion, and R. J. Orth. 2017. Multiple stressors threaten the imperiled coastal foundation species eelgrass (</w:t>
      </w:r>
      <w:r>
        <w:rPr>
          <w:i/>
          <w:iCs/>
        </w:rPr>
        <w:t xml:space="preserve">Zostera marina</w:t>
      </w:r>
      <w:r>
        <w:t xml:space="preserve">) in Chesapeake Bay, USA.</w:t>
      </w:r>
      <w:r>
        <w:t xml:space="preserve"> </w:t>
      </w:r>
      <w:r>
        <w:rPr>
          <w:i/>
          <w:iCs/>
        </w:rPr>
        <w:t xml:space="preserve">Global Change Biology</w:t>
      </w:r>
      <w:r>
        <w:t xml:space="preserve"> </w:t>
      </w:r>
      <w:r>
        <w:t xml:space="preserve">23(9): 3474–3483.</w:t>
      </w:r>
    </w:p>
    <w:p>
      <w:pPr>
        <w:pStyle w:val="BodyText"/>
      </w:pPr>
      <w:r>
        <w:t xml:space="preserve">Lipcius, R. N., R. D. Seitz, M. S. Seebo, and D. Colón-Carrión. 2005. Density, abundance and survival of the blue crab in seagrass and unstructured salt marsh nurseries of Chesapeake Bay.</w:t>
      </w:r>
      <w:r>
        <w:t xml:space="preserve"> </w:t>
      </w:r>
      <w:r>
        <w:rPr>
          <w:i/>
          <w:iCs/>
        </w:rPr>
        <w:t xml:space="preserve">Journal of Experimental Marine Biology and Ecology</w:t>
      </w:r>
      <w:r>
        <w:t xml:space="preserve"> </w:t>
      </w:r>
      <w:r>
        <w:t xml:space="preserve">319(1–2): 69–80.</w:t>
      </w:r>
    </w:p>
    <w:p>
      <w:pPr>
        <w:pStyle w:val="BodyText"/>
      </w:pPr>
      <w:r>
        <w:t xml:space="preserve">Long, W. C., R. D. Seitz, and P. A. Montagna. 2014. Hypoxia in Chesapeake Bay tributaries: impacts on macrobenthic community structure and function.</w:t>
      </w:r>
      <w:r>
        <w:t xml:space="preserve"> </w:t>
      </w:r>
      <w:r>
        <w:rPr>
          <w:i/>
          <w:iCs/>
        </w:rPr>
        <w:t xml:space="preserve">Estuaries and Coasts</w:t>
      </w:r>
      <w:r>
        <w:t xml:space="preserve"> </w:t>
      </w:r>
      <w:r>
        <w:t xml:space="preserve">37: 1129–1145.</w:t>
      </w:r>
    </w:p>
    <w:p>
      <w:pPr>
        <w:pStyle w:val="BodyText"/>
      </w:pPr>
      <w:r>
        <w:t xml:space="preserve">National Park Service. 2023.</w:t>
      </w:r>
      <w:r>
        <w:t xml:space="preserve"> </w:t>
      </w:r>
      <w:r>
        <w:rPr>
          <w:i/>
          <w:iCs/>
        </w:rPr>
        <w:t xml:space="preserve">The feral horses of Assateague Island.</w:t>
      </w:r>
      <w:r>
        <w:t xml:space="preserve"> </w:t>
      </w:r>
      <w:r>
        <w:t xml:space="preserve">Assateague Island National Seashore.</w:t>
      </w:r>
    </w:p>
    <w:p>
      <w:pPr>
        <w:pStyle w:val="BodyText"/>
      </w:pPr>
      <w:r>
        <w:t xml:space="preserve">Newell, R. I. E. 2004. Ecosystem influences of natural and cultivated populations of suspension-feeding bivalve molluscs: a review.</w:t>
      </w:r>
      <w:r>
        <w:t xml:space="preserve"> </w:t>
      </w:r>
      <w:r>
        <w:rPr>
          <w:i/>
          <w:iCs/>
        </w:rPr>
        <w:t xml:space="preserve">Journal of Shellfish Research</w:t>
      </w:r>
      <w:r>
        <w:t xml:space="preserve"> </w:t>
      </w:r>
      <w:r>
        <w:t xml:space="preserve">23(1): 51–61.</w:t>
      </w:r>
    </w:p>
    <w:p>
      <w:pPr>
        <w:pStyle w:val="BodyText"/>
      </w:pPr>
      <w:r>
        <w:t xml:space="preserve">Niles, L. J., H. P. Sitters, A. D. Dey, P. W. Atkinson, A. J. Baker, K. A. Bennett, R. Carmona, K. E. Clark, N. A. Clark, C. Espoz, P. M. González, B. A. Harrington, D. E. Hernández, K. S. Kalasz, R. G. Lathrop, R. N. Matus, C. D. T. Minton, R. I. G. Morrison, M. K. Peck, W. Pitts, R. A. Robinson, and I. L. Serrano. 2008. Status of the red knot,</w:t>
      </w:r>
      <w:r>
        <w:t xml:space="preserve"> </w:t>
      </w:r>
      <w:r>
        <w:rPr>
          <w:i/>
          <w:iCs/>
        </w:rPr>
        <w:t xml:space="preserve">Calidris canutus rufa</w:t>
      </w:r>
      <w:r>
        <w:t xml:space="preserve">, in the Western Hemisphere.</w:t>
      </w:r>
      <w:r>
        <w:t xml:space="preserve"> </w:t>
      </w:r>
      <w:r>
        <w:rPr>
          <w:i/>
          <w:iCs/>
        </w:rPr>
        <w:t xml:space="preserve">Studies in Avian Biology</w:t>
      </w:r>
      <w:r>
        <w:t xml:space="preserve"> </w:t>
      </w:r>
      <w:r>
        <w:t xml:space="preserve">36: 1–185.</w:t>
      </w:r>
    </w:p>
    <w:p>
      <w:pPr>
        <w:pStyle w:val="BodyText"/>
      </w:pPr>
      <w:r>
        <w:t xml:space="preserve">Nol, E., and R. C. Humphrey. 2020. American oystercatcher (</w:t>
      </w:r>
      <w:r>
        <w:rPr>
          <w:i/>
          <w:iCs/>
        </w:rPr>
        <w:t xml:space="preserve">Haematopus palliatus</w:t>
      </w:r>
      <w:r>
        <w:t xml:space="preserve">), version 1.0. In</w:t>
      </w:r>
      <w:r>
        <w:t xml:space="preserve"> </w:t>
      </w:r>
      <w:r>
        <w:rPr>
          <w:i/>
          <w:iCs/>
        </w:rPr>
        <w:t xml:space="preserve">Birds of the World</w:t>
      </w:r>
      <w:r>
        <w:t xml:space="preserve"> </w:t>
      </w:r>
      <w:r>
        <w:t xml:space="preserve">(Billerman, S. M., ed.). Cornell Lab of Ornithology.</w:t>
      </w:r>
    </w:p>
    <w:p>
      <w:pPr>
        <w:pStyle w:val="BodyText"/>
      </w:pPr>
      <w:r>
        <w:t xml:space="preserve">Orth, R. J., and J. van Montfrans. 1987. Utilization of a seagrass meadow and tidal marsh creek by blue crabs</w:t>
      </w:r>
      <w:r>
        <w:t xml:space="preserve"> </w:t>
      </w:r>
      <w:r>
        <w:rPr>
          <w:i/>
          <w:iCs/>
        </w:rPr>
        <w:t xml:space="preserve">Callinectes sapidus</w:t>
      </w:r>
      <w:r>
        <w:t xml:space="preserve">.</w:t>
      </w:r>
      <w:r>
        <w:t xml:space="preserve"> </w:t>
      </w:r>
      <w:r>
        <w:rPr>
          <w:i/>
          <w:iCs/>
        </w:rPr>
        <w:t xml:space="preserve">Marine Ecology Progress Series</w:t>
      </w:r>
      <w:r>
        <w:t xml:space="preserve"> </w:t>
      </w:r>
      <w:r>
        <w:t xml:space="preserve">41: 283–294.</w:t>
      </w:r>
    </w:p>
    <w:p>
      <w:pPr>
        <w:pStyle w:val="BodyText"/>
      </w:pPr>
      <w:r>
        <w:t xml:space="preserve">Orth, R. J., T. J. B. Carruthers, W. C. Dennison, C. M. Duarte, J. W. Fourqurean, K. L. Heck, A. R. Hughes, G. A. Kendrick, W. J. Kenworthy, S. Olyarnik, F. T. Short, M. Waycott, and S. L. Williams. 2006. A global crisis for seagrass ecosystems.</w:t>
      </w:r>
      <w:r>
        <w:t xml:space="preserve"> </w:t>
      </w:r>
      <w:r>
        <w:rPr>
          <w:i/>
          <w:iCs/>
        </w:rPr>
        <w:t xml:space="preserve">BioScience</w:t>
      </w:r>
      <w:r>
        <w:t xml:space="preserve"> </w:t>
      </w:r>
      <w:r>
        <w:t xml:space="preserve">56(12): 987–996.</w:t>
      </w:r>
    </w:p>
    <w:p>
      <w:pPr>
        <w:pStyle w:val="BodyText"/>
      </w:pPr>
      <w:r>
        <w:t xml:space="preserve">Orth, R. J., W. C. Dennison, J. S. Lefcheck, C. Gurbisz, M. Hannam, J. Keisman, J. B. Landry, K. A. Moore, R. R. Murphy, C. J. Patrick, J. Testa, D. E. Weller, and D. J. Wilcox. 2017. Submersed aquatic vegetation in Chesapeake Bay: sentinel species in a changing world.</w:t>
      </w:r>
      <w:r>
        <w:t xml:space="preserve"> </w:t>
      </w:r>
      <w:r>
        <w:rPr>
          <w:i/>
          <w:iCs/>
        </w:rPr>
        <w:t xml:space="preserve">BioScience</w:t>
      </w:r>
      <w:r>
        <w:t xml:space="preserve"> </w:t>
      </w:r>
      <w:r>
        <w:t xml:space="preserve">67(8): 698–712.</w:t>
      </w:r>
    </w:p>
    <w:p>
      <w:pPr>
        <w:pStyle w:val="BodyText"/>
      </w:pPr>
      <w:r>
        <w:t xml:space="preserve">Orth, R. J., J. S. Lefcheck, K. J. McGlathery, L. Aoki, M. W. Luckenbach, K. A. Moore, M. P. J. Oreska, R. Snyder, D. J. Wilcox, and B. Lusk. 2020. Restoration of seagrass habitat leads to rapid recovery of coastal ecosystem services.</w:t>
      </w:r>
      <w:r>
        <w:t xml:space="preserve"> </w:t>
      </w:r>
      <w:r>
        <w:rPr>
          <w:i/>
          <w:iCs/>
        </w:rPr>
        <w:t xml:space="preserve">Science Advances</w:t>
      </w:r>
      <w:r>
        <w:t xml:space="preserve"> </w:t>
      </w:r>
      <w:r>
        <w:t xml:space="preserve">6(41): eabc6434.</w:t>
      </w:r>
    </w:p>
    <w:p>
      <w:pPr>
        <w:pStyle w:val="BodyText"/>
      </w:pPr>
      <w:r>
        <w:t xml:space="preserve">Perry, M. C., and A. S. Deller. 1996. Waterfowl population trends in the Chesapeake Bay area.</w:t>
      </w:r>
      <w:r>
        <w:t xml:space="preserve"> </w:t>
      </w:r>
      <w:r>
        <w:rPr>
          <w:i/>
          <w:iCs/>
        </w:rPr>
        <w:t xml:space="preserve">Proceedings of the Chesapeake Bay Research Conference</w:t>
      </w:r>
      <w:r>
        <w:t xml:space="preserve"> </w:t>
      </w:r>
      <w:r>
        <w:t xml:space="preserve">2: 1–11.</w:t>
      </w:r>
    </w:p>
    <w:p>
      <w:pPr>
        <w:pStyle w:val="BodyText"/>
      </w:pPr>
      <w:r>
        <w:t xml:space="preserve">[Oct 2026: verified, but this concerns mussels facilitating seagrass and does not support the scallop–eelgrass dependency claim it was cited for] Peterson, C. H., and K. L. Heck Jr. 2001. An experimental test of the mechanism by which suspension feeding bivalves elevate seagrass productivity.</w:t>
      </w:r>
      <w:r>
        <w:t xml:space="preserve"> </w:t>
      </w:r>
      <w:r>
        <w:rPr>
          <w:i/>
          <w:iCs/>
        </w:rPr>
        <w:t xml:space="preserve">Marine Ecology Progress Series</w:t>
      </w:r>
      <w:r>
        <w:t xml:space="preserve"> </w:t>
      </w:r>
      <w:r>
        <w:t xml:space="preserve">218: 115–125.</w:t>
      </w:r>
    </w:p>
    <w:p>
      <w:pPr>
        <w:pStyle w:val="BodyText"/>
      </w:pPr>
      <w:r>
        <w:t xml:space="preserve">Roosenburg, W. M. 1991. The diamondback terrapin: population dynamics, habitat requirements, and opportunities for conservation. In</w:t>
      </w:r>
      <w:r>
        <w:t xml:space="preserve"> </w:t>
      </w:r>
      <w:r>
        <w:rPr>
          <w:i/>
          <w:iCs/>
        </w:rPr>
        <w:t xml:space="preserve">New Perspectives in the Chesapeake System: A Research and Management Partnership</w:t>
      </w:r>
      <w:r>
        <w:t xml:space="preserve">, Chesapeake Research Consortium Publication 137: 237–234.</w:t>
      </w:r>
    </w:p>
    <w:p>
      <w:pPr>
        <w:pStyle w:val="BodyText"/>
      </w:pPr>
      <w:r>
        <w:t xml:space="preserve">Seitz, R. D., R. N. Lipcius, A. H. Hines, and D. B. Eggleston. 2001. Density-dependent predation, habitat variation, and the persistence of marine bivalve prey.</w:t>
      </w:r>
      <w:r>
        <w:t xml:space="preserve"> </w:t>
      </w:r>
      <w:r>
        <w:rPr>
          <w:i/>
          <w:iCs/>
        </w:rPr>
        <w:t xml:space="preserve">Ecology</w:t>
      </w:r>
      <w:r>
        <w:t xml:space="preserve"> </w:t>
      </w:r>
      <w:r>
        <w:t xml:space="preserve">82(9): 2435–2451.</w:t>
      </w:r>
      <w:r>
        <w:t xml:space="preserve"> </w:t>
      </w:r>
      <w:r>
        <w:rPr>
          <w:b/>
          <w:bCs/>
        </w:rPr>
        <w:t xml:space="preserve">[Oct 2026: year and volume corrected per Crossref; this is a bivalve-prey paper and does not support the crab–SAV claim]</w:t>
      </w:r>
    </w:p>
    <w:p>
      <w:pPr>
        <w:pStyle w:val="BodyText"/>
      </w:pPr>
      <w:r>
        <w:t xml:space="preserve">Smith, D. R., H. J. Brockmann, M. A. Beekey, T. L. King, M. J. Millard, and J. Zaldívar-Rae. 2017. Conservation status of the American horseshoe crab,</w:t>
      </w:r>
      <w:r>
        <w:t xml:space="preserve"> </w:t>
      </w:r>
      <w:r>
        <w:rPr>
          <w:i/>
          <w:iCs/>
        </w:rPr>
        <w:t xml:space="preserve">Limulus polyphemus</w:t>
      </w:r>
      <w:r>
        <w:t xml:space="preserve">: a regional assessment.</w:t>
      </w:r>
      <w:r>
        <w:t xml:space="preserve"> </w:t>
      </w:r>
      <w:r>
        <w:rPr>
          <w:i/>
          <w:iCs/>
        </w:rPr>
        <w:t xml:space="preserve">Reviews in Fish Biology and Fisheries</w:t>
      </w:r>
      <w:r>
        <w:t xml:space="preserve"> </w:t>
      </w:r>
      <w:r>
        <w:t xml:space="preserve">27: 135–175.</w:t>
      </w:r>
    </w:p>
    <w:p>
      <w:pPr>
        <w:pStyle w:val="BodyText"/>
      </w:pPr>
      <w:r>
        <w:t xml:space="preserve">USFWS. 2020.</w:t>
      </w:r>
      <w:r>
        <w:t xml:space="preserve"> </w:t>
      </w:r>
      <w:r>
        <w:rPr>
          <w:i/>
          <w:iCs/>
        </w:rPr>
        <w:t xml:space="preserve">Piping plover (Charadrius melodus) 5-year review: summary and evaluation.</w:t>
      </w:r>
      <w:r>
        <w:t xml:space="preserve"> </w:t>
      </w:r>
      <w:r>
        <w:t xml:space="preserve">U.S. Fish and Wildlife Service, Hadley, MA.</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2026-10-02T14:00:49Z</dcterms:created>
  <dcterms:modified xsi:type="dcterms:W3CDTF">2026-10-02T14:00:49Z</dcterms:modified>
</cp:coreProperties>
</file>

<file path=docProps/custom.xml><?xml version="1.0" encoding="utf-8"?>
<Properties xmlns="http://schemas.openxmlformats.org/officeDocument/2006/custom-properties" xmlns:vt="http://schemas.openxmlformats.org/officeDocument/2006/docPropsVTypes"/>
</file>