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6228f5b0d0dd2e59c1fb270ffe6ce24ba4dcd65"/>
    <w:p>
      <w:pPr>
        <w:pStyle w:val="Heading1"/>
      </w:pPr>
      <w:r>
        <w:t xml:space="preserve">Pathway 6 — Terrestrial drainfield footprint</w:t>
      </w:r>
    </w:p>
    <w:p>
      <w:pPr>
        <w:pStyle w:val="Heading3"/>
      </w:pPr>
      <w:bookmarkStart w:id="9" w:name="october-2026-evidence-review"/>
      <w:r>
        <w:t xml:space="preserve">October 2026 evidence review</w:t>
      </w:r>
      <w:bookmarkEnd w:id="9"/>
    </w:p>
    <w:p>
      <w:pPr>
        <w:pStyle w:val="BlockText"/>
      </w:pPr>
      <w:r>
        <w:t xml:space="preserve">This file was audited source-by-source in October 2026. Several claims overstated the evidence. Corrections are marked</w:t>
      </w:r>
      <w:r>
        <w:t xml:space="preserve"> </w:t>
      </w:r>
      <w:r>
        <w:rPr>
          <w:b/>
          <w:bCs/>
        </w:rPr>
        <w:t xml:space="preserve">[Oct 2026]</w:t>
      </w:r>
      <w:r>
        <w:t xml:space="preserve"> </w:t>
      </w:r>
      <w:r>
        <w:t xml:space="preserve">in the text:</w:t>
      </w:r>
    </w:p>
    <w:p>
      <w:pPr>
        <w:pStyle w:val="Compact"/>
        <w:numPr>
          <w:ilvl w:val="0"/>
          <w:numId w:val="1001"/>
        </w:numPr>
      </w:pPr>
      <w:r>
        <w:rPr>
          <w:b/>
          <w:bCs/>
        </w:rPr>
        <w:t xml:space="preserve">Separation distance.</w:t>
      </w:r>
      <w:r>
        <w:t xml:space="preserve"> </w:t>
      </w:r>
      <w:r>
        <w:t xml:space="preserve">Virginia requires 18 inches of soil free of the seasonal or permanent water table immediately below the infiltrative surface (12VAC5-610-594). The earlier</w:t>
      </w:r>
      <w:r>
        <w:t xml:space="preserve"> </w:t>
      </w:r>
      <w:r>
        <w:t xml:space="preserve">“one to two feet”</w:t>
      </w:r>
      <w:r>
        <w:t xml:space="preserve"> </w:t>
      </w:r>
      <w:r>
        <w:t xml:space="preserve">and</w:t>
      </w:r>
      <w:r>
        <w:t xml:space="preserve"> </w:t>
      </w:r>
      <w:r>
        <w:t xml:space="preserve">“2–4 feet”</w:t>
      </w:r>
      <w:r>
        <w:t xml:space="preserve"> </w:t>
      </w:r>
      <w:r>
        <w:t xml:space="preserve">were not the Virginia standard. The project’s</w:t>
      </w:r>
      <w:r>
        <w:t xml:space="preserve"> </w:t>
      </w:r>
      <w:r>
        <w:t xml:space="preserve">“3 ft”</w:t>
      </w:r>
      <w:r>
        <w:t xml:space="preserve"> </w:t>
      </w:r>
      <w:r>
        <w:t xml:space="preserve">screen is depth to groundwater</w:t>
      </w:r>
      <w:r>
        <w:t xml:space="preserve"> </w:t>
      </w:r>
      <w:r>
        <w:rPr>
          <w:b/>
          <w:bCs/>
        </w:rPr>
        <w:t xml:space="preserve">from land surface</w:t>
      </w:r>
      <w:r>
        <w:t xml:space="preserve">, a vulnerability screen rather than a performance threshold.</w:t>
      </w:r>
    </w:p>
    <w:p>
      <w:pPr>
        <w:pStyle w:val="Compact"/>
        <w:numPr>
          <w:ilvl w:val="0"/>
          <w:numId w:val="1001"/>
        </w:numPr>
      </w:pPr>
      <w:r>
        <w:rPr>
          <w:b/>
          <w:bCs/>
        </w:rPr>
        <w:t xml:space="preserve">The 7,800 figure is project modeling</w:t>
      </w:r>
      <w:r>
        <w:t xml:space="preserve"> </w:t>
      </w:r>
      <w:r>
        <w:t xml:space="preserve">(ESVA Climate Equity StoryMap; Hesamfar et al., in review), not peer-reviewed. It counts parcels with</w:t>
      </w:r>
      <w:r>
        <w:t xml:space="preserve"> </w:t>
      </w:r>
      <w:r>
        <w:rPr>
          <w:i/>
          <w:iCs/>
        </w:rPr>
        <w:t xml:space="preserve">modeled</w:t>
      </w:r>
      <w:r>
        <w:t xml:space="preserve"> </w:t>
      </w:r>
      <w:r>
        <w:t xml:space="preserve">groundwater &lt;3 ft below land surface by 2040.</w:t>
      </w:r>
    </w:p>
    <w:p>
      <w:pPr>
        <w:pStyle w:val="Compact"/>
        <w:numPr>
          <w:ilvl w:val="0"/>
          <w:numId w:val="1001"/>
        </w:numPr>
      </w:pPr>
      <w:r>
        <w:rPr>
          <w:b/>
          <w:bCs/>
        </w:rPr>
        <w:t xml:space="preserve">Water-table saturation is a projected failure mode on ESVA, not the documented</w:t>
      </w:r>
      <w:r>
        <w:rPr>
          <w:b/>
          <w:bCs/>
        </w:rPr>
        <w:t xml:space="preserve"> </w:t>
      </w:r>
      <w:r>
        <w:rPr>
          <w:b/>
          <w:bCs/>
        </w:rPr>
        <w:t xml:space="preserve">“dominant”</w:t>
      </w:r>
      <w:r>
        <w:rPr>
          <w:b/>
          <w:bCs/>
        </w:rPr>
        <w:t xml:space="preserve"> </w:t>
      </w:r>
      <w:r>
        <w:rPr>
          <w:b/>
          <w:bCs/>
        </w:rPr>
        <w:t xml:space="preserve">one.</w:t>
      </w:r>
      <w:r>
        <w:t xml:space="preserve"> </w:t>
      </w:r>
      <w:r>
        <w:t xml:space="preserve">Local installers and the Eastern Shore Health District report that failures today are driven mainly by age and what is put into the system. VDH sees about 90 repair permits a year, roughly 0.5% of systems.</w:t>
      </w:r>
    </w:p>
    <w:p>
      <w:pPr>
        <w:pStyle w:val="Compact"/>
        <w:numPr>
          <w:ilvl w:val="0"/>
          <w:numId w:val="1001"/>
        </w:numPr>
      </w:pPr>
      <w:r>
        <w:rPr>
          <w:b/>
          <w:bCs/>
        </w:rPr>
        <w:t xml:space="preserve">Mitchell et al. (2021)</w:t>
      </w:r>
      <w:r>
        <w:t xml:space="preserve"> </w:t>
      </w:r>
      <w:r>
        <w:t xml:space="preserve">is a Tidewater-wide repair-permit analysis that does not analyze ESVA separately.</w:t>
      </w:r>
    </w:p>
    <w:p>
      <w:pPr>
        <w:pStyle w:val="Compact"/>
        <w:numPr>
          <w:ilvl w:val="0"/>
          <w:numId w:val="1001"/>
        </w:numPr>
      </w:pPr>
      <w:r>
        <w:rPr>
          <w:b/>
          <w:bCs/>
        </w:rPr>
        <w:t xml:space="preserve">Relabels.</w:t>
      </w:r>
      <w:r>
        <w:t xml:space="preserve"> </w:t>
      </w:r>
      <w:r>
        <w:t xml:space="preserve">“ESVA water tables are rising into the treatment zone at many parcels”</w:t>
      </w:r>
      <w:r>
        <w:t xml:space="preserve"> </w:t>
      </w:r>
      <w:r>
        <w:t xml:space="preserve">is now PLAUSIBLE (projected); it was STRONGLY SUPPORTED. Vegetation kill-off, mosquito production and the legacy-N tail are now PLAUSIBLE; they were STRONGLY SUPPORTED or mixed.</w:t>
      </w:r>
      <w:r>
        <w:t xml:space="preserve"> </w:t>
      </w:r>
      <w:r>
        <w:t xml:space="preserve">“Footprint-scale damage is currently measurable and substantial on ESVA”</w:t>
      </w:r>
      <w:r>
        <w:t xml:space="preserve"> </w:t>
      </w:r>
      <w:r>
        <w:t xml:space="preserve">is now SPECULATIVE (was PLAUSIBLE).</w:t>
      </w:r>
    </w:p>
    <w:p>
      <w:pPr>
        <w:pStyle w:val="Compact"/>
        <w:numPr>
          <w:ilvl w:val="0"/>
          <w:numId w:val="1001"/>
        </w:numPr>
      </w:pPr>
      <w:r>
        <w:rPr>
          <w:b/>
          <w:bCs/>
        </w:rPr>
        <w:t xml:space="preserve">Overstatements removed.</w:t>
      </w:r>
      <w:r>
        <w:t xml:space="preserve"> </w:t>
      </w:r>
      <w:r>
        <w:t xml:space="preserve">The drainfield–</w:t>
      </w:r>
      <w:r>
        <w:rPr>
          <w:i/>
          <w:iCs/>
        </w:rPr>
        <w:t xml:space="preserve">Phragmites</w:t>
      </w:r>
      <w:r>
        <w:t xml:space="preserve"> </w:t>
      </w:r>
      <w:r>
        <w:t xml:space="preserve">link is not</w:t>
      </w:r>
      <w:r>
        <w:t xml:space="preserve"> </w:t>
      </w:r>
      <w:r>
        <w:t xml:space="preserve">“well established in Chesapeake Bay literature.”</w:t>
      </w:r>
      <w:r>
        <w:t xml:space="preserve"> </w:t>
      </w:r>
      <w:r>
        <w:t xml:space="preserve">The</w:t>
      </w:r>
      <w:r>
        <w:t xml:space="preserve"> </w:t>
      </w:r>
      <w:r>
        <w:t xml:space="preserve">“5–11 km²”</w:t>
      </w:r>
      <w:r>
        <w:t xml:space="preserve"> </w:t>
      </w:r>
      <w:r>
        <w:t xml:space="preserve">footprint is this file’s own arithmetic, and its per-drainfield area looks high.</w:t>
      </w:r>
    </w:p>
    <w:p>
      <w:pPr>
        <w:pStyle w:val="BlockText"/>
      </w:pPr>
      <w:r>
        <w:t xml:space="preserve">See</w:t>
      </w:r>
      <w:r>
        <w:t xml:space="preserve"> </w:t>
      </w:r>
      <w:r>
        <w:rPr>
          <w:rStyle w:val="VerbatimChar"/>
        </w:rPr>
        <w:t xml:space="preserve">ECOLOGICAL_EFFECTS_SYNTHESIS.md</w:t>
      </w:r>
      <w:r>
        <w:t xml:space="preserve"> </w:t>
      </w:r>
      <w:r>
        <w:t xml:space="preserve">(October 2026 evidence review and Section 4) and</w:t>
      </w:r>
      <w:r>
        <w:t xml:space="preserve"> </w:t>
      </w:r>
      <w:r>
        <w:rPr>
          <w:rStyle w:val="VerbatimChar"/>
        </w:rPr>
        <w:t xml:space="preserve">OUTREACH_MESSAGING_REVIEW.md</w:t>
      </w:r>
      <w:r>
        <w:t xml:space="preserve">.</w:t>
      </w:r>
    </w:p>
    <w:p>
      <w:pPr>
        <w:pStyle w:val="FirstParagraph"/>
      </w:pPr>
      <w:r>
        <w:rPr>
          <w:i/>
          <w:iCs/>
        </w:rPr>
        <w:t xml:space="preserve">Draft — ESVA Septic Project ecological synthesis. Author-year citations inline; full references at end.</w:t>
      </w:r>
    </w:p>
    <w:bookmarkStart w:id="10" w:name="scope-and-framing"/>
    <w:p>
      <w:pPr>
        <w:pStyle w:val="Heading2"/>
      </w:pPr>
      <w:r>
        <w:t xml:space="preserve">Scope and framing</w:t>
      </w:r>
    </w:p>
    <w:p>
      <w:pPr>
        <w:pStyle w:val="FirstParagraph"/>
      </w:pPr>
      <w:r>
        <w:t xml:space="preserve">The drainfield itself is a small, localized ecosystem: a few hundred square meters of engineered soil column that receives a continuous input of nutrient- and carbon-rich effluent and, when functioning normally, acts as a biological filter before water reaches the surficial aquifer. When that filter saturates, overloads, or surfaces, the drainfield transitions from a treatment asset into a distinctive and persistent habitat patch. This pathway is the smallest of the six in the synthesis by receiving-environment extent, but it is the pathway closest in physical space to the household, it is where most</w:t>
      </w:r>
      <w:r>
        <w:t xml:space="preserve"> </w:t>
      </w:r>
      <w:r>
        <w:t xml:space="preserve">“visible”</w:t>
      </w:r>
      <w:r>
        <w:t xml:space="preserve"> </w:t>
      </w:r>
      <w:r>
        <w:t xml:space="preserve">septic-failure signs occur, and it is frequently elided in septic ecology literature because it sits at the awkward interface between engineering and ecology.</w:t>
      </w:r>
    </w:p>
    <w:p>
      <w:pPr>
        <w:pStyle w:val="BodyText"/>
      </w:pPr>
      <w:r>
        <w:t xml:space="preserve">Including it in a strictly ecological synthesis is justified because drainfield malfunction produces real, documented effects on nearby vegetation, soil biota, and — in coastal settings — adjacent wetland and tidal-marsh ecotones. The pathway also matters because it is the only ecological consequence of septic failure that a homeowner can directly observe without instrumentation, and the evidence-based features that distinguish normal from malfunctioning drainfields feed directly into ESVA community-reporting and citizen-science design.</w:t>
      </w:r>
    </w:p>
    <w:bookmarkEnd w:id="10"/>
    <w:bookmarkStart w:id="11" w:name="mechanism-of-harm"/>
    <w:p>
      <w:pPr>
        <w:pStyle w:val="Heading2"/>
      </w:pPr>
      <w:r>
        <w:t xml:space="preserve">Mechanism of harm</w:t>
      </w:r>
    </w:p>
    <w:p>
      <w:pPr>
        <w:pStyle w:val="FirstParagraph"/>
      </w:pPr>
      <w:r>
        <w:t xml:space="preserve">Five mechanisms link a failing drainfield to ecological change at the household-scale footprint and its immediate surroundings.</w:t>
      </w:r>
    </w:p>
    <w:p>
      <w:pPr>
        <w:pStyle w:val="BodyText"/>
      </w:pPr>
      <w:r>
        <w:rPr>
          <w:b/>
          <w:bCs/>
        </w:rPr>
        <w:t xml:space="preserve">1. Soil saturation and anaerobiosis.</w:t>
      </w:r>
      <w:r>
        <w:t xml:space="preserve"> </w:t>
      </w:r>
      <w:r>
        <w:t xml:space="preserve">A functioning conventional drainfield requires a layer of unsaturated, aerobic soil between the distribution lines and the seasonal high water table.</w:t>
      </w:r>
      <w:r>
        <w:t xml:space="preserve"> </w:t>
      </w:r>
      <w:r>
        <w:rPr>
          <w:b/>
          <w:bCs/>
        </w:rPr>
        <w:t xml:space="preserve">[Oct 2026]</w:t>
      </w:r>
      <w:r>
        <w:t xml:space="preserve"> </w:t>
      </w:r>
      <w:r>
        <w:t xml:space="preserve">Virginia requires the 18 inches immediately below the infiltrative surface to be free of the seasonal or permanent water table (12VAC5-610-594). Earlier text said</w:t>
      </w:r>
      <w:r>
        <w:t xml:space="preserve"> </w:t>
      </w:r>
      <w:r>
        <w:t xml:space="preserve">“approximately one to two feet.”</w:t>
      </w:r>
      <w:r>
        <w:t xml:space="preserve"> </w:t>
      </w:r>
      <w:r>
        <w:t xml:space="preserve">Soil microbes in this zone degrade organic matter, oxidize ammonium to nitrate (nitrification), and immobilize pathogens — all processes that require oxygen (US EPA 2002; Crites and Tchobanoglous 1998). When the water table rises or effluent input exceeds the soil’s hydraulic capacity, the unsaturated zone collapses and the soil around the distribution pipes becomes permanently or seasonally saturated. The microbial community shifts from aerobic heterotrophs to anaerobic fermenters and denitrifiers, treatment effectiveness drops, and the soil column itself changes state. Over months to years this creates a distinctive biogeochemical footprint: elevated soil ammonium rather than nitrate, reduced iron and manganese, low redox, and suppressed soil respiration. Under ESVA’s shallow Columbia aquifer conditions, this mechanism is</w:t>
      </w:r>
      <w:r>
        <w:t xml:space="preserve"> </w:t>
      </w:r>
      <w:r>
        <w:rPr>
          <w:i/>
          <w:iCs/>
        </w:rPr>
        <w:t xml:space="preserve">projected</w:t>
      </w:r>
      <w:r>
        <w:t xml:space="preserve"> </w:t>
      </w:r>
      <w:r>
        <w:t xml:space="preserve">to become increasingly important as water tables rise (Hesamfar et al., in review).</w:t>
      </w:r>
      <w:r>
        <w:t xml:space="preserve"> </w:t>
      </w:r>
      <w:r>
        <w:rPr>
          <w:b/>
          <w:bCs/>
        </w:rPr>
        <w:t xml:space="preserve">[Oct 2026, corrected]</w:t>
      </w:r>
      <w:r>
        <w:t xml:space="preserve"> </w:t>
      </w:r>
      <w:r>
        <w:t xml:space="preserve">Earlier text called it</w:t>
      </w:r>
      <w:r>
        <w:t xml:space="preserve"> </w:t>
      </w:r>
      <w:r>
        <w:t xml:space="preserve">“the dominant mode of drainfield failure documented”</w:t>
      </w:r>
      <w:r>
        <w:t xml:space="preserve"> </w:t>
      </w:r>
      <w:r>
        <w:t xml:space="preserve">in that modeling and in Mitchell et al. (2021). A model cannot document failures. Mitchell et al. (2021) is a Tidewater-wide repair-permit analysis that does not analyze ESVA separately. Local installers and the Eastern Shore Health District report that failures today are driven mainly by age and what is put into the system.</w:t>
      </w:r>
    </w:p>
    <w:p>
      <w:pPr>
        <w:pStyle w:val="BodyText"/>
      </w:pPr>
      <w:r>
        <w:rPr>
          <w:b/>
          <w:bCs/>
        </w:rPr>
        <w:t xml:space="preserve">2. Vegetation stress and community turnover.</w:t>
      </w:r>
      <w:r>
        <w:t xml:space="preserve"> </w:t>
      </w:r>
      <w:r>
        <w:t xml:space="preserve">Plants rooted over a properly functioning drainfield typically do not show anomalous stress, because the treatment zone is below the rooting depth of most lawn and garden species and the soil water balance is near normal. Once the drainfield surfaces or the water table rises into the root zone, oxygen-sensitive species are killed or suppressed, and hypoxia-tolerant opportunists replace them. In coastal plain settings the successful colonizers frequently include non-native or aggressive native species — the Clemson Extension and UF/IFAS landscaping guides specifically flag bamboo, English ivy, vinca, periwinkle, and mint as species that thrive on saturated drainfield soils and then spread out from them (Clemson HGIC 2021; UF/IFAS EDIS SS687). A septic failure thus seeds an invasion-ready patch.</w:t>
      </w:r>
    </w:p>
    <w:p>
      <w:pPr>
        <w:pStyle w:val="BodyText"/>
      </w:pPr>
      <w:r>
        <w:rPr>
          <w:b/>
          <w:bCs/>
        </w:rPr>
        <w:t xml:space="preserve">3. Facilitation of mosquito and arthropod habitat.</w:t>
      </w:r>
      <w:r>
        <w:t xml:space="preserve"> </w:t>
      </w:r>
      <w:r>
        <w:t xml:space="preserve">Surface ponding over a malfunctioning drainfield produces shallow, warm, nutrient-rich standing water — ideal habitat for container and ground-pool mosquitoes, including species in the genera</w:t>
      </w:r>
      <w:r>
        <w:t xml:space="preserve"> </w:t>
      </w:r>
      <w:r>
        <w:rPr>
          <w:i/>
          <w:iCs/>
        </w:rPr>
        <w:t xml:space="preserve">Culex</w:t>
      </w:r>
      <w:r>
        <w:t xml:space="preserve">,</w:t>
      </w:r>
      <w:r>
        <w:t xml:space="preserve"> </w:t>
      </w:r>
      <w:r>
        <w:rPr>
          <w:i/>
          <w:iCs/>
        </w:rPr>
        <w:t xml:space="preserve">Aedes</w:t>
      </w:r>
      <w:r>
        <w:t xml:space="preserve">, and</w:t>
      </w:r>
      <w:r>
        <w:t xml:space="preserve"> </w:t>
      </w:r>
      <w:r>
        <w:rPr>
          <w:i/>
          <w:iCs/>
        </w:rPr>
        <w:t xml:space="preserve">Anopheles</w:t>
      </w:r>
      <w:r>
        <w:t xml:space="preserve">. Proper infiltration-based stormwater features (rain gardens, bioretention) are not significant mosquito producers because they drain within 24 hours (US EPA 2024). Failing drainfields, by contrast, are chronically wet, and they concentrate organic matter that supports both larval food resources and larval predator exclusion. This is one of very few septic-failure consequences that is immediately visible to residents and that creates a human nuisance pressure separate from the odor and backup problems.</w:t>
      </w:r>
    </w:p>
    <w:p>
      <w:pPr>
        <w:pStyle w:val="BodyText"/>
      </w:pPr>
      <w:r>
        <w:rPr>
          <w:b/>
          <w:bCs/>
        </w:rPr>
        <w:t xml:space="preserve">4. Nitrogen loading to adjacent wetland and marsh ecotones.</w:t>
      </w:r>
      <w:r>
        <w:t xml:space="preserve"> </w:t>
      </w:r>
      <w:r>
        <w:t xml:space="preserve">In coastal ESVA settings, many drainfields sit within meters to tens of meters of non-tidal freshwater wetlands, forested tidal fringe, or the upland edge of salt marshes. When the drainfield surfaces or its plume intercepts a shallow wetland, nitrogen flows directly into an adjacent habitat that would otherwise be N-limited. This is a hyper-local version of the Pathway 2 mechanism, acting at the single-parcel scale rather than the creek scale. The ecological signature in affected wetlands is vegetation community shift (dominants like</w:t>
      </w:r>
      <w:r>
        <w:t xml:space="preserve"> </w:t>
      </w:r>
      <w:r>
        <w:rPr>
          <w:i/>
          <w:iCs/>
        </w:rPr>
        <w:t xml:space="preserve">Typha latifolia</w:t>
      </w:r>
      <w:r>
        <w:t xml:space="preserve"> </w:t>
      </w:r>
      <w:r>
        <w:t xml:space="preserve">and</w:t>
      </w:r>
      <w:r>
        <w:t xml:space="preserve"> </w:t>
      </w:r>
      <w:r>
        <w:rPr>
          <w:i/>
          <w:iCs/>
        </w:rPr>
        <w:t xml:space="preserve">Phragmites australis</w:t>
      </w:r>
      <w:r>
        <w:t xml:space="preserve"> </w:t>
      </w:r>
      <w:r>
        <w:t xml:space="preserve">tend to expand; more conservative sedges and forbs are suppressed), elevated litter decomposition, and loss of characteristic wetland plant diversity.</w:t>
      </w:r>
    </w:p>
    <w:p>
      <w:pPr>
        <w:pStyle w:val="BodyText"/>
      </w:pPr>
      <w:r>
        <w:rPr>
          <w:b/>
          <w:bCs/>
        </w:rPr>
        <w:t xml:space="preserve">5. Soil carbon and denitrification capacity changes.</w:t>
      </w:r>
      <w:r>
        <w:t xml:space="preserve"> </w:t>
      </w:r>
      <w:r>
        <w:t xml:space="preserve">Long-term septic effluent loading increases soil carbon and, to a point, enhances denitrification capacity, but continued saturation eventually converts the drainfield soil into a slow-release reservoir of nitrogen and carbon that leaches into groundwater under wet conditions. This mechanism is relevant because it means remediating a drainfield (for example, by connecting a property to sewer) does not immediately stop nutrient export — there is a legacy-loading tail that depends on how long the drainfield operated and how much soil C and N it accumulated.</w:t>
      </w:r>
    </w:p>
    <w:bookmarkEnd w:id="11"/>
    <w:bookmarkStart w:id="12" w:name="esva-specific-evidence"/>
    <w:p>
      <w:pPr>
        <w:pStyle w:val="Heading2"/>
      </w:pPr>
      <w:r>
        <w:t xml:space="preserve">ESVA-specific evidence</w:t>
      </w:r>
    </w:p>
    <w:p>
      <w:pPr>
        <w:pStyle w:val="FirstParagraph"/>
      </w:pPr>
      <w:r>
        <w:t xml:space="preserve">ESVA-specific published evidence on drainfield-footprint ecology is thin, and this is the pathway with the weakest peer-reviewed ESVA evidence base. What is available is almost entirely inferential from the hydrogeologic setting and from state and local agency observations:</w:t>
      </w:r>
    </w:p>
    <w:p>
      <w:pPr>
        <w:pStyle w:val="BodyText"/>
      </w:pPr>
      <w:r>
        <w:rPr>
          <w:b/>
          <w:bCs/>
        </w:rPr>
        <w:t xml:space="preserve">Hydrogeologic setting.</w:t>
      </w:r>
      <w:r>
        <w:t xml:space="preserve"> </w:t>
      </w:r>
      <w:r>
        <w:rPr>
          <w:b/>
          <w:bCs/>
        </w:rPr>
        <w:t xml:space="preserve">[Oct 2026, corrected]</w:t>
      </w:r>
      <w:r>
        <w:t xml:space="preserve"> </w:t>
      </w:r>
      <w:r>
        <w:t xml:space="preserve">Project modeling (Eastern Shore Climate Equity StoryMap 2025; Hesamfar et al., in review) projects that approximately 7,800 ESVA parcels with residential septic systems will have</w:t>
      </w:r>
      <w:r>
        <w:t xml:space="preserve"> </w:t>
      </w:r>
      <w:r>
        <w:rPr>
          <w:i/>
          <w:iCs/>
        </w:rPr>
        <w:t xml:space="preserve">modeled</w:t>
      </w:r>
      <w:r>
        <w:t xml:space="preserve"> </w:t>
      </w:r>
      <w:r>
        <w:t xml:space="preserve">groundwater less than 3 feet below</w:t>
      </w:r>
      <w:r>
        <w:t xml:space="preserve"> </w:t>
      </w:r>
      <w:r>
        <w:rPr>
          <w:b/>
          <w:bCs/>
        </w:rPr>
        <w:t xml:space="preserve">land surface</w:t>
      </w:r>
      <w:r>
        <w:t xml:space="preserve"> </w:t>
      </w:r>
      <w:r>
        <w:t xml:space="preserve">by 2040 under current sea-level-rise trajectories. This is project modeling, not peer-reviewed work. The 3 ft depth is a vulnerability screen measured from land surface. It is not the regulatory standard (Virginia requires 18 inches below the infiltrative surface; 12VAC5-610-594), and it is not a demonstrated performance threshold. Earlier text called it</w:t>
      </w:r>
      <w:r>
        <w:t xml:space="preserve"> </w:t>
      </w:r>
      <w:r>
        <w:t xml:space="preserve">“the threshold below which conventional septic performance is compromised,”</w:t>
      </w:r>
      <w:r>
        <w:t xml:space="preserve"> </w:t>
      </w:r>
      <w:r>
        <w:t xml:space="preserve">said the figure</w:t>
      </w:r>
      <w:r>
        <w:t xml:space="preserve"> </w:t>
      </w:r>
      <w:r>
        <w:t xml:space="preserve">“quantifies, for the first time on ESVA,”</w:t>
      </w:r>
      <w:r>
        <w:t xml:space="preserve"> </w:t>
      </w:r>
      <w:r>
        <w:t xml:space="preserve">the parcels facing chronic saturation, and cited Mitchell et al. (2021), which does not analyze ESVA. No published study yet measures conditions or ecological consequences at those parcels.</w:t>
      </w:r>
    </w:p>
    <w:p>
      <w:pPr>
        <w:pStyle w:val="BodyText"/>
      </w:pPr>
      <w:r>
        <w:rPr>
          <w:b/>
          <w:bCs/>
        </w:rPr>
        <w:t xml:space="preserve">VDH repair-permit observations.</w:t>
      </w:r>
      <w:r>
        <w:t xml:space="preserve"> </w:t>
      </w:r>
      <w:r>
        <w:t xml:space="preserve">The Eastern Shore Health District records approximately 90 septic repair permits per year across Accomack and Northampton (Richardson, VDH, pers. comm. via project meeting notes, Feb. 2026).</w:t>
      </w:r>
      <w:r>
        <w:t xml:space="preserve"> </w:t>
      </w:r>
      <w:r>
        <w:rPr>
          <w:b/>
          <w:bCs/>
        </w:rPr>
        <w:t xml:space="preserve">[Oct 2026]</w:t>
      </w:r>
      <w:r>
        <w:t xml:space="preserve"> </w:t>
      </w:r>
      <w:r>
        <w:t xml:space="preserve">That is roughly 0.5% of the Shore’s ~18,000 systems per year, a useful and reassuring current baseline. The repair categorization typically distinguishes tank failures from distribution (drainfield) failures, and the district’s ground-level observation is that drainfield failures are the more common and more expensive mode on ESVA — consistent with what the hydrogeologic setting predicts. This dataset has not been analyzed for spatial patterns relative to the Hesamfar vulnerability model, and doing so is a concrete ESCC capstone opportunity.</w:t>
      </w:r>
    </w:p>
    <w:p>
      <w:pPr>
        <w:pStyle w:val="BodyText"/>
      </w:pPr>
      <w:r>
        <w:rPr>
          <w:b/>
          <w:bCs/>
        </w:rPr>
        <w:t xml:space="preserve">Virginia Coast Reserve LTER adjacencies.</w:t>
      </w:r>
      <w:r>
        <w:t xml:space="preserve"> </w:t>
      </w:r>
      <w:r>
        <w:t xml:space="preserve">The VCR LTER and the UVA Coastal Research Center have documented vegetation and hydrology in upland-to-marsh transition zones along the seaside of the peninsula (McGlathery group; VCR LTER publications). These studies are not about drainfields, but they establish the baseline against which drainfield-impacted transition zones could be compared. No study has yet made that comparison explicitly.</w:t>
      </w:r>
    </w:p>
    <w:p>
      <w:pPr>
        <w:pStyle w:val="BodyText"/>
      </w:pPr>
      <w:r>
        <w:rPr>
          <w:b/>
          <w:bCs/>
        </w:rPr>
        <w:t xml:space="preserve">Anecdotal and gray-literature observations.</w:t>
      </w:r>
      <w:r>
        <w:t xml:space="preserve"> </w:t>
      </w:r>
      <w:r>
        <w:t xml:space="preserve">Regional extension and agency reports from Chesapeake Bay Program and A-NPDC flag surface ponding, odor, and vegetation kill-off zones near failing systems, but these are descriptive and not quantified. The Virginia Mercury (2020) feature on coastal marsh loss includes observations of drainfield surfacing as one of several visible signs of tidal intrusion into upland parcels.</w:t>
      </w:r>
    </w:p>
    <w:p>
      <w:pPr>
        <w:pStyle w:val="BodyText"/>
      </w:pPr>
      <w:r>
        <w:t xml:space="preserve">The honest characterization is that Pathway 6 on ESVA is data-thin at the ecological end and data-rich only at the hydrogeologic end. The mechanism is sound and widely observed, but ESVA-specific ecological documentation remains largely in the hands of VDH and A-NPDC field staff rather than in published literature.</w:t>
      </w:r>
    </w:p>
    <w:bookmarkEnd w:id="12"/>
    <w:bookmarkStart w:id="13" w:name="analogue-and-general-evidence"/>
    <w:p>
      <w:pPr>
        <w:pStyle w:val="Heading2"/>
      </w:pPr>
      <w:r>
        <w:t xml:space="preserve">Analogue and general evidence</w:t>
      </w:r>
    </w:p>
    <w:p>
      <w:pPr>
        <w:pStyle w:val="FirstParagraph"/>
      </w:pPr>
      <w:r>
        <w:rPr>
          <w:b/>
          <w:bCs/>
        </w:rPr>
        <w:t xml:space="preserve">Aerobic treatment requirements and saturation thresholds.</w:t>
      </w:r>
      <w:r>
        <w:t xml:space="preserve"> </w:t>
      </w:r>
      <w:r>
        <w:t xml:space="preserve">The US EPA</w:t>
      </w:r>
      <w:r>
        <w:t xml:space="preserve"> </w:t>
      </w:r>
      <w:r>
        <w:rPr>
          <w:i/>
          <w:iCs/>
        </w:rPr>
        <w:t xml:space="preserve">Onsite Wastewater Treatment Systems Manual</w:t>
      </w:r>
      <w:r>
        <w:t xml:space="preserve"> </w:t>
      </w:r>
      <w:r>
        <w:t xml:space="preserve">(EPA 2002) and Crites and Tchobanoglous (1998) define the unsaturated-zone requirement (typically 2–4 feet below the distribution lines in national guidance) based on controlled studies of pathogen and nitrogen removal in drainfield soils.</w:t>
      </w:r>
      <w:r>
        <w:t xml:space="preserve"> </w:t>
      </w:r>
      <w:r>
        <w:rPr>
          <w:b/>
          <w:bCs/>
        </w:rPr>
        <w:t xml:space="preserve">[Oct 2026]</w:t>
      </w:r>
      <w:r>
        <w:t xml:space="preserve"> </w:t>
      </w:r>
      <w:r>
        <w:t xml:space="preserve">Virginia’s requirement for a conventional system is 18 inches below the infiltrative surface (12VAC5-610-594), with larger separations for some system types and effluent qualities. These studies underpin the current regulatory thresholds and establish that the saturation mechanism is not ESVA-specific but universal to conventional gravity drainfields.</w:t>
      </w:r>
    </w:p>
    <w:p>
      <w:pPr>
        <w:pStyle w:val="BodyText"/>
      </w:pPr>
      <w:r>
        <w:rPr>
          <w:b/>
          <w:bCs/>
        </w:rPr>
        <w:t xml:space="preserve">Coastal drainfield failure under rising water tables.</w:t>
      </w:r>
      <w:r>
        <w:t xml:space="preserve"> </w:t>
      </w:r>
      <w:r>
        <w:t xml:space="preserve">Cox, Loomis, and Amador (2019) measured subsurface conditions at coastal Rhode Island septic systems and provided preliminary evidence that rising groundwater tables are compromising conventional drainfields, documenting loss of the unsaturated separation zone at multiple sites. The O’Driscoll et al. (2024) work in Dare County, North Carolina extended this to a barrier-island coastal plain context and found similar patterns.</w:t>
      </w:r>
      <w:r>
        <w:t xml:space="preserve"> </w:t>
      </w:r>
      <w:r>
        <w:rPr>
          <w:b/>
          <w:bCs/>
        </w:rPr>
        <w:t xml:space="preserve">[Oct 2026]</w:t>
      </w:r>
      <w:r>
        <w:t xml:space="preserve"> </w:t>
      </w:r>
      <w:r>
        <w:t xml:space="preserve">Earlier text called it</w:t>
      </w:r>
      <w:r>
        <w:t xml:space="preserve"> </w:t>
      </w:r>
      <w:r>
        <w:t xml:space="preserve">“directly analogous to ESVA”</w:t>
      </w:r>
      <w:r>
        <w:t xml:space="preserve">; ESVA’s barrier islands are essentially uninhabited, so the comparison is to mainland ESVA. Sprouse et al. (2024) documented the scale of the problem across North Carolina generally. The Hoghooghi et al. (2021) coastal Georgia assessment integrated hydrologic modeling with septic density mapping and is the closest methodological analog to the Hesamfar ESVA modeling work (Mitchell et al. 2021 is Tidewater-wide</w:t>
      </w:r>
      <w:r>
        <w:t xml:space="preserve"> </w:t>
      </w:r>
      <w:r>
        <w:rPr>
          <w:b/>
          <w:bCs/>
        </w:rPr>
        <w:t xml:space="preserve">[Oct 2026]</w:t>
      </w:r>
      <w:r>
        <w:t xml:space="preserve">).</w:t>
      </w:r>
    </w:p>
    <w:p>
      <w:pPr>
        <w:pStyle w:val="BodyText"/>
      </w:pPr>
      <w:r>
        <w:rPr>
          <w:b/>
          <w:bCs/>
        </w:rPr>
        <w:t xml:space="preserve">Vegetation and invasive plant response to nutrient-enriched saturated soils.</w:t>
      </w:r>
      <w:r>
        <w:t xml:space="preserve"> </w:t>
      </w:r>
      <w:r>
        <w:t xml:space="preserve">The landscaping and extension literature (Clemson HGIC 2021; UF/IFAS EDIS SS687; Michigan State Extension 2014) converges on a specific list of species that thrive on saturated, nutrient-enriched drainfield soils and are identified as invasion risks once established: bamboo (</w:t>
      </w:r>
      <w:r>
        <w:rPr>
          <w:i/>
          <w:iCs/>
        </w:rPr>
        <w:t xml:space="preserve">Phyllostachys</w:t>
      </w:r>
      <w:r>
        <w:t xml:space="preserve"> </w:t>
      </w:r>
      <w:r>
        <w:t xml:space="preserve">spp.), English ivy (</w:t>
      </w:r>
      <w:r>
        <w:rPr>
          <w:i/>
          <w:iCs/>
        </w:rPr>
        <w:t xml:space="preserve">Hedera helix</w:t>
      </w:r>
      <w:r>
        <w:t xml:space="preserve">), periwinkle (</w:t>
      </w:r>
      <w:r>
        <w:rPr>
          <w:i/>
          <w:iCs/>
        </w:rPr>
        <w:t xml:space="preserve">Vinca minor</w:t>
      </w:r>
      <w:r>
        <w:t xml:space="preserve">), mint (</w:t>
      </w:r>
      <w:r>
        <w:rPr>
          <w:i/>
          <w:iCs/>
        </w:rPr>
        <w:t xml:space="preserve">Mentha</w:t>
      </w:r>
      <w:r>
        <w:t xml:space="preserve"> </w:t>
      </w:r>
      <w:r>
        <w:t xml:space="preserve">spp.). For a coastal plain context,</w:t>
      </w:r>
      <w:r>
        <w:t xml:space="preserve"> </w:t>
      </w:r>
      <w:r>
        <w:rPr>
          <w:i/>
          <w:iCs/>
        </w:rPr>
        <w:t xml:space="preserve">Phragmites australis</w:t>
      </w:r>
      <w:r>
        <w:t xml:space="preserve"> </w:t>
      </w:r>
      <w:r>
        <w:t xml:space="preserve">is the most consequential invader because it is already expanding in ESVA tidal transition zones and nutrient enrichment is a documented facilitator (Chambers, Meyerson, and Saltonstall 1999; Mozdzer and Zieman 2010).</w:t>
      </w:r>
      <w:r>
        <w:t xml:space="preserve"> </w:t>
      </w:r>
      <w:r>
        <w:rPr>
          <w:b/>
          <w:bCs/>
        </w:rPr>
        <w:t xml:space="preserve">[Oct 2026, corrected]</w:t>
      </w:r>
      <w:r>
        <w:t xml:space="preserve"> </w:t>
      </w:r>
      <w:r>
        <w:t xml:space="preserve">Nutrient enrichment and shoreline development are documented facilitators of</w:t>
      </w:r>
      <w:r>
        <w:t xml:space="preserve"> </w:t>
      </w:r>
      <w:r>
        <w:rPr>
          <w:i/>
          <w:iCs/>
        </w:rPr>
        <w:t xml:space="preserve">Phragmites</w:t>
      </w:r>
      <w:r>
        <w:t xml:space="preserve">. No study located tests drainfield N specifically, in the Chesapeake region or on ESVA. Earlier text said the drainfield mechanism</w:t>
      </w:r>
      <w:r>
        <w:t xml:space="preserve"> </w:t>
      </w:r>
      <w:r>
        <w:t xml:space="preserve">“is well established in Chesapeake Bay literature”</w:t>
      </w:r>
      <w:r>
        <w:t xml:space="preserve">; that is withdrawn.</w:t>
      </w:r>
    </w:p>
    <w:p>
      <w:pPr>
        <w:pStyle w:val="BodyText"/>
      </w:pPr>
      <w:r>
        <w:rPr>
          <w:b/>
          <w:bCs/>
        </w:rPr>
        <w:t xml:space="preserve">Mosquito production from wet septic failures.</w:t>
      </w:r>
      <w:r>
        <w:t xml:space="preserve"> </w:t>
      </w:r>
      <w:r>
        <w:t xml:space="preserve">The general vector ecology literature (e.g., Reiskind and Wilson 2004; Unlu et al. 2014) documents that small, persistent, nutrient-rich wet habitats are high-quality mosquito larval sites. Drainfield failures specifically have not been a major study target, but the habitat attributes match container-breeding</w:t>
      </w:r>
      <w:r>
        <w:t xml:space="preserve"> </w:t>
      </w:r>
      <w:r>
        <w:rPr>
          <w:i/>
          <w:iCs/>
        </w:rPr>
        <w:t xml:space="preserve">Culex</w:t>
      </w:r>
      <w:r>
        <w:t xml:space="preserve"> </w:t>
      </w:r>
      <w:r>
        <w:t xml:space="preserve">species closely. This is a real, though under-studied, ecological-to-human-nuisance link.</w:t>
      </w:r>
    </w:p>
    <w:p>
      <w:pPr>
        <w:pStyle w:val="BodyText"/>
      </w:pPr>
      <w:r>
        <w:rPr>
          <w:b/>
          <w:bCs/>
        </w:rPr>
        <w:t xml:space="preserve">Legacy loading after system replacement.</w:t>
      </w:r>
      <w:r>
        <w:t xml:space="preserve"> </w:t>
      </w:r>
      <w:r>
        <w:t xml:space="preserve">Robertson, Cherry, and Sudicky (1991) demonstrated the legacy-loading tail at a single-site Canadian study where nitrogen from a decommissioned septic drainfield continued to leach into groundwater for more than a decade after use ended [citation unverified — Oct 2026: the 1991 paper’s title describes contamination from two operating small septic systems; check whether it covers post-decommissioning leaching]. The mechanism is broadly accepted and would be expected at comparable or longer timescales on ESVA given similar soil carbon accumulation.</w:t>
      </w:r>
    </w:p>
    <w:bookmarkEnd w:id="13"/>
    <w:bookmarkStart w:id="14" w:name="strength-of-evidence-assessment"/>
    <w:p>
      <w:pPr>
        <w:pStyle w:val="Heading2"/>
      </w:pPr>
      <w:r>
        <w:t xml:space="preserve">Strength-of-evidence assessment</w:t>
      </w:r>
    </w:p>
    <w:p>
      <w:pPr>
        <w:pStyle w:val="Compact"/>
        <w:numPr>
          <w:ilvl w:val="0"/>
          <w:numId w:val="1002"/>
        </w:numPr>
      </w:pPr>
      <w:r>
        <w:rPr>
          <w:b/>
          <w:bCs/>
        </w:rPr>
        <w:t xml:space="preserve">Conventional drainfields require an unsaturated zone for treatment — ESTABLISHED</w:t>
      </w:r>
      <w:r>
        <w:t xml:space="preserve"> </w:t>
      </w:r>
      <w:r>
        <w:t xml:space="preserve">(EPA 2002; Crites and Tchobanoglous 1998).</w:t>
      </w:r>
    </w:p>
    <w:p>
      <w:pPr>
        <w:pStyle w:val="Compact"/>
        <w:numPr>
          <w:ilvl w:val="0"/>
          <w:numId w:val="1002"/>
        </w:numPr>
      </w:pPr>
      <w:r>
        <w:rPr>
          <w:b/>
          <w:bCs/>
        </w:rPr>
        <w:t xml:space="preserve">ESVA water tables are rising into the drainfield treatment zone at many parcels — PLAUSIBLE (projected)</w:t>
      </w:r>
      <w:r>
        <w:t xml:space="preserve"> </w:t>
      </w:r>
      <w:r>
        <w:rPr>
          <w:b/>
          <w:bCs/>
        </w:rPr>
        <w:t xml:space="preserve">[Oct 2026: was STRONGLY SUPPORTED]</w:t>
      </w:r>
      <w:r>
        <w:t xml:space="preserve">. Hesamfar et al. (in review) and project modeling project this, and the mechanism has been measured in Rhode Island and North Carolina. It is not yet documented in ESVA field data. Mitchell et al. (2021) is Tidewater-wide.</w:t>
      </w:r>
    </w:p>
    <w:p>
      <w:pPr>
        <w:pStyle w:val="Compact"/>
        <w:numPr>
          <w:ilvl w:val="0"/>
          <w:numId w:val="1002"/>
        </w:numPr>
      </w:pPr>
      <w:r>
        <w:rPr>
          <w:b/>
          <w:bCs/>
        </w:rPr>
        <w:t xml:space="preserve">Saturated drainfield soils shift to anaerobic microbial communities and lose treatment capacity — ESTABLISHED</w:t>
      </w:r>
      <w:r>
        <w:t xml:space="preserve"> </w:t>
      </w:r>
      <w:r>
        <w:t xml:space="preserve">(general soil ecology; EPA 2002).</w:t>
      </w:r>
    </w:p>
    <w:p>
      <w:pPr>
        <w:pStyle w:val="Compact"/>
        <w:numPr>
          <w:ilvl w:val="0"/>
          <w:numId w:val="1002"/>
        </w:numPr>
      </w:pPr>
      <w:r>
        <w:rPr>
          <w:b/>
          <w:bCs/>
        </w:rPr>
        <w:t xml:space="preserve">Failing drainfields kill or suppress oxygen-sensitive vegetation at the footprint scale — PLAUSIBLE</w:t>
      </w:r>
      <w:r>
        <w:t xml:space="preserve"> </w:t>
      </w:r>
      <w:r>
        <w:rPr>
          <w:b/>
          <w:bCs/>
        </w:rPr>
        <w:t xml:space="preserve">[Oct 2026: was STRONGLY SUPPORTED]</w:t>
      </w:r>
      <w:r>
        <w:t xml:space="preserve"> </w:t>
      </w:r>
      <w:r>
        <w:t xml:space="preserve">(extension and anecdotal evidence; mechanism is well understood, ESVA-specific documentation is absent).</w:t>
      </w:r>
    </w:p>
    <w:p>
      <w:pPr>
        <w:pStyle w:val="Compact"/>
        <w:numPr>
          <w:ilvl w:val="0"/>
          <w:numId w:val="1002"/>
        </w:numPr>
      </w:pPr>
      <w:r>
        <w:rPr>
          <w:b/>
          <w:bCs/>
        </w:rPr>
        <w:t xml:space="preserve">Drainfield surfacing facilitates mosquito production — PLAUSIBLE</w:t>
      </w:r>
      <w:r>
        <w:t xml:space="preserve"> </w:t>
      </w:r>
      <w:r>
        <w:rPr>
          <w:b/>
          <w:bCs/>
        </w:rPr>
        <w:t xml:space="preserve">[Oct 2026: was</w:t>
      </w:r>
      <w:r>
        <w:rPr>
          <w:b/>
          <w:bCs/>
        </w:rPr>
        <w:t xml:space="preserve"> </w:t>
      </w:r>
      <w:r>
        <w:rPr>
          <w:b/>
          <w:bCs/>
        </w:rPr>
        <w:t xml:space="preserve">“PLAUSIBLE / STRONGLY SUPPORTED”</w:t>
      </w:r>
      <w:r>
        <w:rPr>
          <w:b/>
          <w:bCs/>
        </w:rPr>
        <w:t xml:space="preserve">]</w:t>
      </w:r>
      <w:r>
        <w:t xml:space="preserve"> </w:t>
      </w:r>
      <w:r>
        <w:t xml:space="preserve">(habitat attributes match known vector ecology; direct drainfield studies are sparse).</w:t>
      </w:r>
    </w:p>
    <w:p>
      <w:pPr>
        <w:pStyle w:val="Compact"/>
        <w:numPr>
          <w:ilvl w:val="0"/>
          <w:numId w:val="1002"/>
        </w:numPr>
      </w:pPr>
      <w:r>
        <w:rPr>
          <w:b/>
          <w:bCs/>
        </w:rPr>
        <w:t xml:space="preserve">Failing drainfields in the upland-to-marsh ecotone facilitate</w:t>
      </w:r>
      <w:r>
        <w:rPr>
          <w:b/>
          <w:bCs/>
        </w:rPr>
        <w:t xml:space="preserve"> </w:t>
      </w:r>
      <w:r>
        <w:rPr>
          <w:b/>
          <w:bCs/>
          <w:i/>
          <w:iCs/>
        </w:rPr>
        <w:t xml:space="preserve">Phragmites</w:t>
      </w:r>
      <w:r>
        <w:rPr>
          <w:b/>
          <w:bCs/>
        </w:rPr>
        <w:t xml:space="preserve"> </w:t>
      </w:r>
      <w:r>
        <w:rPr>
          <w:b/>
          <w:bCs/>
        </w:rPr>
        <w:t xml:space="preserve">expansion — PLAUSIBLE</w:t>
      </w:r>
      <w:r>
        <w:t xml:space="preserve"> </w:t>
      </w:r>
      <w:r>
        <w:t xml:space="preserve">(mechanism established regionally; direct drainfield attribution absent from ESVA literature).</w:t>
      </w:r>
    </w:p>
    <w:p>
      <w:pPr>
        <w:pStyle w:val="Compact"/>
        <w:numPr>
          <w:ilvl w:val="0"/>
          <w:numId w:val="1002"/>
        </w:numPr>
      </w:pPr>
      <w:r>
        <w:rPr>
          <w:b/>
          <w:bCs/>
        </w:rPr>
        <w:t xml:space="preserve">Decommissioned drainfields continue to leach nitrogen for years to decades — PLAUSIBLE</w:t>
      </w:r>
      <w:r>
        <w:t xml:space="preserve"> </w:t>
      </w:r>
      <w:r>
        <w:rPr>
          <w:b/>
          <w:bCs/>
        </w:rPr>
        <w:t xml:space="preserve">[Oct 2026: was STRONGLY SUPPORTED; the supporting citation is unverified for this point]</w:t>
      </w:r>
      <w:r>
        <w:t xml:space="preserve"> </w:t>
      </w:r>
      <w:r>
        <w:t xml:space="preserve">(Robertson et al. 1991 and follow-up; timescale uncertain for ESVA soils specifically).</w:t>
      </w:r>
    </w:p>
    <w:p>
      <w:pPr>
        <w:pStyle w:val="Compact"/>
        <w:numPr>
          <w:ilvl w:val="0"/>
          <w:numId w:val="1002"/>
        </w:numPr>
      </w:pPr>
      <w:r>
        <w:rPr>
          <w:b/>
          <w:bCs/>
        </w:rPr>
        <w:t xml:space="preserve">Footprint-scale ecological damage is currently measurable and substantial on ESVA — SPECULATIVE</w:t>
      </w:r>
      <w:r>
        <w:t xml:space="preserve"> </w:t>
      </w:r>
      <w:r>
        <w:rPr>
          <w:b/>
          <w:bCs/>
        </w:rPr>
        <w:t xml:space="preserve">[Oct 2026: was PLAUSIBLE]</w:t>
      </w:r>
      <w:r>
        <w:t xml:space="preserve">. No ESVA documentation exists, and VDH sees about 90 repair permits a year (~0.5% of systems).</w:t>
      </w:r>
    </w:p>
    <w:bookmarkEnd w:id="14"/>
    <w:bookmarkStart w:id="15" w:name="data-gaps"/>
    <w:p>
      <w:pPr>
        <w:pStyle w:val="Heading2"/>
      </w:pPr>
      <w:r>
        <w:t xml:space="preserve">Data gaps</w:t>
      </w:r>
    </w:p>
    <w:p>
      <w:pPr>
        <w:numPr>
          <w:ilvl w:val="0"/>
          <w:numId w:val="1003"/>
        </w:numPr>
      </w:pPr>
      <w:r>
        <w:rPr>
          <w:b/>
          <w:bCs/>
        </w:rPr>
        <w:t xml:space="preserve">Field ecology of actual ESVA drainfield footprints.</w:t>
      </w:r>
      <w:r>
        <w:t xml:space="preserve"> </w:t>
      </w:r>
      <w:r>
        <w:t xml:space="preserve">No published study has characterized the soil microbial community, vegetation composition, or adjacent-habitat effects at a set of ESVA drainfields ranked from functioning to failing. A straightforward ESCC capstone could pair drainfield condition (from VDH permit records) with simple above-ground vegetation surveys and mosquito trapping at a stratified sample of parcels.</w:t>
      </w:r>
    </w:p>
    <w:p>
      <w:pPr>
        <w:numPr>
          <w:ilvl w:val="0"/>
          <w:numId w:val="1003"/>
        </w:numPr>
      </w:pPr>
      <w:r>
        <w:rPr>
          <w:b/>
          <w:bCs/>
        </w:rPr>
        <w:t xml:space="preserve">Quantitative attribution of</w:t>
      </w:r>
      <w:r>
        <w:rPr>
          <w:b/>
          <w:bCs/>
        </w:rPr>
        <w:t xml:space="preserve"> </w:t>
      </w:r>
      <w:r>
        <w:rPr>
          <w:b/>
          <w:bCs/>
          <w:i/>
          <w:iCs/>
        </w:rPr>
        <w:t xml:space="preserve">Phragmites</w:t>
      </w:r>
      <w:r>
        <w:rPr>
          <w:b/>
          <w:bCs/>
        </w:rPr>
        <w:t xml:space="preserve"> </w:t>
      </w:r>
      <w:r>
        <w:rPr>
          <w:b/>
          <w:bCs/>
        </w:rPr>
        <w:t xml:space="preserve">expansion on ESVA to drainfield N loading.</w:t>
      </w:r>
      <w:r>
        <w:t xml:space="preserve"> </w:t>
      </w:r>
      <w:r>
        <w:rPr>
          <w:i/>
          <w:iCs/>
        </w:rPr>
        <w:t xml:space="preserve">Phragmites</w:t>
      </w:r>
      <w:r>
        <w:t xml:space="preserve"> </w:t>
      </w:r>
      <w:r>
        <w:t xml:space="preserve">is expanding rapidly in the ESVA tidal-upland transition, with drivers including sea-level rise, general nutrient enrichment, and disturbance. The drainfield-specific contribution has not been partitioned from the other drivers. Isotope-based or spatial-proximity analyses could test this.</w:t>
      </w:r>
    </w:p>
    <w:p>
      <w:pPr>
        <w:numPr>
          <w:ilvl w:val="0"/>
          <w:numId w:val="1003"/>
        </w:numPr>
      </w:pPr>
      <w:r>
        <w:rPr>
          <w:b/>
          <w:bCs/>
        </w:rPr>
        <w:t xml:space="preserve">Mosquito production rates from failing drainfields.</w:t>
      </w:r>
      <w:r>
        <w:t xml:space="preserve"> </w:t>
      </w:r>
      <w:r>
        <w:t xml:space="preserve">The habitat exists, the vector ecology mechanism is understood, but ESVA-specific production rate measurements do not exist. The public-nuisance-and-vector angle is legitimate and under-studied.</w:t>
      </w:r>
    </w:p>
    <w:p>
      <w:pPr>
        <w:numPr>
          <w:ilvl w:val="0"/>
          <w:numId w:val="1003"/>
        </w:numPr>
      </w:pPr>
      <w:r>
        <w:rPr>
          <w:b/>
          <w:bCs/>
        </w:rPr>
        <w:t xml:space="preserve">Legacy-loading tail duration for ESVA drainfield soils.</w:t>
      </w:r>
      <w:r>
        <w:t xml:space="preserve"> </w:t>
      </w:r>
      <w:r>
        <w:t xml:space="preserve">If a household connects to sewer or replaces a failing system, how long before the decommissioned drainfield soil stops leaching nitrogen to adjacent groundwater? This matters for the HRSD sewer expansion and for any future retrofit program — the mitigation benefit is delayed by whatever the tail duration is.</w:t>
      </w:r>
    </w:p>
    <w:p>
      <w:pPr>
        <w:numPr>
          <w:ilvl w:val="0"/>
          <w:numId w:val="1003"/>
        </w:numPr>
      </w:pPr>
      <w:r>
        <w:rPr>
          <w:b/>
          <w:bCs/>
        </w:rPr>
        <w:t xml:space="preserve">Footprint-to-ecotone distance thresholds.</w:t>
      </w:r>
      <w:r>
        <w:t xml:space="preserve"> </w:t>
      </w:r>
      <w:r>
        <w:t xml:space="preserve">At what drainfield-to-wetland or drainfield-to-tidal-creek distances does the footprint-scale effect become ecologically detectable? This is the scaling factor that distinguishes Pathway 6 from Pathway 2.</w:t>
      </w:r>
    </w:p>
    <w:p>
      <w:pPr>
        <w:numPr>
          <w:ilvl w:val="0"/>
          <w:numId w:val="1003"/>
        </w:numPr>
      </w:pPr>
      <w:r>
        <w:rPr>
          <w:b/>
          <w:bCs/>
        </w:rPr>
        <w:t xml:space="preserve">Cumulative footprint area at ESVA scale.</w:t>
      </w:r>
      <w:r>
        <w:t xml:space="preserve"> </w:t>
      </w:r>
      <w:r>
        <w:t xml:space="preserve">~18,000 septic systems times ~300–600 m² per drainfield is roughly 5–11 km² of engineered soil, much of it in hydrologically sensitive positions.</w:t>
      </w:r>
      <w:r>
        <w:t xml:space="preserve"> </w:t>
      </w:r>
      <w:r>
        <w:rPr>
          <w:b/>
          <w:bCs/>
        </w:rPr>
        <w:t xml:space="preserve">[Oct 2026]</w:t>
      </w:r>
      <w:r>
        <w:t xml:space="preserve"> </w:t>
      </w:r>
      <w:r>
        <w:t xml:space="preserve">This is this file’s own arithmetic, not a published estimate. The assumed 300–600 m² per drainfield looks high for residential systems, so treat the total as an order-of-magnitude guess (perhaps a few km²). The total cumulative ecological footprint has not been estimated.</w:t>
      </w:r>
    </w:p>
    <w:bookmarkEnd w:id="15"/>
    <w:bookmarkStart w:id="20" w:name="references"/>
    <w:p>
      <w:pPr>
        <w:pStyle w:val="Heading2"/>
      </w:pPr>
      <w:r>
        <w:t xml:space="preserve">References</w:t>
      </w:r>
    </w:p>
    <w:p>
      <w:pPr>
        <w:pStyle w:val="FirstParagraph"/>
      </w:pPr>
      <w:r>
        <w:t xml:space="preserve">Chambers, R. M., L. A. Meyerson, and K. Saltonstall. 1999. Expansion of</w:t>
      </w:r>
      <w:r>
        <w:t xml:space="preserve"> </w:t>
      </w:r>
      <w:r>
        <w:rPr>
          <w:i/>
          <w:iCs/>
        </w:rPr>
        <w:t xml:space="preserve">Phragmites australis</w:t>
      </w:r>
      <w:r>
        <w:t xml:space="preserve"> </w:t>
      </w:r>
      <w:r>
        <w:t xml:space="preserve">into tidal wetlands of North America.</w:t>
      </w:r>
      <w:r>
        <w:t xml:space="preserve"> </w:t>
      </w:r>
      <w:r>
        <w:rPr>
          <w:i/>
          <w:iCs/>
        </w:rPr>
        <w:t xml:space="preserve">Aquatic Botany</w:t>
      </w:r>
      <w:r>
        <w:t xml:space="preserve"> </w:t>
      </w:r>
      <w:r>
        <w:t xml:space="preserve">64(3–4): 261–273.</w:t>
      </w:r>
    </w:p>
    <w:p>
      <w:pPr>
        <w:pStyle w:val="BodyText"/>
      </w:pPr>
      <w:r>
        <w:t xml:space="preserve">Clemson HGIC (Home &amp; Garden Information Center). 2021.</w:t>
      </w:r>
      <w:r>
        <w:t xml:space="preserve"> </w:t>
      </w:r>
      <w:r>
        <w:rPr>
          <w:i/>
          <w:iCs/>
        </w:rPr>
        <w:t xml:space="preserve">Landscaping over septic drain fields.</w:t>
      </w:r>
      <w:r>
        <w:t xml:space="preserve"> </w:t>
      </w:r>
      <w:r>
        <w:t xml:space="preserve">Factsheet HGIC 1726. Clemson Cooperative Extension.</w:t>
      </w:r>
      <w:r>
        <w:t xml:space="preserve"> </w:t>
      </w:r>
      <w:hyperlink r:id="rId16">
        <w:r>
          <w:rPr>
            <w:rStyle w:val="Hyperlink"/>
          </w:rPr>
          <w:t xml:space="preserve">https://hgic.clemson.edu/factsheet/landscaping-over-septic-drain-fields/</w:t>
        </w:r>
      </w:hyperlink>
    </w:p>
    <w:p>
      <w:pPr>
        <w:pStyle w:val="BodyText"/>
      </w:pPr>
      <w:r>
        <w:t xml:space="preserve">Cox, A. H., G. W. Loomis, and J. A. Amador. 2019. Preliminary evidence that rising groundwater tables threaten coastal septic systems.</w:t>
      </w:r>
      <w:r>
        <w:t xml:space="preserve"> </w:t>
      </w:r>
      <w:r>
        <w:rPr>
          <w:i/>
          <w:iCs/>
        </w:rPr>
        <w:t xml:space="preserve">Journal of Sustainable Water in the Built Environment</w:t>
      </w:r>
      <w:r>
        <w:t xml:space="preserve"> </w:t>
      </w:r>
      <w:r>
        <w:t xml:space="preserve">5(4). doi:10.1061/JSWBAY.0000887.</w:t>
      </w:r>
    </w:p>
    <w:p>
      <w:pPr>
        <w:pStyle w:val="BodyText"/>
      </w:pPr>
      <w:r>
        <w:t xml:space="preserve">Crites, R., and G. Tchobanoglous. 1998.</w:t>
      </w:r>
      <w:r>
        <w:t xml:space="preserve"> </w:t>
      </w:r>
      <w:r>
        <w:rPr>
          <w:i/>
          <w:iCs/>
        </w:rPr>
        <w:t xml:space="preserve">Small and Decentralized Wastewater Management Systems.</w:t>
      </w:r>
      <w:r>
        <w:t xml:space="preserve"> </w:t>
      </w:r>
      <w:r>
        <w:t xml:space="preserve">McGraw-Hill, New York.</w:t>
      </w:r>
    </w:p>
    <w:p>
      <w:pPr>
        <w:pStyle w:val="BodyText"/>
      </w:pPr>
      <w:r>
        <w:t xml:space="preserve">Eastern Shore Climate Equity StoryMap. 2025.</w:t>
      </w:r>
      <w:r>
        <w:t xml:space="preserve"> </w:t>
      </w:r>
      <w:r>
        <w:rPr>
          <w:i/>
          <w:iCs/>
        </w:rPr>
        <w:t xml:space="preserve">Groundwater depth and septic drainage on the Eastern Shore.</w:t>
      </w:r>
      <w:r>
        <w:t xml:space="preserve"> </w:t>
      </w:r>
      <w:r>
        <w:t xml:space="preserve">Virginia Climate Equity project, Eastern Shore Livability Hub Team.</w:t>
      </w:r>
      <w:r>
        <w:t xml:space="preserve"> </w:t>
      </w:r>
      <w:hyperlink r:id="rId17">
        <w:r>
          <w:rPr>
            <w:rStyle w:val="Hyperlink"/>
          </w:rPr>
          <w:t xml:space="preserve">https://storymaps.arcgis.com/stories/bb039401ce4c4b8491e4074dffe64f8e</w:t>
        </w:r>
      </w:hyperlink>
    </w:p>
    <w:p>
      <w:pPr>
        <w:pStyle w:val="BodyText"/>
      </w:pPr>
      <w:r>
        <w:t xml:space="preserve">[Oct 2026: unpublished; Pathway 1 describes this work differently (as a SEAWAT septic model with a different author list); reconcile before citing] Hesamfar, F., S. A. Barbosa, T. N. D. Tran, T. Culver, L. Band, and V. Lakshmi. in review. Impact of changing recharge on sole-source coastal aquifer: multi-model assessment for Virginia’s Eastern Shore.</w:t>
      </w:r>
      <w:r>
        <w:t xml:space="preserve"> </w:t>
      </w:r>
      <w:r>
        <w:rPr>
          <w:i/>
          <w:iCs/>
        </w:rPr>
        <w:t xml:space="preserve">Journal of Hydrology</w:t>
      </w:r>
      <w:r>
        <w:t xml:space="preserve">.</w:t>
      </w:r>
    </w:p>
    <w:p>
      <w:pPr>
        <w:pStyle w:val="BodyText"/>
      </w:pPr>
      <w:r>
        <w:t xml:space="preserve">Hoghooghi, N., J. S. Pippin, B. K. Meyer, J. B. Hodges, and B. P. Bledsoe. 2021. Frontiers in assessing septic systems vulnerability in coastal Georgia, USA: modeling approach and management implications.</w:t>
      </w:r>
      <w:r>
        <w:t xml:space="preserve"> </w:t>
      </w:r>
      <w:r>
        <w:rPr>
          <w:i/>
          <w:iCs/>
        </w:rPr>
        <w:t xml:space="preserve">PLoS ONE</w:t>
      </w:r>
      <w:r>
        <w:t xml:space="preserve"> </w:t>
      </w:r>
      <w:r>
        <w:t xml:space="preserve">16(8): e0256606. doi:10.1371/journal.pone.0256606.</w:t>
      </w:r>
    </w:p>
    <w:p>
      <w:pPr>
        <w:pStyle w:val="BodyText"/>
      </w:pPr>
      <w:r>
        <w:t xml:space="preserve">Mitchell, M., R. E. Isdell, J. Herman, and C. Tombleson. 2021. Impact assessment and management challenges of key rural human health infrastructure under sea level rise.</w:t>
      </w:r>
      <w:r>
        <w:t xml:space="preserve"> </w:t>
      </w:r>
      <w:r>
        <w:rPr>
          <w:i/>
          <w:iCs/>
        </w:rPr>
        <w:t xml:space="preserve">Frontiers in Marine Science</w:t>
      </w:r>
      <w:r>
        <w:t xml:space="preserve"> </w:t>
      </w:r>
      <w:r>
        <w:t xml:space="preserve">8: 631757. doi:10.3389/fmars.2021.631757.</w:t>
      </w:r>
    </w:p>
    <w:p>
      <w:pPr>
        <w:pStyle w:val="BodyText"/>
      </w:pPr>
      <w:r>
        <w:t xml:space="preserve">Mozdzer, T. J., and J. C. Zieman. 2010. Ecophysiological differences between genetic lineages facilitate the invasion of non-native</w:t>
      </w:r>
      <w:r>
        <w:t xml:space="preserve"> </w:t>
      </w:r>
      <w:r>
        <w:rPr>
          <w:i/>
          <w:iCs/>
        </w:rPr>
        <w:t xml:space="preserve">Phragmites australis</w:t>
      </w:r>
      <w:r>
        <w:t xml:space="preserve"> </w:t>
      </w:r>
      <w:r>
        <w:t xml:space="preserve">in North American Atlantic coast wetlands.</w:t>
      </w:r>
      <w:r>
        <w:t xml:space="preserve"> </w:t>
      </w:r>
      <w:r>
        <w:rPr>
          <w:i/>
          <w:iCs/>
        </w:rPr>
        <w:t xml:space="preserve">Journal of Ecology</w:t>
      </w:r>
      <w:r>
        <w:t xml:space="preserve"> </w:t>
      </w:r>
      <w:r>
        <w:t xml:space="preserve">98: 451–458.</w:t>
      </w:r>
    </w:p>
    <w:p>
      <w:pPr>
        <w:pStyle w:val="BodyText"/>
      </w:pPr>
      <w:r>
        <w:t xml:space="preserve">O’Driscoll, M., C. Humphrey, G. Iverson, J. Bowden, and J. Harrison. 2024. Rising groundwater levels in Dare County, North Carolina: implications for onsite wastewater management for coastal communities.</w:t>
      </w:r>
      <w:r>
        <w:t xml:space="preserve"> </w:t>
      </w:r>
      <w:r>
        <w:rPr>
          <w:i/>
          <w:iCs/>
        </w:rPr>
        <w:t xml:space="preserve">Journal of Water and Climate Change</w:t>
      </w:r>
      <w:r>
        <w:t xml:space="preserve"> </w:t>
      </w:r>
      <w:r>
        <w:t xml:space="preserve">15(8): 3666–3688. doi:10.2166/wcc.2024.735.</w:t>
      </w:r>
    </w:p>
    <w:p>
      <w:pPr>
        <w:pStyle w:val="BodyText"/>
      </w:pPr>
      <w:r>
        <w:t xml:space="preserve">Reiskind, M. H., and M. L. Wilson. 2004.</w:t>
      </w:r>
      <w:r>
        <w:t xml:space="preserve"> </w:t>
      </w:r>
      <w:r>
        <w:rPr>
          <w:i/>
          <w:iCs/>
        </w:rPr>
        <w:t xml:space="preserve">Culex restuans</w:t>
      </w:r>
      <w:r>
        <w:t xml:space="preserve"> </w:t>
      </w:r>
      <w:r>
        <w:t xml:space="preserve">(Diptera: Culicidae) oviposition behavior determined by larval habitat quality and quantity in southeastern Michigan.</w:t>
      </w:r>
      <w:r>
        <w:t xml:space="preserve"> </w:t>
      </w:r>
      <w:r>
        <w:rPr>
          <w:i/>
          <w:iCs/>
        </w:rPr>
        <w:t xml:space="preserve">Journal of Medical Entomology</w:t>
      </w:r>
      <w:r>
        <w:t xml:space="preserve"> </w:t>
      </w:r>
      <w:r>
        <w:t xml:space="preserve">41(2): 179–186.</w:t>
      </w:r>
    </w:p>
    <w:p>
      <w:pPr>
        <w:pStyle w:val="BodyText"/>
      </w:pPr>
      <w:r>
        <w:t xml:space="preserve">[Oct 2026: unverified for the post-decommissioning legacy claim it is cited for] Robertson, W. D., J. A. Cherry, and E. A. Sudicky. 1991. Ground-water contamination from two small septic systems on sand aquifers.</w:t>
      </w:r>
      <w:r>
        <w:t xml:space="preserve"> </w:t>
      </w:r>
      <w:r>
        <w:rPr>
          <w:i/>
          <w:iCs/>
        </w:rPr>
        <w:t xml:space="preserve">Ground Water</w:t>
      </w:r>
      <w:r>
        <w:t xml:space="preserve"> </w:t>
      </w:r>
      <w:r>
        <w:t xml:space="preserve">29(1): 82–92.</w:t>
      </w:r>
    </w:p>
    <w:p>
      <w:pPr>
        <w:pStyle w:val="BodyText"/>
      </w:pPr>
      <w:r>
        <w:t xml:space="preserve">Sprouse, L., A. Kryston, S. Lebu, C. Muoghalu, C. Woods, and M. Manga. 2024. Septic systems in North Carolina: a neglected half of the state?</w:t>
      </w:r>
      <w:r>
        <w:t xml:space="preserve"> </w:t>
      </w:r>
      <w:r>
        <w:rPr>
          <w:i/>
          <w:iCs/>
        </w:rPr>
        <w:t xml:space="preserve">PLOS Water</w:t>
      </w:r>
      <w:r>
        <w:t xml:space="preserve"> </w:t>
      </w:r>
      <w:r>
        <w:t xml:space="preserve">3(10): e0000304.</w:t>
      </w:r>
    </w:p>
    <w:p>
      <w:pPr>
        <w:pStyle w:val="BodyText"/>
      </w:pPr>
      <w:r>
        <w:t xml:space="preserve">UF/IFAS EDIS.</w:t>
      </w:r>
      <w:r>
        <w:t xml:space="preserve"> </w:t>
      </w:r>
      <w:r>
        <w:rPr>
          <w:i/>
          <w:iCs/>
        </w:rPr>
        <w:t xml:space="preserve">Landscaping on or near septic drain fields.</w:t>
      </w:r>
      <w:r>
        <w:t xml:space="preserve"> </w:t>
      </w:r>
      <w:r>
        <w:t xml:space="preserve">Document SS687, University of Florida IFAS Extension.</w:t>
      </w:r>
      <w:r>
        <w:t xml:space="preserve"> </w:t>
      </w:r>
      <w:hyperlink r:id="rId18">
        <w:r>
          <w:rPr>
            <w:rStyle w:val="Hyperlink"/>
          </w:rPr>
          <w:t xml:space="preserve">https://edis.ifas.ufl.edu/publication/SS687</w:t>
        </w:r>
      </w:hyperlink>
    </w:p>
    <w:p>
      <w:pPr>
        <w:pStyle w:val="BodyText"/>
      </w:pPr>
      <w:r>
        <w:t xml:space="preserve">Unlu, I., A. Farajollahi, D. Strickman, and D. M. Fonseca. 2014. Crouching tiger, hidden trouble: urban sources of</w:t>
      </w:r>
      <w:r>
        <w:t xml:space="preserve"> </w:t>
      </w:r>
      <w:r>
        <w:rPr>
          <w:i/>
          <w:iCs/>
        </w:rPr>
        <w:t xml:space="preserve">Aedes albopictus</w:t>
      </w:r>
      <w:r>
        <w:t xml:space="preserve"> </w:t>
      </w:r>
      <w:r>
        <w:t xml:space="preserve">(Diptera: Culicidae) refractory to source-reduction.</w:t>
      </w:r>
      <w:r>
        <w:t xml:space="preserve"> </w:t>
      </w:r>
      <w:r>
        <w:rPr>
          <w:i/>
          <w:iCs/>
        </w:rPr>
        <w:t xml:space="preserve">PLoS ONE</w:t>
      </w:r>
      <w:r>
        <w:t xml:space="preserve"> </w:t>
      </w:r>
      <w:r>
        <w:t xml:space="preserve">8(10): e77999.</w:t>
      </w:r>
    </w:p>
    <w:p>
      <w:pPr>
        <w:pStyle w:val="BodyText"/>
      </w:pPr>
      <w:r>
        <w:t xml:space="preserve">US EPA. 2002.</w:t>
      </w:r>
      <w:r>
        <w:t xml:space="preserve"> </w:t>
      </w:r>
      <w:r>
        <w:rPr>
          <w:i/>
          <w:iCs/>
        </w:rPr>
        <w:t xml:space="preserve">Onsite Wastewater Treatment Systems Manual.</w:t>
      </w:r>
      <w:r>
        <w:t xml:space="preserve"> </w:t>
      </w:r>
      <w:r>
        <w:t xml:space="preserve">EPA/625/R-00/008. Office of Water and Office of Research and Development.</w:t>
      </w:r>
    </w:p>
    <w:p>
      <w:pPr>
        <w:pStyle w:val="BodyText"/>
      </w:pPr>
      <w:r>
        <w:t xml:space="preserve">US EPA. 2024.</w:t>
      </w:r>
      <w:r>
        <w:t xml:space="preserve"> </w:t>
      </w:r>
      <w:r>
        <w:rPr>
          <w:i/>
          <w:iCs/>
        </w:rPr>
        <w:t xml:space="preserve">Septic tanks and natural hazards resource guide.</w:t>
      </w:r>
      <w:r>
        <w:t xml:space="preserve"> </w:t>
      </w:r>
      <w:r>
        <w:t xml:space="preserve">Office of Wastewater Management.</w:t>
      </w:r>
      <w:r>
        <w:t xml:space="preserve"> </w:t>
      </w:r>
      <w:hyperlink r:id="rId19">
        <w:r>
          <w:rPr>
            <w:rStyle w:val="Hyperlink"/>
          </w:rPr>
          <w:t xml:space="preserve">https://www.epa.gov/system/files/documents/2024-12/septic-tanks-and-natural-hazards-resource-guide.pdf</w:t>
        </w:r>
      </w:hyperlink>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edis.ifas.ufl.edu/publication/SS687" TargetMode="External" /><Relationship Type="http://schemas.openxmlformats.org/officeDocument/2006/relationships/hyperlink" Id="rId16" Target="https://hgic.clemson.edu/factsheet/landscaping-over-septic-drain-fields/" TargetMode="External" /><Relationship Type="http://schemas.openxmlformats.org/officeDocument/2006/relationships/hyperlink" Id="rId17" Target="https://storymaps.arcgis.com/stories/bb039401ce4c4b8491e4074dffe64f8e" TargetMode="External" /><Relationship Type="http://schemas.openxmlformats.org/officeDocument/2006/relationships/hyperlink" Id="rId19" Target="https://www.epa.gov/system/files/documents/2024-12/septic-tanks-and-natural-hazards-resource-guide.pdf" TargetMode="External" /></Relationships>
</file>

<file path=word/_rels/footnotes.xml.rels><?xml version="1.0" encoding="UTF-8"?><Relationships xmlns="http://schemas.openxmlformats.org/package/2006/relationships"><Relationship Type="http://schemas.openxmlformats.org/officeDocument/2006/relationships/hyperlink" Id="rId18" Target="https://edis.ifas.ufl.edu/publication/SS687" TargetMode="External" /><Relationship Type="http://schemas.openxmlformats.org/officeDocument/2006/relationships/hyperlink" Id="rId16" Target="https://hgic.clemson.edu/factsheet/landscaping-over-septic-drain-fields/" TargetMode="External" /><Relationship Type="http://schemas.openxmlformats.org/officeDocument/2006/relationships/hyperlink" Id="rId17" Target="https://storymaps.arcgis.com/stories/bb039401ce4c4b8491e4074dffe64f8e" TargetMode="External" /><Relationship Type="http://schemas.openxmlformats.org/officeDocument/2006/relationships/hyperlink" Id="rId19" Target="https://www.epa.gov/system/files/documents/2024-12/septic-tanks-and-natural-hazards-resource-guid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2026-10-02T14:00:49Z</dcterms:created>
  <dcterms:modified xsi:type="dcterms:W3CDTF">2026-10-02T14:00:49Z</dcterms:modified>
</cp:coreProperties>
</file>

<file path=docProps/custom.xml><?xml version="1.0" encoding="utf-8"?>
<Properties xmlns="http://schemas.openxmlformats.org/officeDocument/2006/custom-properties" xmlns:vt="http://schemas.openxmlformats.org/officeDocument/2006/docPropsVTypes"/>
</file>