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 baseflow from groundwater discharge rather than overland flow (A-NPDC 2022; Richardson 1994),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roughly 4,000–4,800 hectares (~10,000 acres) of</w:t>
      </w:r>
      <w:r>
        <w:t xml:space="preserve"> </w:t>
      </w:r>
      <w:r>
        <w:rPr>
          <w:iCs/>
          <w:i/>
        </w:rPr>
        <w:t xml:space="preserve">Zostera marina</w:t>
      </w:r>
      <w:r>
        <w:t xml:space="preserve"> </w:t>
      </w:r>
      <w:r>
        <w:t xml:space="preserve">eelgrass restored across South, Cobb, Spider Crab, and Hog Island Bays,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Zimmer-Faust et al.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2026-06-25T18:18:32Z</dcterms:created>
  <dcterms:modified xsi:type="dcterms:W3CDTF">2026-06-25T18:18:32Z</dcterms:modified>
</cp:coreProperties>
</file>

<file path=docProps/custom.xml><?xml version="1.0" encoding="utf-8"?>
<Properties xmlns="http://schemas.openxmlformats.org/officeDocument/2006/custom-properties" xmlns:vt="http://schemas.openxmlformats.org/officeDocument/2006/docPropsVTypes"/>
</file>