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765c360aff461ea689485b51b4e98f4acb870a5"/>
    <w:p>
      <w:pPr>
        <w:pStyle w:val="Heading1"/>
      </w:pPr>
      <w:r>
        <w:t xml:space="preserve">ESVA Summer Symposium Poster — Content &amp; Layout Specification</w:t>
      </w:r>
    </w:p>
    <w:p>
      <w:pPr>
        <w:pStyle w:val="FirstParagraph"/>
      </w:pPr>
      <w:r>
        <w:rPr>
          <w:bCs/>
          <w:b/>
        </w:rPr>
        <w:t xml:space="preserve">Companion to</w:t>
      </w:r>
      <w:r>
        <w:rPr>
          <w:bCs/>
          <w:b/>
        </w:rPr>
        <w:t xml:space="preserve"> </w:t>
      </w:r>
      <w:r>
        <w:rPr>
          <w:rStyle w:val="VerbatimChar"/>
          <w:bCs/>
          <w:b/>
        </w:rPr>
        <w:t xml:space="preserve">ESVA_Symposium_Poster.html</w:t>
      </w:r>
      <w:r>
        <w:rPr>
          <w:bCs/>
          <w:b/>
        </w:rPr>
        <w:t xml:space="preserve">.</w:t>
      </w:r>
      <w:r>
        <w:t xml:space="preserve"> </w:t>
      </w:r>
      <w:r>
        <w:t xml:space="preserve">Use this to rebuild the poster in PowerPoint, Illustrator, or Canva, or to edit text before printing from the HTML.</w:t>
      </w:r>
    </w:p>
    <w:p>
      <w:pPr>
        <w:pStyle w:val="BodyText"/>
      </w:pPr>
      <w:r>
        <w:rPr>
          <w:bCs/>
          <w:b/>
        </w:rPr>
        <w:t xml:space="preserve">Format:</w:t>
      </w:r>
      <w:r>
        <w:t xml:space="preserve"> </w:t>
      </w:r>
      <w:r>
        <w:t xml:space="preserve">36 in wide × 24 in tall (landscape)</w:t>
      </w:r>
      <w:r>
        <w:t xml:space="preserve"> </w:t>
      </w:r>
      <w:r>
        <w:rPr>
          <w:bCs/>
          <w:b/>
        </w:rPr>
        <w:t xml:space="preserve">Audience:</w:t>
      </w:r>
      <w:r>
        <w:t xml:space="preserve"> </w:t>
      </w:r>
      <w:r>
        <w:t xml:space="preserve">Mixed — general public, agency staff, potential research partners</w:t>
      </w:r>
      <w:r>
        <w:t xml:space="preserve"> </w:t>
      </w:r>
      <w:r>
        <w:rPr>
          <w:bCs/>
          <w:b/>
        </w:rPr>
        <w:t xml:space="preserve">Emphasis:</w:t>
      </w:r>
      <w:r>
        <w:t xml:space="preserve"> </w:t>
      </w:r>
      <w:r>
        <w:t xml:space="preserve">Scope of problem → mechanism → ecological consequences → what’s at stake → gaps, implications, partnerships</w:t>
      </w:r>
    </w:p>
    <w:p>
      <w:r>
        <w:pict>
          <v:rect style="width:0;height:1.5pt" o:hralign="center" o:hrstd="t" o:hr="t"/>
        </w:pict>
      </w:r>
    </w:p>
    <w:bookmarkStart w:id="23" w:name="design-specification"/>
    <w:p>
      <w:pPr>
        <w:pStyle w:val="Heading2"/>
      </w:pPr>
      <w:r>
        <w:t xml:space="preserve">1. Design specification</w:t>
      </w:r>
    </w:p>
    <w:bookmarkStart w:id="20" w:name="canvas-and-grid"/>
    <w:p>
      <w:pPr>
        <w:pStyle w:val="Heading3"/>
      </w:pPr>
      <w:r>
        <w:t xml:space="preserve">Canvas and grid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w:t>
            </w:r>
          </w:p>
        </w:tc>
      </w:tr>
      <w:tr>
        <w:tc>
          <w:tcPr/>
          <w:p>
            <w:pPr>
              <w:pStyle w:val="Compact"/>
              <w:jc w:val="left"/>
            </w:pPr>
            <w:r>
              <w:t xml:space="preserve">Canvas</w:t>
            </w:r>
          </w:p>
        </w:tc>
        <w:tc>
          <w:tcPr/>
          <w:p>
            <w:pPr>
              <w:pStyle w:val="Compact"/>
              <w:jc w:val="left"/>
            </w:pPr>
            <w:r>
              <w:t xml:space="preserve">36 in × 24 in, landscape</w:t>
            </w:r>
          </w:p>
        </w:tc>
      </w:tr>
      <w:tr>
        <w:tc>
          <w:tcPr/>
          <w:p>
            <w:pPr>
              <w:pStyle w:val="Compact"/>
              <w:jc w:val="left"/>
            </w:pPr>
            <w:r>
              <w:t xml:space="preserve">Outer margin</w:t>
            </w:r>
          </w:p>
        </w:tc>
        <w:tc>
          <w:tcPr/>
          <w:p>
            <w:pPr>
              <w:pStyle w:val="Compact"/>
              <w:jc w:val="left"/>
            </w:pPr>
            <w:r>
              <w:t xml:space="preserve">0.30 in</w:t>
            </w:r>
          </w:p>
        </w:tc>
      </w:tr>
      <w:tr>
        <w:tc>
          <w:tcPr/>
          <w:p>
            <w:pPr>
              <w:pStyle w:val="Compact"/>
              <w:jc w:val="left"/>
            </w:pPr>
            <w:r>
              <w:t xml:space="preserve">Gutter between blocks</w:t>
            </w:r>
          </w:p>
        </w:tc>
        <w:tc>
          <w:tcPr/>
          <w:p>
            <w:pPr>
              <w:pStyle w:val="Compact"/>
              <w:jc w:val="left"/>
            </w:pPr>
            <w:r>
              <w:t xml:space="preserve">0.20 in</w:t>
            </w:r>
          </w:p>
        </w:tc>
      </w:tr>
      <w:tr>
        <w:tc>
          <w:tcPr/>
          <w:p>
            <w:pPr>
              <w:pStyle w:val="Compact"/>
              <w:jc w:val="left"/>
            </w:pPr>
            <w:r>
              <w:t xml:space="preserve">Header band</w:t>
            </w:r>
          </w:p>
        </w:tc>
        <w:tc>
          <w:tcPr/>
          <w:p>
            <w:pPr>
              <w:pStyle w:val="Compact"/>
              <w:jc w:val="left"/>
            </w:pPr>
            <w:r>
              <w:t xml:space="preserve">Full width, ~3.2 in tall</w:t>
            </w:r>
          </w:p>
        </w:tc>
      </w:tr>
      <w:tr>
        <w:tc>
          <w:tcPr/>
          <w:p>
            <w:pPr>
              <w:pStyle w:val="Compact"/>
              <w:jc w:val="left"/>
            </w:pPr>
            <w:r>
              <w:t xml:space="preserve">Body</w:t>
            </w:r>
          </w:p>
        </w:tc>
        <w:tc>
          <w:tcPr/>
          <w:p>
            <w:pPr>
              <w:pStyle w:val="Compact"/>
              <w:jc w:val="left"/>
            </w:pPr>
            <w:r>
              <w:t xml:space="preserve">4 equal columns, ~8.5 in wide each, ~13 in tall</w:t>
            </w:r>
          </w:p>
        </w:tc>
      </w:tr>
      <w:tr>
        <w:tc>
          <w:tcPr/>
          <w:p>
            <w:pPr>
              <w:pStyle w:val="Compact"/>
              <w:jc w:val="left"/>
            </w:pPr>
            <w:r>
              <w:t xml:space="preserve">Gaps/implications band</w:t>
            </w:r>
          </w:p>
        </w:tc>
        <w:tc>
          <w:tcPr/>
          <w:p>
            <w:pPr>
              <w:pStyle w:val="Compact"/>
              <w:jc w:val="left"/>
            </w:pPr>
            <w:r>
              <w:t xml:space="preserve">Full width, ~4.3 in tall, 3 sub-columns (1.55 : 1 : 1)</w:t>
            </w:r>
          </w:p>
        </w:tc>
      </w:tr>
      <w:tr>
        <w:tc>
          <w:tcPr/>
          <w:p>
            <w:pPr>
              <w:pStyle w:val="Compact"/>
              <w:jc w:val="left"/>
            </w:pPr>
            <w:r>
              <w:t xml:space="preserve">Footer</w:t>
            </w:r>
          </w:p>
        </w:tc>
        <w:tc>
          <w:tcPr/>
          <w:p>
            <w:pPr>
              <w:pStyle w:val="Compact"/>
              <w:jc w:val="left"/>
            </w:pPr>
            <w:r>
              <w:t xml:space="preserve">Full width, ~2 in tall, 2 sub-columns (2.6 : 1)</w:t>
            </w:r>
          </w:p>
        </w:tc>
      </w:tr>
    </w:tbl>
    <w:bookmarkEnd w:id="20"/>
    <w:bookmarkStart w:id="21" w:name="color-palette"/>
    <w:p>
      <w:pPr>
        <w:pStyle w:val="Heading3"/>
      </w:pPr>
      <w:r>
        <w:t xml:space="preserve">Color palette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Hex</w:t>
            </w:r>
          </w:p>
        </w:tc>
        <w:tc>
          <w:tcPr/>
          <w:p>
            <w:pPr>
              <w:pStyle w:val="Compact"/>
              <w:jc w:val="left"/>
            </w:pPr>
            <w:r>
              <w:t xml:space="preserve">Use</w:t>
            </w:r>
          </w:p>
        </w:tc>
      </w:tr>
      <w:tr>
        <w:tc>
          <w:tcPr/>
          <w:p>
            <w:pPr>
              <w:pStyle w:val="Compact"/>
              <w:jc w:val="left"/>
            </w:pPr>
            <w:r>
              <w:t xml:space="preserve">Deep bay blue</w:t>
            </w:r>
          </w:p>
        </w:tc>
        <w:tc>
          <w:tcPr/>
          <w:p>
            <w:pPr>
              <w:pStyle w:val="Compact"/>
              <w:jc w:val="left"/>
            </w:pPr>
            <w:r>
              <w:rPr>
                <w:rStyle w:val="VerbatimChar"/>
              </w:rPr>
              <w:t xml:space="preserve">#0b3c5d</w:t>
            </w:r>
          </w:p>
        </w:tc>
        <w:tc>
          <w:tcPr/>
          <w:p>
            <w:pPr>
              <w:pStyle w:val="Compact"/>
              <w:jc w:val="left"/>
            </w:pPr>
            <w:r>
              <w:t xml:space="preserve">Headings, header gradient start, callout background</w:t>
            </w:r>
          </w:p>
        </w:tc>
      </w:tr>
      <w:tr>
        <w:tc>
          <w:tcPr/>
          <w:p>
            <w:pPr>
              <w:pStyle w:val="Compact"/>
              <w:jc w:val="left"/>
            </w:pPr>
            <w:r>
              <w:t xml:space="preserve">Mid water</w:t>
            </w:r>
          </w:p>
        </w:tc>
        <w:tc>
          <w:tcPr/>
          <w:p>
            <w:pPr>
              <w:pStyle w:val="Compact"/>
              <w:jc w:val="left"/>
            </w:pPr>
            <w:r>
              <w:rPr>
                <w:rStyle w:val="VerbatimChar"/>
              </w:rPr>
              <w:t xml:space="preserve">#1d6a8c</w:t>
            </w:r>
          </w:p>
        </w:tc>
        <w:tc>
          <w:tcPr/>
          <w:p>
            <w:pPr>
              <w:pStyle w:val="Compact"/>
              <w:jc w:val="left"/>
            </w:pPr>
            <w:r>
              <w:t xml:space="preserve">Subheadings, column 2 accent</w:t>
            </w:r>
          </w:p>
        </w:tc>
      </w:tr>
      <w:tr>
        <w:tc>
          <w:tcPr/>
          <w:p>
            <w:pPr>
              <w:pStyle w:val="Compact"/>
              <w:jc w:val="left"/>
            </w:pPr>
            <w:r>
              <w:t xml:space="preserve">Seagrass teal</w:t>
            </w:r>
          </w:p>
        </w:tc>
        <w:tc>
          <w:tcPr/>
          <w:p>
            <w:pPr>
              <w:pStyle w:val="Compact"/>
              <w:jc w:val="left"/>
            </w:pPr>
            <w:r>
              <w:rPr>
                <w:rStyle w:val="VerbatimChar"/>
              </w:rPr>
              <w:t xml:space="preserve">#2e8b83</w:t>
            </w:r>
          </w:p>
        </w:tc>
        <w:tc>
          <w:tcPr/>
          <w:p>
            <w:pPr>
              <w:pStyle w:val="Compact"/>
              <w:jc w:val="left"/>
            </w:pPr>
            <w:r>
              <w:t xml:space="preserve">Column 3 accent, table headers, ecological stats</w:t>
            </w:r>
          </w:p>
        </w:tc>
      </w:tr>
      <w:tr>
        <w:tc>
          <w:tcPr/>
          <w:p>
            <w:pPr>
              <w:pStyle w:val="Compact"/>
              <w:jc w:val="left"/>
            </w:pPr>
            <w:r>
              <w:t xml:space="preserve">Marsh green</w:t>
            </w:r>
          </w:p>
        </w:tc>
        <w:tc>
          <w:tcPr/>
          <w:p>
            <w:pPr>
              <w:pStyle w:val="Compact"/>
              <w:jc w:val="left"/>
            </w:pPr>
            <w:r>
              <w:rPr>
                <w:rStyle w:val="VerbatimChar"/>
              </w:rPr>
              <w:t xml:space="preserve">#4a7c4e</w:t>
            </w:r>
          </w:p>
        </w:tc>
        <w:tc>
          <w:tcPr/>
          <w:p>
            <w:pPr>
              <w:pStyle w:val="Compact"/>
              <w:jc w:val="left"/>
            </w:pPr>
            <w:r>
              <w:t xml:space="preserve">Column 4 accent, economic stats</w:t>
            </w:r>
          </w:p>
        </w:tc>
      </w:tr>
      <w:tr>
        <w:tc>
          <w:tcPr/>
          <w:p>
            <w:pPr>
              <w:pStyle w:val="Compact"/>
              <w:jc w:val="left"/>
            </w:pPr>
            <w:r>
              <w:t xml:space="preserve">Rust</w:t>
            </w:r>
          </w:p>
        </w:tc>
        <w:tc>
          <w:tcPr/>
          <w:p>
            <w:pPr>
              <w:pStyle w:val="Compact"/>
              <w:jc w:val="left"/>
            </w:pPr>
            <w:r>
              <w:rPr>
                <w:rStyle w:val="VerbatimChar"/>
              </w:rPr>
              <w:t xml:space="preserve">#a8452a</w:t>
            </w:r>
          </w:p>
        </w:tc>
        <w:tc>
          <w:tcPr/>
          <w:p>
            <w:pPr>
              <w:pStyle w:val="Compact"/>
              <w:jc w:val="left"/>
            </w:pPr>
            <w:r>
              <w:t xml:space="preserve">Risk/alert stats, column 1 accent,</w:t>
            </w:r>
            <w:r>
              <w:t xml:space="preserve"> </w:t>
            </w:r>
            <w:r>
              <w:t xml:space="preserve">“</w:t>
            </w:r>
            <w:r>
              <w:t xml:space="preserve">3 ft</w:t>
            </w:r>
            <w:r>
              <w:t xml:space="preserve">”</w:t>
            </w:r>
            <w:r>
              <w:t xml:space="preserve"> </w:t>
            </w:r>
            <w:r>
              <w:t xml:space="preserve">annotation</w:t>
            </w:r>
          </w:p>
        </w:tc>
      </w:tr>
      <w:tr>
        <w:tc>
          <w:tcPr/>
          <w:p>
            <w:pPr>
              <w:pStyle w:val="Compact"/>
              <w:jc w:val="left"/>
            </w:pPr>
            <w:r>
              <w:t xml:space="preserve">Amber</w:t>
            </w:r>
          </w:p>
        </w:tc>
        <w:tc>
          <w:tcPr/>
          <w:p>
            <w:pPr>
              <w:pStyle w:val="Compact"/>
              <w:jc w:val="left"/>
            </w:pPr>
            <w:r>
              <w:rPr>
                <w:rStyle w:val="VerbatimChar"/>
              </w:rPr>
              <w:t xml:space="preserve">#c88a2e</w:t>
            </w:r>
          </w:p>
        </w:tc>
        <w:tc>
          <w:tcPr/>
          <w:p>
            <w:pPr>
              <w:pStyle w:val="Compact"/>
              <w:jc w:val="left"/>
            </w:pPr>
            <w:r>
              <w:t xml:space="preserve">Data-gaps band accent, key-finding boxes</w:t>
            </w:r>
          </w:p>
        </w:tc>
      </w:tr>
      <w:tr>
        <w:tc>
          <w:tcPr/>
          <w:p>
            <w:pPr>
              <w:pStyle w:val="Compact"/>
              <w:jc w:val="left"/>
            </w:pPr>
            <w:r>
              <w:t xml:space="preserve">Sand</w:t>
            </w:r>
          </w:p>
        </w:tc>
        <w:tc>
          <w:tcPr/>
          <w:p>
            <w:pPr>
              <w:pStyle w:val="Compact"/>
              <w:jc w:val="left"/>
            </w:pPr>
            <w:r>
              <w:rPr>
                <w:rStyle w:val="VerbatimChar"/>
              </w:rPr>
              <w:t xml:space="preserve">#f4efe4</w:t>
            </w:r>
          </w:p>
        </w:tc>
        <w:tc>
          <w:tcPr/>
          <w:p>
            <w:pPr>
              <w:pStyle w:val="Compact"/>
              <w:jc w:val="left"/>
            </w:pPr>
            <w:r>
              <w:t xml:space="preserve">Poster background, stat block fill</w:t>
            </w:r>
          </w:p>
        </w:tc>
      </w:tr>
      <w:tr>
        <w:tc>
          <w:tcPr/>
          <w:p>
            <w:pPr>
              <w:pStyle w:val="Compact"/>
              <w:jc w:val="left"/>
            </w:pPr>
            <w:r>
              <w:t xml:space="preserve">Sand accent</w:t>
            </w:r>
          </w:p>
        </w:tc>
        <w:tc>
          <w:tcPr/>
          <w:p>
            <w:pPr>
              <w:pStyle w:val="Compact"/>
              <w:jc w:val="left"/>
            </w:pPr>
            <w:r>
              <w:rPr>
                <w:rStyle w:val="VerbatimChar"/>
              </w:rPr>
              <w:t xml:space="preserve">#e3d9c4</w:t>
            </w:r>
          </w:p>
        </w:tc>
        <w:tc>
          <w:tcPr/>
          <w:p>
            <w:pPr>
              <w:pStyle w:val="Compact"/>
              <w:jc w:val="left"/>
            </w:pPr>
            <w:r>
              <w:t xml:space="preserve">Rules, tags</w:t>
            </w:r>
          </w:p>
        </w:tc>
      </w:tr>
      <w:tr>
        <w:tc>
          <w:tcPr/>
          <w:p>
            <w:pPr>
              <w:pStyle w:val="Compact"/>
              <w:jc w:val="left"/>
            </w:pPr>
            <w:r>
              <w:t xml:space="preserve">Ink</w:t>
            </w:r>
          </w:p>
        </w:tc>
        <w:tc>
          <w:tcPr/>
          <w:p>
            <w:pPr>
              <w:pStyle w:val="Compact"/>
              <w:jc w:val="left"/>
            </w:pPr>
            <w:r>
              <w:rPr>
                <w:rStyle w:val="VerbatimChar"/>
              </w:rPr>
              <w:t xml:space="preserve">#17242e</w:t>
            </w:r>
          </w:p>
        </w:tc>
        <w:tc>
          <w:tcPr/>
          <w:p>
            <w:pPr>
              <w:pStyle w:val="Compact"/>
              <w:jc w:val="left"/>
            </w:pPr>
            <w:r>
              <w:t xml:space="preserve">Body text</w:t>
            </w:r>
          </w:p>
        </w:tc>
      </w:tr>
    </w:tbl>
    <w:bookmarkEnd w:id="21"/>
    <w:bookmarkStart w:id="22" w:name="typography"/>
    <w:p>
      <w:pPr>
        <w:pStyle w:val="Heading3"/>
      </w:pPr>
      <w:r>
        <w:t xml:space="preserve">Typography</w:t>
      </w:r>
    </w:p>
    <w:p>
      <w:pPr>
        <w:pStyle w:val="FirstParagraph"/>
      </w:pPr>
      <w:r>
        <w:t xml:space="preserve">Sans-serif throughout (Source Sans Pro, Segoe UI, Calibri, or Arial).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Size</w:t>
            </w:r>
          </w:p>
        </w:tc>
        <w:tc>
          <w:tcPr/>
          <w:p>
            <w:pPr>
              <w:pStyle w:val="Compact"/>
              <w:jc w:val="left"/>
            </w:pPr>
            <w:r>
              <w:t xml:space="preserve">Weight</w:t>
            </w:r>
          </w:p>
        </w:tc>
      </w:tr>
      <w:tr>
        <w:tc>
          <w:tcPr/>
          <w:p>
            <w:pPr>
              <w:pStyle w:val="Compact"/>
              <w:jc w:val="left"/>
            </w:pPr>
            <w:r>
              <w:t xml:space="preserve">Title</w:t>
            </w:r>
          </w:p>
        </w:tc>
        <w:tc>
          <w:tcPr/>
          <w:p>
            <w:pPr>
              <w:pStyle w:val="Compact"/>
              <w:jc w:val="left"/>
            </w:pPr>
            <w:r>
              <w:t xml:space="preserve">62 pt</w:t>
            </w:r>
          </w:p>
        </w:tc>
        <w:tc>
          <w:tcPr/>
          <w:p>
            <w:pPr>
              <w:pStyle w:val="Compact"/>
              <w:jc w:val="left"/>
            </w:pPr>
            <w:r>
              <w:t xml:space="preserve">Bold</w:t>
            </w:r>
          </w:p>
        </w:tc>
      </w:tr>
      <w:tr>
        <w:tc>
          <w:tcPr/>
          <w:p>
            <w:pPr>
              <w:pStyle w:val="Compact"/>
              <w:jc w:val="left"/>
            </w:pPr>
            <w:r>
              <w:t xml:space="preserve">Subtitle</w:t>
            </w:r>
          </w:p>
        </w:tc>
        <w:tc>
          <w:tcPr/>
          <w:p>
            <w:pPr>
              <w:pStyle w:val="Compact"/>
              <w:jc w:val="left"/>
            </w:pPr>
            <w:r>
              <w:t xml:space="preserve">27 pt</w:t>
            </w:r>
          </w:p>
        </w:tc>
        <w:tc>
          <w:tcPr/>
          <w:p>
            <w:pPr>
              <w:pStyle w:val="Compact"/>
              <w:jc w:val="left"/>
            </w:pPr>
            <w:r>
              <w:t xml:space="preserve">Regular</w:t>
            </w:r>
          </w:p>
        </w:tc>
      </w:tr>
      <w:tr>
        <w:tc>
          <w:tcPr/>
          <w:p>
            <w:pPr>
              <w:pStyle w:val="Compact"/>
              <w:jc w:val="left"/>
            </w:pPr>
            <w:r>
              <w:t xml:space="preserve">Authors</w:t>
            </w:r>
          </w:p>
        </w:tc>
        <w:tc>
          <w:tcPr/>
          <w:p>
            <w:pPr>
              <w:pStyle w:val="Compact"/>
              <w:jc w:val="left"/>
            </w:pPr>
            <w:r>
              <w:t xml:space="preserve">20 pt</w:t>
            </w:r>
          </w:p>
        </w:tc>
        <w:tc>
          <w:tcPr/>
          <w:p>
            <w:pPr>
              <w:pStyle w:val="Compact"/>
              <w:jc w:val="left"/>
            </w:pPr>
            <w:r>
              <w:t xml:space="preserve">Mixed</w:t>
            </w:r>
          </w:p>
        </w:tc>
      </w:tr>
      <w:tr>
        <w:tc>
          <w:tcPr/>
          <w:p>
            <w:pPr>
              <w:pStyle w:val="Compact"/>
              <w:jc w:val="left"/>
            </w:pPr>
            <w:r>
              <w:t xml:space="preserve">Affiliations</w:t>
            </w:r>
          </w:p>
        </w:tc>
        <w:tc>
          <w:tcPr/>
          <w:p>
            <w:pPr>
              <w:pStyle w:val="Compact"/>
              <w:jc w:val="left"/>
            </w:pPr>
            <w:r>
              <w:t xml:space="preserve">15 pt</w:t>
            </w:r>
          </w:p>
        </w:tc>
        <w:tc>
          <w:tcPr/>
          <w:p>
            <w:pPr>
              <w:pStyle w:val="Compact"/>
              <w:jc w:val="left"/>
            </w:pPr>
            <w:r>
              <w:t xml:space="preserve">Regular</w:t>
            </w:r>
          </w:p>
        </w:tc>
      </w:tr>
      <w:tr>
        <w:tc>
          <w:tcPr/>
          <w:p>
            <w:pPr>
              <w:pStyle w:val="Compact"/>
              <w:jc w:val="left"/>
            </w:pPr>
            <w:r>
              <w:t xml:space="preserve">Section headings (H2)</w:t>
            </w:r>
          </w:p>
        </w:tc>
        <w:tc>
          <w:tcPr/>
          <w:p>
            <w:pPr>
              <w:pStyle w:val="Compact"/>
              <w:jc w:val="left"/>
            </w:pPr>
            <w:r>
              <w:t xml:space="preserve">25 pt</w:t>
            </w:r>
          </w:p>
        </w:tc>
        <w:tc>
          <w:tcPr/>
          <w:p>
            <w:pPr>
              <w:pStyle w:val="Compact"/>
              <w:jc w:val="left"/>
            </w:pPr>
            <w:r>
              <w:t xml:space="preserve">Bold, deep blue</w:t>
            </w:r>
          </w:p>
        </w:tc>
      </w:tr>
      <w:tr>
        <w:tc>
          <w:tcPr/>
          <w:p>
            <w:pPr>
              <w:pStyle w:val="Compact"/>
              <w:jc w:val="left"/>
            </w:pPr>
            <w:r>
              <w:t xml:space="preserve">Subheadings (H3)</w:t>
            </w:r>
          </w:p>
        </w:tc>
        <w:tc>
          <w:tcPr/>
          <w:p>
            <w:pPr>
              <w:pStyle w:val="Compact"/>
              <w:jc w:val="left"/>
            </w:pPr>
            <w:r>
              <w:t xml:space="preserve">16.5 pt</w:t>
            </w:r>
          </w:p>
        </w:tc>
        <w:tc>
          <w:tcPr/>
          <w:p>
            <w:pPr>
              <w:pStyle w:val="Compact"/>
              <w:jc w:val="left"/>
            </w:pPr>
            <w:r>
              <w:t xml:space="preserve">Bold, mid blue</w:t>
            </w:r>
          </w:p>
        </w:tc>
      </w:tr>
      <w:tr>
        <w:tc>
          <w:tcPr/>
          <w:p>
            <w:pPr>
              <w:pStyle w:val="Compact"/>
              <w:jc w:val="left"/>
            </w:pPr>
            <w:r>
              <w:t xml:space="preserve">Body text</w:t>
            </w:r>
          </w:p>
        </w:tc>
        <w:tc>
          <w:tcPr/>
          <w:p>
            <w:pPr>
              <w:pStyle w:val="Compact"/>
              <w:jc w:val="left"/>
            </w:pPr>
            <w:r>
              <w:t xml:space="preserve">14.5 pt</w:t>
            </w:r>
          </w:p>
        </w:tc>
        <w:tc>
          <w:tcPr/>
          <w:p>
            <w:pPr>
              <w:pStyle w:val="Compact"/>
              <w:jc w:val="left"/>
            </w:pPr>
            <w:r>
              <w:t xml:space="preserve">Regular</w:t>
            </w:r>
          </w:p>
        </w:tc>
      </w:tr>
      <w:tr>
        <w:tc>
          <w:tcPr/>
          <w:p>
            <w:pPr>
              <w:pStyle w:val="Compact"/>
              <w:jc w:val="left"/>
            </w:pPr>
            <w:r>
              <w:t xml:space="preserve">Big stat numbers</w:t>
            </w:r>
          </w:p>
        </w:tc>
        <w:tc>
          <w:tcPr/>
          <w:p>
            <w:pPr>
              <w:pStyle w:val="Compact"/>
              <w:jc w:val="left"/>
            </w:pPr>
            <w:r>
              <w:t xml:space="preserve">30–40 pt</w:t>
            </w:r>
          </w:p>
        </w:tc>
        <w:tc>
          <w:tcPr/>
          <w:p>
            <w:pPr>
              <w:pStyle w:val="Compact"/>
              <w:jc w:val="left"/>
            </w:pPr>
            <w:r>
              <w:t xml:space="preserve">Bold, colored</w:t>
            </w:r>
          </w:p>
        </w:tc>
      </w:tr>
      <w:tr>
        <w:tc>
          <w:tcPr/>
          <w:p>
            <w:pPr>
              <w:pStyle w:val="Compact"/>
              <w:jc w:val="left"/>
            </w:pPr>
            <w:r>
              <w:t xml:space="preserve">Stat labels</w:t>
            </w:r>
          </w:p>
        </w:tc>
        <w:tc>
          <w:tcPr/>
          <w:p>
            <w:pPr>
              <w:pStyle w:val="Compact"/>
              <w:jc w:val="left"/>
            </w:pPr>
            <w:r>
              <w:t xml:space="preserve">13.5 pt</w:t>
            </w:r>
          </w:p>
        </w:tc>
        <w:tc>
          <w:tcPr/>
          <w:p>
            <w:pPr>
              <w:pStyle w:val="Compact"/>
              <w:jc w:val="left"/>
            </w:pPr>
            <w:r>
              <w:t xml:space="preserve">Regular</w:t>
            </w:r>
          </w:p>
        </w:tc>
      </w:tr>
      <w:tr>
        <w:tc>
          <w:tcPr/>
          <w:p>
            <w:pPr>
              <w:pStyle w:val="Compact"/>
              <w:jc w:val="left"/>
            </w:pPr>
            <w:r>
              <w:t xml:space="preserve">Table body</w:t>
            </w:r>
          </w:p>
        </w:tc>
        <w:tc>
          <w:tcPr/>
          <w:p>
            <w:pPr>
              <w:pStyle w:val="Compact"/>
              <w:jc w:val="left"/>
            </w:pPr>
            <w:r>
              <w:t xml:space="preserve">12.5 pt</w:t>
            </w:r>
          </w:p>
        </w:tc>
        <w:tc>
          <w:tcPr/>
          <w:p>
            <w:pPr>
              <w:pStyle w:val="Compact"/>
              <w:jc w:val="left"/>
            </w:pPr>
            <w:r>
              <w:t xml:space="preserve">Regular</w:t>
            </w:r>
          </w:p>
        </w:tc>
      </w:tr>
      <w:tr>
        <w:tc>
          <w:tcPr/>
          <w:p>
            <w:pPr>
              <w:pStyle w:val="Compact"/>
              <w:jc w:val="left"/>
            </w:pPr>
            <w:r>
              <w:t xml:space="preserve">Captions</w:t>
            </w:r>
          </w:p>
        </w:tc>
        <w:tc>
          <w:tcPr/>
          <w:p>
            <w:pPr>
              <w:pStyle w:val="Compact"/>
              <w:jc w:val="left"/>
            </w:pPr>
            <w:r>
              <w:t xml:space="preserve">11.5 pt</w:t>
            </w:r>
          </w:p>
        </w:tc>
        <w:tc>
          <w:tcPr/>
          <w:p>
            <w:pPr>
              <w:pStyle w:val="Compact"/>
              <w:jc w:val="left"/>
            </w:pPr>
            <w:r>
              <w:t xml:space="preserve">Italic, gray</w:t>
            </w:r>
          </w:p>
        </w:tc>
      </w:tr>
      <w:tr>
        <w:tc>
          <w:tcPr/>
          <w:p>
            <w:pPr>
              <w:pStyle w:val="Compact"/>
              <w:jc w:val="left"/>
            </w:pPr>
            <w:r>
              <w:t xml:space="preserve">References</w:t>
            </w:r>
          </w:p>
        </w:tc>
        <w:tc>
          <w:tcPr/>
          <w:p>
            <w:pPr>
              <w:pStyle w:val="Compact"/>
              <w:jc w:val="left"/>
            </w:pPr>
            <w:r>
              <w:t xml:space="preserve">10.5 pt</w:t>
            </w:r>
          </w:p>
        </w:tc>
        <w:tc>
          <w:tcPr/>
          <w:p>
            <w:pPr>
              <w:pStyle w:val="Compact"/>
              <w:jc w:val="left"/>
            </w:pPr>
            <w:r>
              <w:t xml:space="preserve">Regular</w:t>
            </w:r>
          </w:p>
        </w:tc>
      </w:tr>
    </w:tbl>
    <w:p>
      <w:pPr>
        <w:pStyle w:val="BlockText"/>
      </w:pPr>
      <w:r>
        <w:rPr>
          <w:bCs/>
          <w:b/>
        </w:rPr>
        <w:t xml:space="preserve">Legibility check:</w:t>
      </w:r>
      <w:r>
        <w:t xml:space="preserve"> </w:t>
      </w:r>
      <w:r>
        <w:t xml:space="preserve">body text at 14.5 pt on a 36 in poster is readable at roughly 4–5 ft. Do not go below 14 pt for body copy or 10 pt for references.</w:t>
      </w:r>
    </w:p>
    <w:p>
      <w:r>
        <w:pict>
          <v:rect style="width:0;height:1.5pt" o:hralign="center" o:hrstd="t" o:hr="t"/>
        </w:pict>
      </w:r>
    </w:p>
    <w:bookmarkEnd w:id="22"/>
    <w:bookmarkEnd w:id="23"/>
    <w:bookmarkStart w:id="25" w:name="header"/>
    <w:p>
      <w:pPr>
        <w:pStyle w:val="Heading2"/>
      </w:pPr>
      <w:r>
        <w:t xml:space="preserve">2. Header</w:t>
      </w:r>
    </w:p>
    <w:p>
      <w:pPr>
        <w:pStyle w:val="FirstParagraph"/>
      </w:pPr>
      <w:r>
        <w:rPr>
          <w:bCs/>
          <w:b/>
        </w:rPr>
        <w:t xml:space="preserve">Title:</w:t>
      </w:r>
      <w:r>
        <w:t xml:space="preserve"> </w:t>
      </w:r>
      <w:r>
        <w:t xml:space="preserve">&gt; When the Water Table Comes Up to Meet the Drainfield</w:t>
      </w:r>
    </w:p>
    <w:p>
      <w:pPr>
        <w:pStyle w:val="BodyText"/>
      </w:pPr>
      <w:r>
        <w:rPr>
          <w:bCs/>
          <w:b/>
        </w:rPr>
        <w:t xml:space="preserve">Subtitle:</w:t>
      </w:r>
      <w:r>
        <w:t xml:space="preserve"> </w:t>
      </w:r>
      <w:r>
        <w:t xml:space="preserve">&gt; Ecological consequences of failing septic systems on Virginia’s Eastern Shore</w:t>
      </w:r>
    </w:p>
    <w:p>
      <w:pPr>
        <w:pStyle w:val="BodyText"/>
      </w:pPr>
      <w:r>
        <w:rPr>
          <w:bCs/>
          <w:b/>
        </w:rPr>
        <w:t xml:space="preserve">Authors:</w:t>
      </w:r>
      <w:r>
        <w:t xml:space="preserve"> </w:t>
      </w:r>
      <w:r>
        <w:t xml:space="preserve">&gt;</w:t>
      </w:r>
      <w:r>
        <w:t xml:space="preserve"> </w:t>
      </w:r>
      <w:r>
        <w:rPr>
          <w:bCs/>
          <w:b/>
        </w:rPr>
        <w:t xml:space="preserve">[Student Name]</w:t>
      </w:r>
      <w:r>
        <w:t xml:space="preserve">¹ · W. Alex Foxworthy, Ph.D.¹</w:t>
      </w:r>
    </w:p>
    <w:p>
      <w:pPr>
        <w:pStyle w:val="BodyText"/>
      </w:pPr>
      <w:r>
        <w:rPr>
          <w:bCs/>
          <w:b/>
        </w:rPr>
        <w:t xml:space="preserve">Affiliation:</w:t>
      </w:r>
      <w:r>
        <w:t xml:space="preserve"> </w:t>
      </w:r>
      <w:r>
        <w:t xml:space="preserve">&gt; ¹Eastern Shore Community College, Melfa, VA | In partnership with the UVA Environmental Institute Climate Collaborative</w:t>
      </w:r>
      <w:r>
        <w:t xml:space="preserve"> </w:t>
      </w:r>
      <w:r>
        <w:t xml:space="preserve">“</w:t>
      </w:r>
      <w:r>
        <w:t xml:space="preserve">Co-Producing Equitable Solutions to Septic System Failures</w:t>
      </w:r>
      <w:r>
        <w:t xml:space="preserve">”</w:t>
      </w:r>
      <w:r>
        <w:t xml:space="preserve"> </w:t>
      </w:r>
      <w:r>
        <w:t xml:space="preserve">(2026–2028)</w:t>
      </w:r>
    </w:p>
    <w:p>
      <w:pPr>
        <w:pStyle w:val="BodyText"/>
      </w:pPr>
      <w:r>
        <w:rPr>
          <w:bCs/>
          <w:b/>
        </w:rPr>
        <w:t xml:space="preserve">Right block:</w:t>
      </w:r>
      <w:r>
        <w:t xml:space="preserve"> </w:t>
      </w:r>
      <w:r>
        <w:t xml:space="preserve">ESVA Summer Symposium 2026 + logo placeholders (ESCC, UVA EI, partners)</w:t>
      </w:r>
    </w:p>
    <w:bookmarkStart w:id="24" w:name="Xf02a5288e2dae16daa785a564ef982390bd3db9"/>
    <w:p>
      <w:pPr>
        <w:pStyle w:val="Heading3"/>
      </w:pPr>
      <w:r>
        <w:t xml:space="preserve">Alternate titles if you want a different tone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Style</w:t>
            </w:r>
          </w:p>
        </w:tc>
        <w:tc>
          <w:tcPr/>
          <w:p>
            <w:pPr>
              <w:pStyle w:val="Compact"/>
              <w:jc w:val="left"/>
            </w:pPr>
            <w:r>
              <w:t xml:space="preserve">Title</w:t>
            </w:r>
          </w:p>
        </w:tc>
      </w:tr>
      <w:tr>
        <w:tc>
          <w:tcPr/>
          <w:p>
            <w:pPr>
              <w:pStyle w:val="Compact"/>
              <w:jc w:val="left"/>
            </w:pPr>
            <w:r>
              <w:t xml:space="preserve">Plainer</w:t>
            </w:r>
          </w:p>
        </w:tc>
        <w:tc>
          <w:tcPr/>
          <w:p>
            <w:pPr>
              <w:pStyle w:val="Compact"/>
              <w:jc w:val="left"/>
            </w:pPr>
            <w:r>
              <w:t xml:space="preserve">The Shore’s Septic Systems Are Failing — Here’s Where It Goes</w:t>
            </w:r>
          </w:p>
        </w:tc>
      </w:tr>
      <w:tr>
        <w:tc>
          <w:tcPr/>
          <w:p>
            <w:pPr>
              <w:pStyle w:val="Compact"/>
              <w:jc w:val="left"/>
            </w:pPr>
            <w:r>
              <w:t xml:space="preserve">Asset-forward</w:t>
            </w:r>
          </w:p>
        </w:tc>
        <w:tc>
          <w:tcPr/>
          <w:p>
            <w:pPr>
              <w:pStyle w:val="Compact"/>
              <w:jc w:val="left"/>
            </w:pPr>
            <w:r>
              <w:t xml:space="preserve">18,000 Septic Systems Upstream of the World’s Largest Seagrass Restoration</w:t>
            </w:r>
          </w:p>
        </w:tc>
      </w:tr>
      <w:tr>
        <w:tc>
          <w:tcPr/>
          <w:p>
            <w:pPr>
              <w:pStyle w:val="Compact"/>
              <w:jc w:val="left"/>
            </w:pPr>
            <w:r>
              <w:t xml:space="preserve">Question</w:t>
            </w:r>
          </w:p>
        </w:tc>
        <w:tc>
          <w:tcPr/>
          <w:p>
            <w:pPr>
              <w:pStyle w:val="Compact"/>
              <w:jc w:val="left"/>
            </w:pPr>
            <w:r>
              <w:t xml:space="preserve">What Happens Underground on the Eastern Shore?</w:t>
            </w:r>
          </w:p>
        </w:tc>
      </w:tr>
      <w:tr>
        <w:tc>
          <w:tcPr/>
          <w:p>
            <w:pPr>
              <w:pStyle w:val="Compact"/>
              <w:jc w:val="left"/>
            </w:pPr>
            <w:r>
              <w:t xml:space="preserve">Current (recommended)</w:t>
            </w:r>
          </w:p>
        </w:tc>
        <w:tc>
          <w:tcPr/>
          <w:p>
            <w:pPr>
              <w:pStyle w:val="Compact"/>
              <w:jc w:val="left"/>
            </w:pPr>
            <w:r>
              <w:t xml:space="preserve">When the Water Table Comes Up to Meet the Drainfield</w:t>
            </w:r>
          </w:p>
        </w:tc>
      </w:tr>
    </w:tbl>
    <w:p>
      <w:r>
        <w:pict>
          <v:rect style="width:0;height:1.5pt" o:hralign="center" o:hrstd="t" o:hr="t"/>
        </w:pict>
      </w:r>
    </w:p>
    <w:bookmarkEnd w:id="24"/>
    <w:bookmarkEnd w:id="25"/>
    <w:bookmarkStart w:id="26" w:name="column-1-scope-of-the-problem"/>
    <w:p>
      <w:pPr>
        <w:pStyle w:val="Heading2"/>
      </w:pPr>
      <w:r>
        <w:t xml:space="preserve">3. Column 1 — Scope of the Problem</w:t>
      </w:r>
    </w:p>
    <w:p>
      <w:pPr>
        <w:pStyle w:val="FirstParagraph"/>
      </w:pPr>
      <w:r>
        <w:rPr>
          <w:iCs/>
          <w:i/>
        </w:rPr>
        <w:t xml:space="preserve">Accent color: rust</w:t>
      </w:r>
      <w:r>
        <w:rPr>
          <w:iCs/>
          <w:i/>
        </w:rPr>
        <w:t xml:space="preserve"> </w:t>
      </w:r>
      <w:r>
        <w:rPr>
          <w:rStyle w:val="VerbatimChar"/>
          <w:iCs/>
          <w:i/>
        </w:rPr>
        <w:t xml:space="preserve">#a8452a</w:t>
      </w:r>
    </w:p>
    <w:p>
      <w:pPr>
        <w:pStyle w:val="BodyText"/>
      </w:pPr>
      <w:r>
        <w:rPr>
          <w:bCs/>
          <w:b/>
        </w:rPr>
        <w:t xml:space="preserve">Intro:</w:t>
      </w:r>
      <w:r>
        <w:t xml:space="preserve"> </w:t>
      </w:r>
      <w:r>
        <w:t xml:space="preserve">The Eastern Shore is a narrow peninsula where nearly every household treats its own wastewater on its own land, above the</w:t>
      </w:r>
      <w:r>
        <w:t xml:space="preserve"> </w:t>
      </w:r>
      <w:r>
        <w:rPr>
          <w:bCs/>
          <w:b/>
        </w:rPr>
        <w:t xml:space="preserve">only</w:t>
      </w:r>
      <w:r>
        <w:t xml:space="preserve"> </w:t>
      </w:r>
      <w:r>
        <w:t xml:space="preserve">aquifer available.</w:t>
      </w:r>
    </w:p>
    <w:p>
      <w:pPr>
        <w:pStyle w:val="BodyText"/>
      </w:pPr>
      <w:r>
        <w:rPr>
          <w:bCs/>
          <w:b/>
        </w:rPr>
        <w:t xml:space="preserve">Stat block A (rust):</w:t>
      </w:r>
      <w:r>
        <w:t xml:space="preserve"> </w:t>
      </w:r>
      <w:r>
        <w:t xml:space="preserve">&gt;</w:t>
      </w:r>
      <w:r>
        <w:t xml:space="preserve"> </w:t>
      </w:r>
      <w:r>
        <w:rPr>
          <w:bCs/>
          <w:b/>
        </w:rPr>
        <w:t xml:space="preserve">18,000+</w:t>
      </w:r>
      <w:r>
        <w:t xml:space="preserve"> </w:t>
      </w:r>
      <w:r>
        <w:t xml:space="preserve">&gt; households in Accomack &amp; Northampton counties on decentralized septic systems</w:t>
      </w:r>
    </w:p>
    <w:p>
      <w:pPr>
        <w:pStyle w:val="BodyText"/>
      </w:pPr>
      <w:r>
        <w:rPr>
          <w:bCs/>
          <w:b/>
        </w:rPr>
        <w:t xml:space="preserve">Stat block B (blue):</w:t>
      </w:r>
      <w:r>
        <w:t xml:space="preserve"> </w:t>
      </w:r>
      <w:r>
        <w:t xml:space="preserve">&gt;</w:t>
      </w:r>
      <w:r>
        <w:t xml:space="preserve"> </w:t>
      </w:r>
      <w:r>
        <w:rPr>
          <w:bCs/>
          <w:b/>
        </w:rPr>
        <w:t xml:space="preserve">1</w:t>
      </w:r>
      <w:r>
        <w:t xml:space="preserve"> </w:t>
      </w:r>
      <w:r>
        <w:t xml:space="preserve">&gt; aquifer — the shallow Columbia, designated a</w:t>
      </w:r>
      <w:r>
        <w:t xml:space="preserve"> </w:t>
      </w:r>
      <w:r>
        <w:rPr>
          <w:bCs/>
          <w:b/>
        </w:rPr>
        <w:t xml:space="preserve">sole-source aquifer</w:t>
      </w:r>
      <w:r>
        <w:t xml:space="preserve"> </w:t>
      </w:r>
      <w:r>
        <w:t xml:space="preserve">by EPA in 1997. There is no alternative supply and no backup.</w:t>
      </w:r>
    </w:p>
    <w:p>
      <w:pPr>
        <w:pStyle w:val="BodyText"/>
      </w:pPr>
      <w:r>
        <w:rPr>
          <w:bCs/>
          <w:b/>
        </w:rPr>
        <w:t xml:space="preserve">Subhead: Why systems that once worked are failing</w:t>
      </w:r>
    </w:p>
    <w:p>
      <w:pPr>
        <w:pStyle w:val="BodyText"/>
      </w:pPr>
      <w:r>
        <w:t xml:space="preserve">A conventional drainfield needs roughly</w:t>
      </w:r>
      <w:r>
        <w:t xml:space="preserve"> </w:t>
      </w:r>
      <w:r>
        <w:rPr>
          <w:bCs/>
          <w:b/>
        </w:rPr>
        <w:t xml:space="preserve">3 feet of unsaturated soil</w:t>
      </w:r>
      <w:r>
        <w:t xml:space="preserve"> </w:t>
      </w:r>
      <w:r>
        <w:t xml:space="preserve">between the trench and the water table to treat effluent. Relative sea level on the Shore is rising among the fastest rates on the U.S. East Coast, lifting the water table into that treatment zone.</w:t>
      </w:r>
    </w:p>
    <w:p>
      <w:pPr>
        <w:pStyle w:val="BodyText"/>
      </w:pPr>
      <w:r>
        <w:rPr>
          <w:bCs/>
          <w:b/>
        </w:rPr>
        <w:t xml:space="preserve">Key-finding box (amber border):</w:t>
      </w:r>
      <w:r>
        <w:t xml:space="preserve"> </w:t>
      </w:r>
      <w:r>
        <w:t xml:space="preserve">&gt;</w:t>
      </w:r>
      <w:r>
        <w:t xml:space="preserve"> </w:t>
      </w:r>
      <w:r>
        <w:rPr>
          <w:bCs/>
          <w:b/>
        </w:rPr>
        <w:t xml:space="preserve">Central finding:</w:t>
      </w:r>
      <w:r>
        <w:t xml:space="preserve"> </w:t>
      </w:r>
      <w:r>
        <w:t xml:space="preserve">These systems are not failing because anything about them changed. They are failing because</w:t>
      </w:r>
      <w:r>
        <w:t xml:space="preserve"> </w:t>
      </w:r>
      <w:r>
        <w:rPr>
          <w:iCs/>
          <w:i/>
        </w:rPr>
        <w:t xml:space="preserve">the water table came up to meet them.</w:t>
      </w:r>
      <w:r>
        <w:t xml:space="preserve"> </w:t>
      </w:r>
      <w:r>
        <w:t xml:space="preserve">A drainfield fully compliant in 1985 can be marginal today and non-functional by 2040 — with no action, error, or neglect by the homeowner.</w:t>
      </w:r>
    </w:p>
    <w:p>
      <w:pPr>
        <w:pStyle w:val="BodyText"/>
      </w:pPr>
      <w:r>
        <w:rPr>
          <w:bCs/>
          <w:b/>
        </w:rPr>
        <w:t xml:space="preserve">Paired stat blocks:</w:t>
      </w:r>
      <w:r>
        <w:t xml:space="preserve"> </w:t>
      </w:r>
      <w:r>
        <w:t xml:space="preserve">&gt;</w:t>
      </w:r>
      <w:r>
        <w:t xml:space="preserve"> </w:t>
      </w:r>
      <w:r>
        <w:rPr>
          <w:bCs/>
          <w:b/>
        </w:rPr>
        <w:t xml:space="preserve">7,800</w:t>
      </w:r>
      <w:r>
        <w:t xml:space="preserve"> </w:t>
      </w:r>
      <w:r>
        <w:t xml:space="preserve">— ESVA systems projected to sit above &lt;3 ft groundwater by 2040†</w:t>
      </w:r>
      <w:r>
        <w:t xml:space="preserve"> </w:t>
      </w:r>
      <w:r>
        <w:t xml:space="preserve">&gt;</w:t>
      </w:r>
      <w:r>
        <w:t xml:space="preserve"> </w:t>
      </w:r>
      <w:r>
        <w:rPr>
          <w:bCs/>
          <w:b/>
        </w:rPr>
        <w:t xml:space="preserve">$156M</w:t>
      </w:r>
      <w:r>
        <w:t xml:space="preserve"> </w:t>
      </w:r>
      <w:r>
        <w:t xml:space="preserve">— estimated replacement cost at that scale†</w:t>
      </w:r>
    </w:p>
    <w:p>
      <w:pPr>
        <w:pStyle w:val="BodyText"/>
      </w:pPr>
      <w:r>
        <w:rPr>
          <w:bCs/>
          <w:b/>
        </w:rPr>
        <w:t xml:space="preserve">Footnote:</w:t>
      </w:r>
      <w:r>
        <w:t xml:space="preserve"> </w:t>
      </w:r>
      <w:r>
        <w:t xml:space="preserve">†Project modeling (ESVA Climate Equity StoryMap, 2025; Hesamfar et al., in review), not independent peer review.</w:t>
      </w:r>
    </w:p>
    <w:p>
      <w:r>
        <w:pict>
          <v:rect style="width:0;height:1.5pt" o:hralign="center" o:hrstd="t" o:hr="t"/>
        </w:pict>
      </w:r>
    </w:p>
    <w:bookmarkEnd w:id="26"/>
    <w:bookmarkStart w:id="27" w:name="column-2-how-it-travels"/>
    <w:p>
      <w:pPr>
        <w:pStyle w:val="Heading2"/>
      </w:pPr>
      <w:r>
        <w:t xml:space="preserve">4. Column 2 — How It Travels</w:t>
      </w:r>
    </w:p>
    <w:p>
      <w:pPr>
        <w:pStyle w:val="FirstParagraph"/>
      </w:pPr>
      <w:r>
        <w:rPr>
          <w:iCs/>
          <w:i/>
        </w:rPr>
        <w:t xml:space="preserve">Accent color: mid blue</w:t>
      </w:r>
      <w:r>
        <w:rPr>
          <w:iCs/>
          <w:i/>
        </w:rPr>
        <w:t xml:space="preserve"> </w:t>
      </w:r>
      <w:r>
        <w:rPr>
          <w:rStyle w:val="VerbatimChar"/>
          <w:iCs/>
          <w:i/>
        </w:rPr>
        <w:t xml:space="preserve">#1d6a8c</w:t>
      </w:r>
    </w:p>
    <w:p>
      <w:pPr>
        <w:pStyle w:val="BodyText"/>
      </w:pPr>
      <w:r>
        <w:rPr>
          <w:bCs/>
          <w:b/>
        </w:rPr>
        <w:t xml:space="preserve">Intro:</w:t>
      </w:r>
      <w:r>
        <w:t xml:space="preserve"> </w:t>
      </w:r>
      <w:r>
        <w:t xml:space="preserve">On the Shore the distance from drainfield to tidal water is unusually short, and the path runs</w:t>
      </w:r>
      <w:r>
        <w:t xml:space="preserve"> </w:t>
      </w:r>
      <w:r>
        <w:rPr>
          <w:iCs/>
          <w:i/>
        </w:rPr>
        <w:t xml:space="preserve">underground</w:t>
      </w:r>
      <w:r>
        <w:t xml:space="preserve"> </w:t>
      </w:r>
      <w:r>
        <w:t xml:space="preserve">— not overland.</w:t>
      </w:r>
    </w:p>
    <w:p>
      <w:pPr>
        <w:pStyle w:val="BodyText"/>
      </w:pPr>
      <w:r>
        <w:rPr>
          <w:bCs/>
          <w:b/>
        </w:rPr>
        <w:t xml:space="preserve">DIAGRAM</w:t>
      </w:r>
      <w:r>
        <w:t xml:space="preserve"> </w:t>
      </w:r>
      <w:r>
        <w:t xml:space="preserve">(see Section 8 for rebuild instructions)</w:t>
      </w:r>
    </w:p>
    <w:p>
      <w:pPr>
        <w:pStyle w:val="BodyText"/>
      </w:pPr>
      <w:r>
        <w:rPr>
          <w:bCs/>
          <w:b/>
        </w:rPr>
        <w:t xml:space="preserve">Caption:</w:t>
      </w:r>
      <w:r>
        <w:t xml:space="preserve"> </w:t>
      </w:r>
      <w:r>
        <w:t xml:space="preserve">Effluent leaves the drainfield, meets a rising water table, and travels laterally to tidal water. When the unsaturated zone thins, treatment is bypassed.</w:t>
      </w:r>
    </w:p>
    <w:p>
      <w:pPr>
        <w:pStyle w:val="BodyText"/>
      </w:pPr>
      <w:r>
        <w:rPr>
          <w:bCs/>
          <w:b/>
        </w:rPr>
        <w:t xml:space="preserve">Stat block (blue):</w:t>
      </w:r>
      <w:r>
        <w:t xml:space="preserve"> </w:t>
      </w:r>
      <w:r>
        <w:t xml:space="preserve">&gt;</w:t>
      </w:r>
      <w:r>
        <w:t xml:space="preserve"> </w:t>
      </w:r>
      <w:r>
        <w:rPr>
          <w:bCs/>
          <w:b/>
        </w:rPr>
        <w:t xml:space="preserve">~80%</w:t>
      </w:r>
      <w:r>
        <w:t xml:space="preserve"> </w:t>
      </w:r>
      <w:r>
        <w:t xml:space="preserve">&gt; of baseflow in Accomack County’s ~30 tidal creeks arrives as</w:t>
      </w:r>
      <w:r>
        <w:t xml:space="preserve"> </w:t>
      </w:r>
      <w:r>
        <w:rPr>
          <w:bCs/>
          <w:b/>
        </w:rPr>
        <w:t xml:space="preserve">groundwater discharge</w:t>
      </w:r>
      <w:r>
        <w:t xml:space="preserve">, not surface runoff</w:t>
      </w:r>
    </w:p>
    <w:p>
      <w:pPr>
        <w:pStyle w:val="BodyText"/>
      </w:pPr>
      <w:r>
        <w:rPr>
          <w:bCs/>
          <w:b/>
        </w:rPr>
        <w:t xml:space="preserve">Subhead: Why so little is removed en route</w:t>
      </w:r>
    </w:p>
    <w:p>
      <w:pPr>
        <w:numPr>
          <w:ilvl w:val="0"/>
          <w:numId w:val="1001"/>
        </w:numPr>
        <w:pStyle w:val="Compact"/>
      </w:pPr>
      <w:r>
        <w:t xml:space="preserve">Columbia aquifer sands are</w:t>
      </w:r>
      <w:r>
        <w:t xml:space="preserve"> </w:t>
      </w:r>
      <w:r>
        <w:rPr>
          <w:bCs/>
          <w:b/>
        </w:rPr>
        <w:t xml:space="preserve">oxic and carbon-poor</w:t>
      </w:r>
      <w:r>
        <w:t xml:space="preserve"> </w:t>
      </w:r>
      <w:r>
        <w:t xml:space="preserve">— denitrification is limited.</w:t>
      </w:r>
    </w:p>
    <w:p>
      <w:pPr>
        <w:numPr>
          <w:ilvl w:val="0"/>
          <w:numId w:val="1001"/>
        </w:numPr>
        <w:pStyle w:val="Compact"/>
      </w:pPr>
      <w:r>
        <w:t xml:space="preserve">Nitrate behaves essentially</w:t>
      </w:r>
      <w:r>
        <w:t xml:space="preserve"> </w:t>
      </w:r>
      <w:r>
        <w:rPr>
          <w:bCs/>
          <w:b/>
        </w:rPr>
        <w:t xml:space="preserve">conservatively</w:t>
      </w:r>
      <w:r>
        <w:t xml:space="preserve"> </w:t>
      </w:r>
      <w:r>
        <w:t xml:space="preserve">along these flow paths.</w:t>
      </w:r>
    </w:p>
    <w:p>
      <w:pPr>
        <w:numPr>
          <w:ilvl w:val="0"/>
          <w:numId w:val="1001"/>
        </w:numPr>
        <w:pStyle w:val="Compact"/>
      </w:pPr>
      <w:r>
        <w:t xml:space="preserve">Removal is confined to</w:t>
      </w:r>
      <w:r>
        <w:t xml:space="preserve"> </w:t>
      </w:r>
      <w:r>
        <w:rPr>
          <w:bCs/>
          <w:b/>
        </w:rPr>
        <w:t xml:space="preserve">thin riparian/tidal-fringe bands</w:t>
      </w:r>
      <w:r>
        <w:t xml:space="preserve">; deeper flow paths bypass them entirely (Speiran 1996, 2010).</w:t>
      </w:r>
    </w:p>
    <w:p>
      <w:pPr>
        <w:numPr>
          <w:ilvl w:val="0"/>
          <w:numId w:val="1001"/>
        </w:numPr>
        <w:pStyle w:val="Compact"/>
      </w:pPr>
      <w:r>
        <w:t xml:space="preserve">Flow paths are typically</w:t>
      </w:r>
      <w:r>
        <w:t xml:space="preserve"> </w:t>
      </w:r>
      <w:r>
        <w:rPr>
          <w:bCs/>
          <w:b/>
        </w:rPr>
        <w:t xml:space="preserve">&lt;2 km</w:t>
      </w:r>
      <w:r>
        <w:t xml:space="preserve"> </w:t>
      </w:r>
      <w:r>
        <w:t xml:space="preserve">— years to decades, not centuries.</w:t>
      </w:r>
    </w:p>
    <w:p>
      <w:r>
        <w:pict>
          <v:rect style="width:0;height:1.5pt" o:hralign="center" o:hrstd="t" o:hr="t"/>
        </w:pict>
      </w:r>
    </w:p>
    <w:bookmarkEnd w:id="27"/>
    <w:bookmarkStart w:id="29" w:name="column-3-six-ecological-pathways"/>
    <w:p>
      <w:pPr>
        <w:pStyle w:val="Heading2"/>
      </w:pPr>
      <w:r>
        <w:t xml:space="preserve">5. Column 3 — Six Ecological Pathways</w:t>
      </w:r>
    </w:p>
    <w:p>
      <w:pPr>
        <w:pStyle w:val="FirstParagraph"/>
      </w:pPr>
      <w:r>
        <w:rPr>
          <w:iCs/>
          <w:i/>
        </w:rPr>
        <w:t xml:space="preserve">Accent color: seagrass teal</w:t>
      </w:r>
      <w:r>
        <w:rPr>
          <w:iCs/>
          <w:i/>
        </w:rPr>
        <w:t xml:space="preserve"> </w:t>
      </w:r>
      <w:r>
        <w:rPr>
          <w:rStyle w:val="VerbatimChar"/>
          <w:iCs/>
          <w:i/>
        </w:rPr>
        <w:t xml:space="preserve">#2e8b83</w:t>
      </w:r>
    </w:p>
    <w:p>
      <w:pPr>
        <w:pStyle w:val="BodyText"/>
      </w:pPr>
      <w:r>
        <w:rPr>
          <w:bCs/>
          <w:b/>
        </w:rPr>
        <w:t xml:space="preserve">Intro:</w:t>
      </w:r>
      <w:r>
        <w:t xml:space="preserve"> </w:t>
      </w:r>
      <w:r>
        <w:t xml:space="preserve">We synthesized the peer-reviewed and agency literature into six pathways, each labeled by how strong the evidence actually is for</w:t>
      </w:r>
      <w:r>
        <w:t xml:space="preserve"> </w:t>
      </w:r>
      <w:r>
        <w:rPr>
          <w:iCs/>
          <w:i/>
        </w:rPr>
        <w:t xml:space="preserve">the Eastern Shore specifically</w:t>
      </w:r>
      <w:r>
        <w:t xml:space="preserve">.</w:t>
      </w:r>
    </w:p>
    <w:bookmarkStart w:id="28" w:name="pathway-table"/>
    <w:p>
      <w:pPr>
        <w:pStyle w:val="Heading3"/>
      </w:pPr>
      <w:r>
        <w:t xml:space="preserve">Pathway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Pathway</w:t>
            </w:r>
          </w:p>
        </w:tc>
        <w:tc>
          <w:tcPr/>
          <w:p>
            <w:pPr>
              <w:pStyle w:val="Compact"/>
              <w:jc w:val="left"/>
            </w:pPr>
            <w:r>
              <w:t xml:space="preserve">Consequence</w:t>
            </w:r>
          </w:p>
        </w:tc>
        <w:tc>
          <w:tcPr/>
          <w:p>
            <w:pPr>
              <w:pStyle w:val="Compact"/>
              <w:jc w:val="left"/>
            </w:pPr>
            <w:r>
              <w:t xml:space="preserve">ESVA evidence</w:t>
            </w:r>
          </w:p>
        </w:tc>
      </w:tr>
      <w:tr>
        <w:tc>
          <w:tcPr/>
          <w:p>
            <w:pPr>
              <w:pStyle w:val="Compact"/>
              <w:jc w:val="left"/>
            </w:pPr>
            <w:r>
              <w:rPr>
                <w:bCs/>
                <w:b/>
              </w:rPr>
              <w:t xml:space="preserve">1 · Groundwater &amp; aquifer</w:t>
            </w:r>
          </w:p>
        </w:tc>
        <w:tc>
          <w:tcPr/>
          <w:p>
            <w:pPr>
              <w:pStyle w:val="Compact"/>
              <w:jc w:val="left"/>
            </w:pPr>
            <w:r>
              <w:t xml:space="preserve">Nitrate, phosphorus breakthrough, pharmaceuticals &amp; PFAS enter the sole-source aquifer</w:t>
            </w:r>
          </w:p>
        </w:tc>
        <w:tc>
          <w:tcPr/>
          <w:p>
            <w:pPr>
              <w:pStyle w:val="Compact"/>
              <w:jc w:val="left"/>
            </w:pPr>
            <w:r>
              <w:t xml:space="preserve">STRONGLY SUPPORTED</w:t>
            </w:r>
          </w:p>
        </w:tc>
      </w:tr>
      <w:tr>
        <w:tc>
          <w:tcPr/>
          <w:p>
            <w:pPr>
              <w:pStyle w:val="Compact"/>
              <w:jc w:val="left"/>
            </w:pPr>
            <w:r>
              <w:rPr>
                <w:bCs/>
                <w:b/>
              </w:rPr>
              <w:t xml:space="preserve">2 · Tidal creeks &amp; salt marsh</w:t>
            </w:r>
          </w:p>
        </w:tc>
        <w:tc>
          <w:tcPr/>
          <w:p>
            <w:pPr>
              <w:pStyle w:val="Compact"/>
              <w:jc w:val="left"/>
            </w:pPr>
            <w:r>
              <w:t xml:space="preserve">Nutrient enrichment; macroalgal blooms; marsh peat decomposition and creek-bank collapse</w:t>
            </w:r>
          </w:p>
        </w:tc>
        <w:tc>
          <w:tcPr/>
          <w:p>
            <w:pPr>
              <w:pStyle w:val="Compact"/>
              <w:jc w:val="left"/>
            </w:pPr>
            <w:r>
              <w:t xml:space="preserve">PLAUSIBLE</w:t>
            </w:r>
          </w:p>
        </w:tc>
      </w:tr>
      <w:tr>
        <w:tc>
          <w:tcPr/>
          <w:p>
            <w:pPr>
              <w:pStyle w:val="Compact"/>
              <w:jc w:val="left"/>
            </w:pPr>
            <w:r>
              <w:rPr>
                <w:bCs/>
                <w:b/>
              </w:rPr>
              <w:t xml:space="preserve">3a · Chesapeake Bay (Bayside)</w:t>
            </w:r>
          </w:p>
        </w:tc>
        <w:tc>
          <w:tcPr/>
          <w:p>
            <w:pPr>
              <w:pStyle w:val="Compact"/>
              <w:jc w:val="left"/>
            </w:pPr>
            <w:r>
              <w:t xml:space="preserve">Contributes to eutrophication, hypoxia, SAV loss in Bayside creeks &amp; sounds</w:t>
            </w:r>
          </w:p>
        </w:tc>
        <w:tc>
          <w:tcPr/>
          <w:p>
            <w:pPr>
              <w:pStyle w:val="Compact"/>
              <w:jc w:val="left"/>
            </w:pPr>
            <w:r>
              <w:t xml:space="preserve">STRONGLY SUPPORTED</w:t>
            </w:r>
          </w:p>
        </w:tc>
      </w:tr>
      <w:tr>
        <w:tc>
          <w:tcPr/>
          <w:p>
            <w:pPr>
              <w:pStyle w:val="Compact"/>
              <w:jc w:val="left"/>
            </w:pPr>
            <w:r>
              <w:rPr>
                <w:bCs/>
                <w:b/>
              </w:rPr>
              <w:t xml:space="preserve">3b · Seaside lagoons</w:t>
            </w:r>
          </w:p>
        </w:tc>
        <w:tc>
          <w:tcPr/>
          <w:p>
            <w:pPr>
              <w:pStyle w:val="Compact"/>
              <w:jc w:val="left"/>
            </w:pPr>
            <w:r>
              <w:t xml:space="preserve">Shallow, flushing-limited lagoons flip to turbid/algal states at low N thresholds — the restored eelgrass meadow is the asset at risk</w:t>
            </w:r>
          </w:p>
        </w:tc>
        <w:tc>
          <w:tcPr/>
          <w:p>
            <w:pPr>
              <w:pStyle w:val="Compact"/>
              <w:jc w:val="left"/>
            </w:pPr>
            <w:r>
              <w:t xml:space="preserve">STRONGLY SUPPORTED</w:t>
            </w:r>
          </w:p>
        </w:tc>
      </w:tr>
      <w:tr>
        <w:tc>
          <w:tcPr/>
          <w:p>
            <w:pPr>
              <w:pStyle w:val="Compact"/>
              <w:jc w:val="left"/>
            </w:pPr>
            <w:r>
              <w:rPr>
                <w:bCs/>
                <w:b/>
              </w:rPr>
              <w:t xml:space="preserve">4 · Shellfish &amp; aquaculture</w:t>
            </w:r>
          </w:p>
        </w:tc>
        <w:tc>
          <w:tcPr/>
          <w:p>
            <w:pPr>
              <w:pStyle w:val="Compact"/>
              <w:jc w:val="left"/>
            </w:pPr>
            <w:r>
              <w:t xml:space="preserve">Fecal-indicator and viral contamination driving harvest closures</w:t>
            </w:r>
          </w:p>
        </w:tc>
        <w:tc>
          <w:tcPr/>
          <w:p>
            <w:pPr>
              <w:pStyle w:val="Compact"/>
              <w:jc w:val="left"/>
            </w:pPr>
            <w:r>
              <w:t xml:space="preserve">STRONGLY SUPPORTED</w:t>
            </w:r>
          </w:p>
        </w:tc>
      </w:tr>
      <w:tr>
        <w:tc>
          <w:tcPr/>
          <w:p>
            <w:pPr>
              <w:pStyle w:val="Compact"/>
              <w:jc w:val="left"/>
            </w:pPr>
            <w:r>
              <w:rPr>
                <w:bCs/>
                <w:b/>
              </w:rPr>
              <w:t xml:space="preserve">5 · Iconic species</w:t>
            </w:r>
          </w:p>
        </w:tc>
        <w:tc>
          <w:tcPr/>
          <w:p>
            <w:pPr>
              <w:pStyle w:val="Compact"/>
              <w:jc w:val="left"/>
            </w:pPr>
            <w:r>
              <w:t xml:space="preserve">Bay scallop, blue crab, terrapin — habitat-mediated effects via SAV and marsh</w:t>
            </w:r>
          </w:p>
        </w:tc>
        <w:tc>
          <w:tcPr/>
          <w:p>
            <w:pPr>
              <w:pStyle w:val="Compact"/>
              <w:jc w:val="left"/>
            </w:pPr>
            <w:r>
              <w:t xml:space="preserve">PLAUSIBLE</w:t>
            </w:r>
          </w:p>
        </w:tc>
      </w:tr>
      <w:tr>
        <w:tc>
          <w:tcPr/>
          <w:p>
            <w:pPr>
              <w:pStyle w:val="Compact"/>
              <w:jc w:val="left"/>
            </w:pPr>
            <w:r>
              <w:rPr>
                <w:bCs/>
                <w:b/>
              </w:rPr>
              <w:t xml:space="preserve">6 · Drainfield footprint</w:t>
            </w:r>
          </w:p>
        </w:tc>
        <w:tc>
          <w:tcPr/>
          <w:p>
            <w:pPr>
              <w:pStyle w:val="Compact"/>
              <w:jc w:val="left"/>
            </w:pPr>
            <w:r>
              <w:t xml:space="preserve">Saturated soils, vegetation die-off,</w:t>
            </w:r>
            <w:r>
              <w:t xml:space="preserve"> </w:t>
            </w:r>
            <w:r>
              <w:rPr>
                <w:iCs/>
                <w:i/>
              </w:rPr>
              <w:t xml:space="preserve">Phragmites</w:t>
            </w:r>
            <w:r>
              <w:t xml:space="preserve"> </w:t>
            </w:r>
            <w:r>
              <w:t xml:space="preserve">facilitation, mosquito habitat</w:t>
            </w:r>
          </w:p>
        </w:tc>
        <w:tc>
          <w:tcPr/>
          <w:p>
            <w:pPr>
              <w:pStyle w:val="Compact"/>
              <w:jc w:val="left"/>
            </w:pPr>
            <w:r>
              <w:t xml:space="preserve">PLAUSIBLE</w:t>
            </w:r>
          </w:p>
        </w:tc>
      </w:tr>
    </w:tbl>
    <w:p>
      <w:pPr>
        <w:pStyle w:val="BodyText"/>
      </w:pPr>
      <w:r>
        <w:rPr>
          <w:bCs/>
          <w:b/>
        </w:rPr>
        <w:t xml:space="preserve">Evidence key</w:t>
      </w:r>
      <w:r>
        <w:t xml:space="preserve"> </w:t>
      </w:r>
      <w:r>
        <w:t xml:space="preserve">(colored chips): ESTABLISHED</w:t>
      </w:r>
      <w:r>
        <w:t xml:space="preserve"> </w:t>
      </w:r>
      <w:r>
        <w:rPr>
          <w:rStyle w:val="VerbatimChar"/>
        </w:rPr>
        <w:t xml:space="preserve">#1f6f4a</w:t>
      </w:r>
      <w:r>
        <w:t xml:space="preserve"> </w:t>
      </w:r>
      <w:r>
        <w:t xml:space="preserve">· STRONGLY SUPPORTED</w:t>
      </w:r>
      <w:r>
        <w:t xml:space="preserve"> </w:t>
      </w:r>
      <w:r>
        <w:rPr>
          <w:rStyle w:val="VerbatimChar"/>
        </w:rPr>
        <w:t xml:space="preserve">#2e8b83</w:t>
      </w:r>
      <w:r>
        <w:t xml:space="preserve"> </w:t>
      </w:r>
      <w:r>
        <w:t xml:space="preserve">· PLAUSIBLE</w:t>
      </w:r>
      <w:r>
        <w:t xml:space="preserve"> </w:t>
      </w:r>
      <w:r>
        <w:rPr>
          <w:rStyle w:val="VerbatimChar"/>
        </w:rPr>
        <w:t xml:space="preserve">#c88a2e</w:t>
      </w:r>
      <w:r>
        <w:t xml:space="preserve"> </w:t>
      </w:r>
      <w:r>
        <w:t xml:space="preserve">· SPECULATIVE</w:t>
      </w:r>
      <w:r>
        <w:t xml:space="preserve"> </w:t>
      </w:r>
      <w:r>
        <w:rPr>
          <w:rStyle w:val="VerbatimChar"/>
        </w:rPr>
        <w:t xml:space="preserve">#8b8b8b</w:t>
      </w:r>
    </w:p>
    <w:p>
      <w:pPr>
        <w:pStyle w:val="BodyText"/>
      </w:pPr>
      <w:r>
        <w:rPr>
          <w:bCs/>
          <w:b/>
        </w:rPr>
        <w:t xml:space="preserve">Key caption:</w:t>
      </w:r>
      <w:r>
        <w:t xml:space="preserve"> </w:t>
      </w:r>
      <w:r>
        <w:t xml:space="preserve">Labels reflect ESVA-specific attribution, not whether the mechanism is real. Most mechanisms are ESTABLISHED in the general literature.</w:t>
      </w:r>
    </w:p>
    <w:p>
      <w:pPr>
        <w:pStyle w:val="BodyText"/>
      </w:pPr>
      <w:r>
        <w:rPr>
          <w:bCs/>
          <w:b/>
        </w:rPr>
        <w:t xml:space="preserve">Callout box (deep blue, white text):</w:t>
      </w:r>
      <w:r>
        <w:t xml:space="preserve"> </w:t>
      </w:r>
      <w:r>
        <w:t xml:space="preserve">&gt;</w:t>
      </w:r>
      <w:r>
        <w:t xml:space="preserve"> </w:t>
      </w:r>
      <w:r>
        <w:rPr>
          <w:bCs/>
          <w:b/>
        </w:rPr>
        <w:t xml:space="preserve">The honest headline:</w:t>
      </w:r>
      <w:r>
        <w:t xml:space="preserve"> </w:t>
      </w:r>
      <w:r>
        <w:t xml:space="preserve">the mechanisms are well understood and the ecological stakes are high — but almost no study has yet closed the loop quantitatively</w:t>
      </w:r>
      <w:r>
        <w:t xml:space="preserve"> </w:t>
      </w:r>
      <w:r>
        <w:rPr>
          <w:iCs/>
          <w:i/>
        </w:rPr>
        <w:t xml:space="preserve">on the Eastern Shore</w:t>
      </w:r>
      <w:r>
        <w:t xml:space="preserve">, from</w:t>
      </w:r>
      <w:r>
        <w:t xml:space="preserve"> </w:t>
      </w:r>
      <w:r>
        <w:t xml:space="preserve">“</w:t>
      </w:r>
      <w:r>
        <w:t xml:space="preserve">septic density here</w:t>
      </w:r>
      <w:r>
        <w:t xml:space="preserve">”</w:t>
      </w:r>
      <w:r>
        <w:t xml:space="preserve"> </w:t>
      </w:r>
      <w:r>
        <w:t xml:space="preserve">to</w:t>
      </w:r>
      <w:r>
        <w:t xml:space="preserve"> </w:t>
      </w:r>
      <w:r>
        <w:t xml:space="preserve">“</w:t>
      </w:r>
      <w:r>
        <w:t xml:space="preserve">ecological change there.</w:t>
      </w:r>
      <w:r>
        <w:t xml:space="preserve">”</w:t>
      </w:r>
      <w:r>
        <w:t xml:space="preserve"> </w:t>
      </w:r>
      <w:r>
        <w:t xml:space="preserve">That gap is the opportunity.</w:t>
      </w:r>
    </w:p>
    <w:p>
      <w:pPr>
        <w:pStyle w:val="BodyText"/>
      </w:pPr>
      <w:r>
        <w:rPr>
          <w:bCs/>
          <w:b/>
        </w:rPr>
        <w:t xml:space="preserve">Subhead: Bayside ≠ Seaside</w:t>
      </w:r>
    </w:p>
    <w:p>
      <w:pPr>
        <w:pStyle w:val="BodyText"/>
      </w:pPr>
      <w:r>
        <w:t xml:space="preserve">Identical nitrogen loads produce very different outcomes. The Bay is large, deep and well-flushed with established management infrastructure. The seaside lagoons are shallow and flushing-limited, and show</w:t>
      </w:r>
      <w:r>
        <w:t xml:space="preserve"> </w:t>
      </w:r>
      <w:r>
        <w:rPr>
          <w:bCs/>
          <w:b/>
        </w:rPr>
        <w:t xml:space="preserve">nonlinear regime shifts at surprisingly low nutrient thresholds.</w:t>
      </w:r>
    </w:p>
    <w:p>
      <w:r>
        <w:pict>
          <v:rect style="width:0;height:1.5pt" o:hralign="center" o:hrstd="t" o:hr="t"/>
        </w:pict>
      </w:r>
    </w:p>
    <w:bookmarkEnd w:id="28"/>
    <w:bookmarkEnd w:id="29"/>
    <w:bookmarkStart w:id="30" w:name="column-4-what-is-at-stake"/>
    <w:p>
      <w:pPr>
        <w:pStyle w:val="Heading2"/>
      </w:pPr>
      <w:r>
        <w:t xml:space="preserve">6. Column 4 — What Is at Stake</w:t>
      </w:r>
    </w:p>
    <w:p>
      <w:pPr>
        <w:pStyle w:val="FirstParagraph"/>
      </w:pPr>
      <w:r>
        <w:rPr>
          <w:iCs/>
          <w:i/>
        </w:rPr>
        <w:t xml:space="preserve">Accent color: marsh green</w:t>
      </w:r>
      <w:r>
        <w:rPr>
          <w:iCs/>
          <w:i/>
        </w:rPr>
        <w:t xml:space="preserve"> </w:t>
      </w:r>
      <w:r>
        <w:rPr>
          <w:rStyle w:val="VerbatimChar"/>
          <w:iCs/>
          <w:i/>
        </w:rPr>
        <w:t xml:space="preserve">#4a7c4e</w:t>
      </w:r>
    </w:p>
    <w:p>
      <w:pPr>
        <w:pStyle w:val="BodyText"/>
      </w:pPr>
      <w:r>
        <w:rPr>
          <w:bCs/>
          <w:b/>
        </w:rPr>
        <w:t xml:space="preserve">Intro:</w:t>
      </w:r>
      <w:r>
        <w:t xml:space="preserve"> </w:t>
      </w:r>
      <w:r>
        <w:t xml:space="preserve">The Shore has recovered ecological assets that most of the Atlantic coast lost permanently. Those assets sit downstream of 18,000 septic systems.</w:t>
      </w:r>
    </w:p>
    <w:p>
      <w:pPr>
        <w:pStyle w:val="BodyText"/>
      </w:pPr>
      <w:r>
        <w:rPr>
          <w:bCs/>
          <w:b/>
        </w:rPr>
        <w:t xml:space="preserve">Stat block (teal):</w:t>
      </w:r>
      <w:r>
        <w:t xml:space="preserve"> </w:t>
      </w:r>
      <w:r>
        <w:t xml:space="preserve">&gt;</w:t>
      </w:r>
      <w:r>
        <w:t xml:space="preserve"> </w:t>
      </w:r>
      <w:r>
        <w:rPr>
          <w:bCs/>
          <w:b/>
        </w:rPr>
        <w:t xml:space="preserve">3,612 ha</w:t>
      </w:r>
      <w:r>
        <w:t xml:space="preserve"> </w:t>
      </w:r>
      <w:r>
        <w:t xml:space="preserve">&gt; (~8,900 acres) of eelgrass restored from</w:t>
      </w:r>
      <w:r>
        <w:t xml:space="preserve"> </w:t>
      </w:r>
      <w:r>
        <w:rPr>
          <w:bCs/>
          <w:b/>
        </w:rPr>
        <w:t xml:space="preserve">70+ million seeds</w:t>
      </w:r>
      <w:r>
        <w:t xml:space="preserve"> </w:t>
      </w:r>
      <w:r>
        <w:t xml:space="preserve">since 1999 — the</w:t>
      </w:r>
      <w:r>
        <w:t xml:space="preserve"> </w:t>
      </w:r>
      <w:r>
        <w:rPr>
          <w:bCs/>
          <w:b/>
        </w:rPr>
        <w:t xml:space="preserve">largest successful seagrass restoration in the world</w:t>
      </w:r>
      <w:r>
        <w:t xml:space="preserve"> </w:t>
      </w:r>
      <w:r>
        <w:t xml:space="preserve">and the largest eelgrass habitat between North Carolina and Long Island Sound (Orth et al. 2020)</w:t>
      </w:r>
    </w:p>
    <w:p>
      <w:pPr>
        <w:pStyle w:val="BodyText"/>
      </w:pPr>
      <w:r>
        <w:rPr>
          <w:bCs/>
          <w:b/>
        </w:rPr>
        <w:t xml:space="preserve">Stat block (teal):</w:t>
      </w:r>
      <w:r>
        <w:t xml:space="preserve"> </w:t>
      </w:r>
      <w:r>
        <w:t xml:space="preserve">&gt;</w:t>
      </w:r>
      <w:r>
        <w:t xml:space="preserve"> </w:t>
      </w:r>
      <w:r>
        <w:rPr>
          <w:bCs/>
          <w:b/>
        </w:rPr>
        <w:t xml:space="preserve">~90 yrs</w:t>
      </w:r>
      <w:r>
        <w:t xml:space="preserve"> </w:t>
      </w:r>
      <w:r>
        <w:t xml:space="preserve">&gt; the bay scallop was absent before reintroduction succeeded in the restored meadow — the only such recovery of its kind</w:t>
      </w:r>
    </w:p>
    <w:p>
      <w:pPr>
        <w:pStyle w:val="BodyText"/>
      </w:pPr>
      <w:r>
        <w:rPr>
          <w:bCs/>
          <w:b/>
        </w:rPr>
        <w:t xml:space="preserve">Subhead: An economy attached to water quality</w:t>
      </w:r>
    </w:p>
    <w:p>
      <w:pPr>
        <w:pStyle w:val="BlockText"/>
      </w:pPr>
      <w:r>
        <w:rPr>
          <w:bCs/>
          <w:b/>
        </w:rPr>
        <w:t xml:space="preserve">$81M</w:t>
      </w:r>
      <w:r>
        <w:t xml:space="preserve"> </w:t>
      </w:r>
      <w:r>
        <w:t xml:space="preserve">— Virginia shellfish aquaculture direct sales, 2024 — up</w:t>
      </w:r>
      <w:r>
        <w:t xml:space="preserve"> </w:t>
      </w:r>
      <w:r>
        <w:rPr>
          <w:bCs/>
          <w:b/>
        </w:rPr>
        <w:t xml:space="preserve">52%</w:t>
      </w:r>
      <w:r>
        <w:t xml:space="preserve"> </w:t>
      </w:r>
      <w:r>
        <w:t xml:space="preserve">from $53M in 2018</w:t>
      </w:r>
      <w:r>
        <w:t xml:space="preserve"> </w:t>
      </w:r>
      <w:r>
        <w:rPr>
          <w:bCs/>
          <w:b/>
        </w:rPr>
        <w:t xml:space="preserve">700+</w:t>
      </w:r>
      <w:r>
        <w:t xml:space="preserve"> </w:t>
      </w:r>
      <w:r>
        <w:t xml:space="preserve">— industry jobs, up from ~480 in 2018 (Hudson/VIMS 2025)</w:t>
      </w:r>
    </w:p>
    <w:p>
      <w:pPr>
        <w:pStyle w:val="FirstParagraph"/>
      </w:pPr>
      <w:r>
        <w:rPr>
          <w:bCs/>
          <w:b/>
        </w:rPr>
        <w:t xml:space="preserve">Subhead: The vulnerability is measurable</w:t>
      </w:r>
    </w:p>
    <w:p>
      <w:pPr>
        <w:numPr>
          <w:ilvl w:val="0"/>
          <w:numId w:val="1002"/>
        </w:numPr>
        <w:pStyle w:val="Compact"/>
      </w:pPr>
      <w:r>
        <w:t xml:space="preserve">Warming</w:t>
      </w:r>
      <w:r>
        <w:t xml:space="preserve"> </w:t>
      </w:r>
      <w:r>
        <w:rPr>
          <w:bCs/>
          <w:b/>
        </w:rPr>
        <w:t xml:space="preserve">erodes eelgrass nutrient tolerance</w:t>
      </w:r>
      <w:r>
        <w:t xml:space="preserve"> </w:t>
      </w:r>
      <w:r>
        <w:t xml:space="preserve">— the safety margin is narrower than ambient nutrient concentrations alone suggest (Lefcheck et al. 2017).</w:t>
      </w:r>
    </w:p>
    <w:p>
      <w:pPr>
        <w:numPr>
          <w:ilvl w:val="0"/>
          <w:numId w:val="1002"/>
        </w:numPr>
        <w:pStyle w:val="Compact"/>
      </w:pPr>
      <w:r>
        <w:t xml:space="preserve">The 2015 marine heat wave caused</w:t>
      </w:r>
      <w:r>
        <w:t xml:space="preserve"> </w:t>
      </w:r>
      <w:r>
        <w:rPr>
          <w:bCs/>
          <w:b/>
        </w:rPr>
        <w:t xml:space="preserve">~50% areal eelgrass loss</w:t>
      </w:r>
      <w:r>
        <w:t xml:space="preserve"> </w:t>
      </w:r>
      <w:r>
        <w:t xml:space="preserve">in South and Hog Island Bays, with recovery still incomplete.</w:t>
      </w:r>
    </w:p>
    <w:p>
      <w:pPr>
        <w:numPr>
          <w:ilvl w:val="0"/>
          <w:numId w:val="1002"/>
        </w:numPr>
        <w:pStyle w:val="Compact"/>
      </w:pPr>
      <w:r>
        <w:t xml:space="preserve">Fecal-indicator exceedance in tidal waters rises from</w:t>
      </w:r>
      <w:r>
        <w:t xml:space="preserve"> </w:t>
      </w:r>
      <w:r>
        <w:rPr>
          <w:bCs/>
          <w:b/>
        </w:rPr>
        <w:t xml:space="preserve">~7% on dry days to ~37%</w:t>
      </w:r>
      <w:r>
        <w:t xml:space="preserve"> </w:t>
      </w:r>
      <w:r>
        <w:t xml:space="preserve">after ≥1 inch of rain (Zimmer-Faust et al. 2018).</w:t>
      </w:r>
    </w:p>
    <w:p>
      <w:pPr>
        <w:numPr>
          <w:ilvl w:val="0"/>
          <w:numId w:val="1002"/>
        </w:numPr>
        <w:pStyle w:val="Compact"/>
      </w:pPr>
      <w:r>
        <w:t xml:space="preserve">Shellfish closure zones and sea-level-vulnerable septic clusters</w:t>
      </w:r>
      <w:r>
        <w:t xml:space="preserve"> </w:t>
      </w:r>
      <w:r>
        <w:rPr>
          <w:bCs/>
          <w:b/>
        </w:rPr>
        <w:t xml:space="preserve">spatially co-locate</w:t>
      </w:r>
      <w:r>
        <w:t xml:space="preserve"> </w:t>
      </w:r>
      <w:r>
        <w:t xml:space="preserve">at Oyster, Willis Wharf, Quinby, Wachapreague, Saxis, Chincoteague and Cape Charles.</w:t>
      </w:r>
    </w:p>
    <w:p>
      <w:pPr>
        <w:pStyle w:val="FirstParagraph"/>
      </w:pPr>
      <w:r>
        <w:rPr>
          <w:bCs/>
          <w:b/>
        </w:rPr>
        <w:t xml:space="preserve">Key-finding box (amber border):</w:t>
      </w:r>
      <w:r>
        <w:t xml:space="preserve"> </w:t>
      </w:r>
      <w:r>
        <w:t xml:space="preserve">&gt;</w:t>
      </w:r>
      <w:r>
        <w:t xml:space="preserve"> </w:t>
      </w:r>
      <w:r>
        <w:rPr>
          <w:bCs/>
          <w:b/>
        </w:rPr>
        <w:t xml:space="preserve">Management implication:</w:t>
      </w:r>
      <w:r>
        <w:t xml:space="preserve"> </w:t>
      </w:r>
      <w:r>
        <w:t xml:space="preserve">Bay-wide average loading figures materially understate ESVA exposure. Small unsewered tidal-creek watersheds on sandy, shallow aquifers behave very differently from the watershed average.</w:t>
      </w:r>
      <w:r>
        <w:t xml:space="preserve"> </w:t>
      </w:r>
      <w:r>
        <w:rPr>
          <w:bCs/>
          <w:b/>
        </w:rPr>
        <w:t xml:space="preserve">Decision-support and permitting should operate at sub-basin resolution.</w:t>
      </w:r>
    </w:p>
    <w:p>
      <w:r>
        <w:pict>
          <v:rect style="width:0;height:1.5pt" o:hralign="center" o:hrstd="t" o:hr="t"/>
        </w:pict>
      </w:r>
    </w:p>
    <w:bookmarkEnd w:id="30"/>
    <w:bookmarkStart w:id="34" w:name="X910ecf06761379a41d75416985db00eef95403c"/>
    <w:p>
      <w:pPr>
        <w:pStyle w:val="Heading2"/>
      </w:pPr>
      <w:r>
        <w:t xml:space="preserve">7. Bottom band — Gaps, Implications, Partnerships</w:t>
      </w:r>
    </w:p>
    <w:p>
      <w:pPr>
        <w:pStyle w:val="FirstParagraph"/>
      </w:pPr>
      <w:r>
        <w:rPr>
          <w:iCs/>
          <w:i/>
        </w:rPr>
        <w:t xml:space="preserve">Accent color: amber</w:t>
      </w:r>
      <w:r>
        <w:rPr>
          <w:iCs/>
          <w:i/>
        </w:rPr>
        <w:t xml:space="preserve"> </w:t>
      </w:r>
      <w:r>
        <w:rPr>
          <w:rStyle w:val="VerbatimChar"/>
          <w:iCs/>
          <w:i/>
        </w:rPr>
        <w:t xml:space="preserve">#c88a2e</w:t>
      </w:r>
      <w:r>
        <w:rPr>
          <w:iCs/>
          <w:i/>
        </w:rPr>
        <w:t xml:space="preserve">. Three sub-columns.</w:t>
      </w:r>
    </w:p>
    <w:bookmarkStart w:id="31" w:name="X0487330309822e6a956296f118f2807e1ed1994"/>
    <w:p>
      <w:pPr>
        <w:pStyle w:val="Heading3"/>
      </w:pPr>
      <w:r>
        <w:t xml:space="preserve">7a. Priority Data Gaps — Where Help Is Needed (widest sub-column)</w:t>
      </w:r>
    </w:p>
    <w:p>
      <w:pPr>
        <w:numPr>
          <w:ilvl w:val="0"/>
          <w:numId w:val="1003"/>
        </w:numPr>
        <w:pStyle w:val="Compact"/>
      </w:pPr>
      <w:r>
        <w:rPr>
          <w:bCs/>
          <w:b/>
        </w:rPr>
        <w:t xml:space="preserve">Source attribution for nitrogen in ESVA creeks and lagoons.</w:t>
      </w:r>
      <w:r>
        <w:t xml:space="preserve"> </w:t>
      </w:r>
      <w:r>
        <w:t xml:space="preserve">Stable isotopes (δ¹⁵N–δ¹⁸O of NO₃⁻) plus wastewater co-tracers (sucralose, acesulfame, caffeine) across a septic-density gradient.</w:t>
      </w:r>
      <w:r>
        <w:t xml:space="preserve"> </w:t>
      </w:r>
      <w:r>
        <w:rPr>
          <w:iCs/>
          <w:i/>
        </w:rPr>
        <w:t xml:space="preserve">One study design would inform five of six pathways.</w:t>
      </w:r>
    </w:p>
    <w:p>
      <w:pPr>
        <w:numPr>
          <w:ilvl w:val="0"/>
          <w:numId w:val="1003"/>
        </w:numPr>
        <w:pStyle w:val="Compact"/>
      </w:pPr>
      <w:r>
        <w:rPr>
          <w:bCs/>
          <w:b/>
        </w:rPr>
        <w:t xml:space="preserve">Microbial source tracking for shellfish closures.</w:t>
      </w:r>
      <w:r>
        <w:t xml:space="preserve"> </w:t>
      </w:r>
      <w:r>
        <w:t xml:space="preserve">HF183, crAssphage and enteric-virus panels to apportion closure days among septic, wildlife, agricultural and stormwater sources — never quantitatively closed for ESVA.</w:t>
      </w:r>
    </w:p>
    <w:p>
      <w:pPr>
        <w:numPr>
          <w:ilvl w:val="0"/>
          <w:numId w:val="1003"/>
        </w:numPr>
        <w:pStyle w:val="Compact"/>
      </w:pPr>
      <w:r>
        <w:rPr>
          <w:bCs/>
          <w:b/>
        </w:rPr>
        <w:t xml:space="preserve">Direct groundwater monitoring around septic clusters.</w:t>
      </w:r>
      <w:r>
        <w:t xml:space="preserve"> </w:t>
      </w:r>
      <w:r>
        <w:t xml:space="preserve">Paired up/downgradient wells with a full analyte suite. Current ESVA work is exposure</w:t>
      </w:r>
      <w:r>
        <w:t xml:space="preserve"> </w:t>
      </w:r>
      <w:r>
        <w:rPr>
          <w:iCs/>
          <w:i/>
        </w:rPr>
        <w:t xml:space="preserve">modeling</w:t>
      </w:r>
      <w:r>
        <w:t xml:space="preserve">, not effects measurement.</w:t>
      </w:r>
    </w:p>
    <w:p>
      <w:pPr>
        <w:numPr>
          <w:ilvl w:val="0"/>
          <w:numId w:val="1003"/>
        </w:numPr>
        <w:pStyle w:val="Compact"/>
      </w:pPr>
      <w:r>
        <w:rPr>
          <w:bCs/>
          <w:b/>
        </w:rPr>
        <w:t xml:space="preserve">Sub-basin nitrogen mass balance</w:t>
      </w:r>
      <w:r>
        <w:t xml:space="preserve"> </w:t>
      </w:r>
      <w:r>
        <w:t xml:space="preserve">calibrated to Columbia-aquifer conditions rather than watershed-average coefficients.</w:t>
      </w:r>
    </w:p>
    <w:p>
      <w:pPr>
        <w:numPr>
          <w:ilvl w:val="0"/>
          <w:numId w:val="1003"/>
        </w:numPr>
        <w:pStyle w:val="Compact"/>
      </w:pPr>
      <w:r>
        <w:rPr>
          <w:bCs/>
          <w:b/>
        </w:rPr>
        <w:t xml:space="preserve">Seagrass safety-margin modeling</w:t>
      </w:r>
      <w:r>
        <w:t xml:space="preserve"> </w:t>
      </w:r>
      <w:r>
        <w:t xml:space="preserve">coupling groundwater N delivery to eelgrass condition and bay scallop recruitment.</w:t>
      </w:r>
    </w:p>
    <w:p>
      <w:pPr>
        <w:numPr>
          <w:ilvl w:val="0"/>
          <w:numId w:val="1003"/>
        </w:numPr>
        <w:pStyle w:val="Compact"/>
      </w:pPr>
      <w:r>
        <w:rPr>
          <w:bCs/>
          <w:b/>
        </w:rPr>
        <w:t xml:space="preserve">Field ecology of ESVA drainfield footprints</w:t>
      </w:r>
      <w:r>
        <w:t xml:space="preserve"> </w:t>
      </w:r>
      <w:r>
        <w:t xml:space="preserve">— no vegetation, soil-microbial or adjacent-habitat surveys have been published.</w:t>
      </w:r>
    </w:p>
    <w:bookmarkEnd w:id="31"/>
    <w:bookmarkStart w:id="32" w:name="b.-management-implications"/>
    <w:p>
      <w:pPr>
        <w:pStyle w:val="Heading3"/>
      </w:pPr>
      <w:r>
        <w:t xml:space="preserve">7b. Management Implications</w:t>
      </w:r>
    </w:p>
    <w:p>
      <w:pPr>
        <w:numPr>
          <w:ilvl w:val="0"/>
          <w:numId w:val="1004"/>
        </w:numPr>
        <w:pStyle w:val="Compact"/>
      </w:pPr>
      <w:r>
        <w:t xml:space="preserve">Failure risk is</w:t>
      </w:r>
      <w:r>
        <w:t xml:space="preserve"> </w:t>
      </w:r>
      <w:r>
        <w:rPr>
          <w:bCs/>
          <w:b/>
        </w:rPr>
        <w:t xml:space="preserve">climate-driven and progressive</w:t>
      </w:r>
      <w:r>
        <w:t xml:space="preserve"> </w:t>
      </w:r>
      <w:r>
        <w:t xml:space="preserve">— this is sustained infrastructure investment, not a one-time retrofit.</w:t>
      </w:r>
    </w:p>
    <w:p>
      <w:pPr>
        <w:numPr>
          <w:ilvl w:val="0"/>
          <w:numId w:val="1004"/>
        </w:numPr>
        <w:pStyle w:val="Compact"/>
      </w:pPr>
      <w:r>
        <w:t xml:space="preserve">Monitor</w:t>
      </w:r>
      <w:r>
        <w:t xml:space="preserve"> </w:t>
      </w:r>
      <w:r>
        <w:rPr>
          <w:bCs/>
          <w:b/>
        </w:rPr>
        <w:t xml:space="preserve">precursors</w:t>
      </w:r>
      <w:r>
        <w:t xml:space="preserve"> </w:t>
      </w:r>
      <w:r>
        <w:t xml:space="preserve">(unsaturated-zone thickness, saturation frequency), not failure events.</w:t>
      </w:r>
    </w:p>
    <w:p>
      <w:pPr>
        <w:numPr>
          <w:ilvl w:val="0"/>
          <w:numId w:val="1004"/>
        </w:numPr>
        <w:pStyle w:val="Compact"/>
      </w:pPr>
      <w:r>
        <w:t xml:space="preserve">Target outreach and cost-share to</w:t>
      </w:r>
      <w:r>
        <w:t xml:space="preserve"> </w:t>
      </w:r>
      <w:r>
        <w:rPr>
          <w:bCs/>
          <w:b/>
        </w:rPr>
        <w:t xml:space="preserve">sub-basins</w:t>
      </w:r>
      <w:r>
        <w:t xml:space="preserve"> </w:t>
      </w:r>
      <w:r>
        <w:t xml:space="preserve">where septic density and shellfish closure overlap.</w:t>
      </w:r>
    </w:p>
    <w:p>
      <w:pPr>
        <w:numPr>
          <w:ilvl w:val="0"/>
          <w:numId w:val="1004"/>
        </w:numPr>
        <w:pStyle w:val="Compact"/>
      </w:pPr>
      <w:r>
        <w:t xml:space="preserve">Cross-reference</w:t>
      </w:r>
      <w:r>
        <w:t xml:space="preserve"> </w:t>
      </w:r>
      <w:r>
        <w:rPr>
          <w:bCs/>
          <w:b/>
        </w:rPr>
        <w:t xml:space="preserve">new subdivision approvals</w:t>
      </w:r>
      <w:r>
        <w:t xml:space="preserve"> </w:t>
      </w:r>
      <w:r>
        <w:t xml:space="preserve">against projected 2040 groundwater depth.</w:t>
      </w:r>
    </w:p>
    <w:p>
      <w:pPr>
        <w:numPr>
          <w:ilvl w:val="0"/>
          <w:numId w:val="1004"/>
        </w:numPr>
        <w:pStyle w:val="Compact"/>
      </w:pPr>
      <w:r>
        <w:t xml:space="preserve">Sewer extension benefits are</w:t>
      </w:r>
      <w:r>
        <w:t xml:space="preserve"> </w:t>
      </w:r>
      <w:r>
        <w:rPr>
          <w:bCs/>
          <w:b/>
        </w:rPr>
        <w:t xml:space="preserve">delayed</w:t>
      </w:r>
      <w:r>
        <w:t xml:space="preserve"> </w:t>
      </w:r>
      <w:r>
        <w:t xml:space="preserve">by a legacy-loading tail from decommissioned drainfields.</w:t>
      </w:r>
    </w:p>
    <w:bookmarkEnd w:id="32"/>
    <w:bookmarkStart w:id="33" w:name="c.-partnership-opportunities"/>
    <w:p>
      <w:pPr>
        <w:pStyle w:val="Heading3"/>
      </w:pPr>
      <w:r>
        <w:t xml:space="preserve">7c. Partnership Opportunities</w:t>
      </w:r>
    </w:p>
    <w:p>
      <w:pPr>
        <w:pStyle w:val="FirstParagraph"/>
      </w:pPr>
      <w:r>
        <w:t xml:space="preserve">We are actively seeking collaborators for field sampling, data sharing and student placements.</w:t>
      </w:r>
    </w:p>
    <w:p>
      <w:pPr>
        <w:pStyle w:val="BodyText"/>
      </w:pPr>
      <w:r>
        <w:t xml:space="preserve">Tags: VDH — Eastern Shore Health District · VDH Div. of Shellfish Safety · A-NPDC · Virginia DEQ · VIMS · Virginia Coast Reserve LTER · The Nature Conservancy · Accomack &amp; Northampton counties · Virginia Cooperative Extension · Shellfish growers &amp; watermen</w:t>
      </w:r>
    </w:p>
    <w:p>
      <w:pPr>
        <w:pStyle w:val="BodyText"/>
      </w:pPr>
      <w:r>
        <w:rPr>
          <w:bCs/>
          <w:b/>
        </w:rPr>
        <w:t xml:space="preserve">ESCC students</w:t>
      </w:r>
      <w:r>
        <w:t xml:space="preserve"> </w:t>
      </w:r>
      <w:r>
        <w:t xml:space="preserve">are available for capstone and internship projects on any of the gaps at left — several are achievable within a single semester using public data.</w:t>
      </w:r>
    </w:p>
    <w:p>
      <w:pPr>
        <w:pStyle w:val="BodyText"/>
      </w:pPr>
      <w:r>
        <w:rPr>
          <w:bCs/>
          <w:b/>
        </w:rPr>
        <w:t xml:space="preserve">Contact:</w:t>
      </w:r>
      <w:r>
        <w:t xml:space="preserve"> </w:t>
      </w:r>
      <w:r>
        <w:t xml:space="preserve">[email] · [phone]</w:t>
      </w:r>
    </w:p>
    <w:p>
      <w:r>
        <w:pict>
          <v:rect style="width:0;height:1.5pt" o:hralign="center" o:hrstd="t" o:hr="t"/>
        </w:pict>
      </w:r>
    </w:p>
    <w:bookmarkEnd w:id="33"/>
    <w:bookmarkEnd w:id="34"/>
    <w:bookmarkStart w:id="35" w:name="rebuilding-the-diagram-in-powerpoint"/>
    <w:p>
      <w:pPr>
        <w:pStyle w:val="Heading2"/>
      </w:pPr>
      <w:r>
        <w:t xml:space="preserve">8. Rebuilding the diagram in PowerPoint</w:t>
      </w:r>
    </w:p>
    <w:p>
      <w:pPr>
        <w:pStyle w:val="FirstParagraph"/>
      </w:pPr>
      <w:r>
        <w:t xml:space="preserve">The HTML uses an inline SVG cross-section. To rebuild manually:</w:t>
      </w:r>
    </w:p>
    <w:p>
      <w:pPr>
        <w:pStyle w:val="BodyText"/>
      </w:pPr>
      <w:r>
        <w:rPr>
          <w:bCs/>
          <w:b/>
        </w:rPr>
        <w:t xml:space="preserve">Layers, bottom to top:</w:t>
      </w:r>
      <w:r>
        <w:t xml:space="preserve"> </w:t>
      </w:r>
      <w:r>
        <w:t xml:space="preserve">1.</w:t>
      </w:r>
      <w:r>
        <w:t xml:space="preserve"> </w:t>
      </w:r>
      <w:r>
        <w:rPr>
          <w:bCs/>
          <w:b/>
        </w:rPr>
        <w:t xml:space="preserve">Sky band</w:t>
      </w:r>
      <w:r>
        <w:t xml:space="preserve"> </w:t>
      </w:r>
      <w:r>
        <w:t xml:space="preserve">(top ~37%) —</w:t>
      </w:r>
      <w:r>
        <w:t xml:space="preserve"> </w:t>
      </w:r>
      <w:r>
        <w:rPr>
          <w:rStyle w:val="VerbatimChar"/>
        </w:rPr>
        <w:t xml:space="preserve">#dbeaf2</w:t>
      </w:r>
      <w:r>
        <w:t xml:space="preserve"> </w:t>
      </w:r>
      <w:r>
        <w:t xml:space="preserve">2.</w:t>
      </w:r>
      <w:r>
        <w:t xml:space="preserve"> </w:t>
      </w:r>
      <w:r>
        <w:rPr>
          <w:bCs/>
          <w:b/>
        </w:rPr>
        <w:t xml:space="preserve">Unsaturated soil band</w:t>
      </w:r>
      <w:r>
        <w:t xml:space="preserve"> </w:t>
      </w:r>
      <w:r>
        <w:t xml:space="preserve">(next ~22%) —</w:t>
      </w:r>
      <w:r>
        <w:t xml:space="preserve"> </w:t>
      </w:r>
      <w:r>
        <w:rPr>
          <w:rStyle w:val="VerbatimChar"/>
        </w:rPr>
        <w:t xml:space="preserve">#e0cfa8</w:t>
      </w:r>
      <w:r>
        <w:t xml:space="preserve"> </w:t>
      </w:r>
      <w:r>
        <w:t xml:space="preserve">3.</w:t>
      </w:r>
      <w:r>
        <w:t xml:space="preserve"> </w:t>
      </w:r>
      <w:r>
        <w:rPr>
          <w:bCs/>
          <w:b/>
        </w:rPr>
        <w:t xml:space="preserve">Saturated aquifer band</w:t>
      </w:r>
      <w:r>
        <w:t xml:space="preserve"> </w:t>
      </w:r>
      <w:r>
        <w:t xml:space="preserve">(bottom ~41%) —</w:t>
      </w:r>
      <w:r>
        <w:t xml:space="preserve"> </w:t>
      </w:r>
      <w:r>
        <w:rPr>
          <w:rStyle w:val="VerbatimChar"/>
        </w:rPr>
        <w:t xml:space="preserve">#8fc3d8</w:t>
      </w:r>
      <w:r>
        <w:t xml:space="preserve"> </w:t>
      </w:r>
      <w:r>
        <w:t xml:space="preserve">4.</w:t>
      </w:r>
      <w:r>
        <w:t xml:space="preserve"> </w:t>
      </w:r>
      <w:r>
        <w:rPr>
          <w:bCs/>
          <w:b/>
        </w:rPr>
        <w:t xml:space="preserve">Tidal creek</w:t>
      </w:r>
      <w:r>
        <w:t xml:space="preserve"> </w:t>
      </w:r>
      <w:r>
        <w:t xml:space="preserve">— right ~25% of frame, water</w:t>
      </w:r>
      <w:r>
        <w:t xml:space="preserve"> </w:t>
      </w:r>
      <w:r>
        <w:rPr>
          <w:rStyle w:val="VerbatimChar"/>
        </w:rPr>
        <w:t xml:space="preserve">#4f9dbd</w:t>
      </w:r>
      <w:r>
        <w:t xml:space="preserve">, with a wavy top edge</w:t>
      </w:r>
    </w:p>
    <w:p>
      <w:pPr>
        <w:pStyle w:val="BodyText"/>
      </w:pPr>
      <w:r>
        <w:rPr>
          <w:bCs/>
          <w:b/>
        </w:rPr>
        <w:t xml:space="preserve">Objects, left to right:</w:t>
      </w:r>
      <w:r>
        <w:t xml:space="preserve"> </w:t>
      </w:r>
      <w:r>
        <w:t xml:space="preserve">-</w:t>
      </w:r>
      <w:r>
        <w:t xml:space="preserve"> </w:t>
      </w:r>
      <w:r>
        <w:rPr>
          <w:bCs/>
          <w:b/>
        </w:rPr>
        <w:t xml:space="preserve">House</w:t>
      </w:r>
      <w:r>
        <w:t xml:space="preserve"> </w:t>
      </w:r>
      <w:r>
        <w:t xml:space="preserve">— white rectangle, rust</w:t>
      </w:r>
      <w:r>
        <w:t xml:space="preserve"> </w:t>
      </w:r>
      <w:r>
        <w:rPr>
          <w:rStyle w:val="VerbatimChar"/>
        </w:rPr>
        <w:t xml:space="preserve">#a8452a</w:t>
      </w:r>
      <w:r>
        <w:t xml:space="preserve"> </w:t>
      </w:r>
      <w:r>
        <w:t xml:space="preserve">roof, black outline; pipe line down to tank</w:t>
      </w:r>
      <w:r>
        <w:t xml:space="preserve"> </w:t>
      </w:r>
      <w:r>
        <w:t xml:space="preserve">-</w:t>
      </w:r>
      <w:r>
        <w:t xml:space="preserve"> </w:t>
      </w:r>
      <w:r>
        <w:rPr>
          <w:bCs/>
          <w:b/>
        </w:rPr>
        <w:t xml:space="preserve">Septic tank</w:t>
      </w:r>
      <w:r>
        <w:t xml:space="preserve"> </w:t>
      </w:r>
      <w:r>
        <w:t xml:space="preserve">— gray rounded rectangle labeled</w:t>
      </w:r>
      <w:r>
        <w:t xml:space="preserve"> </w:t>
      </w:r>
      <w:r>
        <w:t xml:space="preserve">“</w:t>
      </w:r>
      <w:r>
        <w:t xml:space="preserve">tank,</w:t>
      </w:r>
      <w:r>
        <w:t xml:space="preserve">”</w:t>
      </w:r>
      <w:r>
        <w:t xml:space="preserve"> </w:t>
      </w:r>
      <w:r>
        <w:t xml:space="preserve">sitting in the unsaturated band</w:t>
      </w:r>
      <w:r>
        <w:t xml:space="preserve"> </w:t>
      </w:r>
      <w:r>
        <w:t xml:space="preserve">-</w:t>
      </w:r>
      <w:r>
        <w:t xml:space="preserve"> </w:t>
      </w:r>
      <w:r>
        <w:rPr>
          <w:bCs/>
          <w:b/>
        </w:rPr>
        <w:t xml:space="preserve">Drainfield</w:t>
      </w:r>
      <w:r>
        <w:t xml:space="preserve"> </w:t>
      </w:r>
      <w:r>
        <w:t xml:space="preserve">— tan horizontal bar labeled</w:t>
      </w:r>
      <w:r>
        <w:t xml:space="preserve"> </w:t>
      </w:r>
      <w:r>
        <w:t xml:space="preserve">“</w:t>
      </w:r>
      <w:r>
        <w:t xml:space="preserve">drainfield,</w:t>
      </w:r>
      <w:r>
        <w:t xml:space="preserve">”</w:t>
      </w:r>
      <w:r>
        <w:t xml:space="preserve"> </w:t>
      </w:r>
      <w:r>
        <w:t xml:space="preserve">with small green dots beneath it (effluent)</w:t>
      </w:r>
      <w:r>
        <w:t xml:space="preserve"> </w:t>
      </w:r>
      <w:r>
        <w:t xml:space="preserve">-</w:t>
      </w:r>
      <w:r>
        <w:t xml:space="preserve"> </w:t>
      </w:r>
      <w:r>
        <w:rPr>
          <w:bCs/>
          <w:b/>
        </w:rPr>
        <w:t xml:space="preserve">Separation bracket</w:t>
      </w:r>
      <w:r>
        <w:t xml:space="preserve"> </w:t>
      </w:r>
      <w:r>
        <w:t xml:space="preserve">— rust vertical bracket between drainfield bottom and water table, labeled</w:t>
      </w:r>
      <w:r>
        <w:t xml:space="preserve"> </w:t>
      </w:r>
      <w:r>
        <w:rPr>
          <w:bCs/>
          <w:b/>
        </w:rPr>
        <w:t xml:space="preserve">“</w:t>
      </w:r>
      <w:r>
        <w:rPr>
          <w:bCs/>
          <w:b/>
        </w:rPr>
        <w:t xml:space="preserve">need ≥3 ft / treatment zone</w:t>
      </w:r>
      <w:r>
        <w:rPr>
          <w:bCs/>
          <w:b/>
        </w:rPr>
        <w:t xml:space="preserve">”</w:t>
      </w:r>
      <w:r>
        <w:t xml:space="preserve"> </w:t>
      </w:r>
      <w:r>
        <w:t xml:space="preserve">-</w:t>
      </w:r>
      <w:r>
        <w:t xml:space="preserve"> </w:t>
      </w:r>
      <w:r>
        <w:rPr>
          <w:bCs/>
          <w:b/>
        </w:rPr>
        <w:t xml:space="preserve">Water table</w:t>
      </w:r>
      <w:r>
        <w:t xml:space="preserve"> </w:t>
      </w:r>
      <w:r>
        <w:t xml:space="preserve">— thick dashed deep-blue horizontal line labeled</w:t>
      </w:r>
      <w:r>
        <w:t xml:space="preserve"> </w:t>
      </w:r>
      <w:r>
        <w:t xml:space="preserve">“</w:t>
      </w:r>
      <w:r>
        <w:t xml:space="preserve">water table</w:t>
      </w:r>
      <w:r>
        <w:t xml:space="preserve">”</w:t>
      </w:r>
      <w:r>
        <w:t xml:space="preserve"> </w:t>
      </w:r>
      <w:r>
        <w:t xml:space="preserve">-</w:t>
      </w:r>
      <w:r>
        <w:t xml:space="preserve"> </w:t>
      </w:r>
      <w:r>
        <w:rPr>
          <w:bCs/>
          <w:b/>
        </w:rPr>
        <w:t xml:space="preserve">Rising arrow</w:t>
      </w:r>
      <w:r>
        <w:t xml:space="preserve"> </w:t>
      </w:r>
      <w:r>
        <w:t xml:space="preserve">— rust upward arrow near the water table labeled</w:t>
      </w:r>
      <w:r>
        <w:t xml:space="preserve"> </w:t>
      </w:r>
      <w:r>
        <w:t xml:space="preserve">“</w:t>
      </w:r>
      <w:r>
        <w:t xml:space="preserve">rising</w:t>
      </w:r>
      <w:r>
        <w:t xml:space="preserve">”</w:t>
      </w:r>
      <w:r>
        <w:t xml:space="preserve"> </w:t>
      </w:r>
      <w:r>
        <w:t xml:space="preserve">-</w:t>
      </w:r>
      <w:r>
        <w:t xml:space="preserve"> </w:t>
      </w:r>
      <w:r>
        <w:rPr>
          <w:bCs/>
          <w:b/>
        </w:rPr>
        <w:t xml:space="preserve">Flow arrows</w:t>
      </w:r>
      <w:r>
        <w:t xml:space="preserve"> </w:t>
      </w:r>
      <w:r>
        <w:t xml:space="preserve">— two curved deep-blue arrows sweeping from beneath the drainfield rightward into the creek, labeled</w:t>
      </w:r>
      <w:r>
        <w:t xml:space="preserve"> </w:t>
      </w:r>
      <w:r>
        <w:rPr>
          <w:bCs/>
          <w:b/>
        </w:rPr>
        <w:t xml:space="preserve">“</w:t>
      </w:r>
      <w:r>
        <w:rPr>
          <w:bCs/>
          <w:b/>
        </w:rPr>
        <w:t xml:space="preserve">nitrate + bacteria move with groundwater</w:t>
      </w:r>
      <w:r>
        <w:rPr>
          <w:bCs/>
          <w:b/>
        </w:rPr>
        <w:t xml:space="preserve">”</w:t>
      </w:r>
      <w:r>
        <w:t xml:space="preserve"> </w:t>
      </w:r>
      <w:r>
        <w:t xml:space="preserve">-</w:t>
      </w:r>
      <w:r>
        <w:t xml:space="preserve"> </w:t>
      </w:r>
      <w:r>
        <w:rPr>
          <w:bCs/>
          <w:b/>
        </w:rPr>
        <w:t xml:space="preserve">Creek label</w:t>
      </w:r>
      <w:r>
        <w:t xml:space="preserve"> </w:t>
      </w:r>
      <w:r>
        <w:t xml:space="preserve">— white</w:t>
      </w:r>
      <w:r>
        <w:t xml:space="preserve"> </w:t>
      </w:r>
      <w:r>
        <w:t xml:space="preserve">“</w:t>
      </w:r>
      <w:r>
        <w:t xml:space="preserve">tidal creek</w:t>
      </w:r>
      <w:r>
        <w:t xml:space="preserve">”</w:t>
      </w:r>
      <w:r>
        <w:t xml:space="preserve"> </w:t>
      </w:r>
      <w:r>
        <w:t xml:space="preserve">text over the water</w:t>
      </w:r>
      <w:r>
        <w:t xml:space="preserve"> </w:t>
      </w:r>
      <w:r>
        <w:t xml:space="preserve">-</w:t>
      </w:r>
      <w:r>
        <w:t xml:space="preserve"> </w:t>
      </w:r>
      <w:r>
        <w:rPr>
          <w:bCs/>
          <w:b/>
        </w:rPr>
        <w:t xml:space="preserve">Seagrass</w:t>
      </w:r>
      <w:r>
        <w:t xml:space="preserve"> </w:t>
      </w:r>
      <w:r>
        <w:t xml:space="preserve">— small teal blade shapes at the creek bottom</w:t>
      </w:r>
    </w:p>
    <w:p>
      <w:pPr>
        <w:pStyle w:val="BodyText"/>
      </w:pPr>
      <w:r>
        <w:rPr>
          <w:bCs/>
          <w:b/>
        </w:rPr>
        <w:t xml:space="preserve">The single most important visual idea:</w:t>
      </w:r>
      <w:r>
        <w:t xml:space="preserve"> </w:t>
      </w:r>
      <w:r>
        <w:t xml:space="preserve">the rust bracket (required 3 ft) and the rising water table arrow should read together at a glance, so a viewer standing 6 feet away immediately understands that the gap is closing.</w:t>
      </w:r>
    </w:p>
    <w:p>
      <w:r>
        <w:pict>
          <v:rect style="width:0;height:1.5pt" o:hralign="center" o:hrstd="t" o:hr="t"/>
        </w:pict>
      </w:r>
    </w:p>
    <w:bookmarkEnd w:id="35"/>
    <w:bookmarkStart w:id="36" w:name="printing-from-the-html"/>
    <w:p>
      <w:pPr>
        <w:pStyle w:val="Heading2"/>
      </w:pPr>
      <w:r>
        <w:t xml:space="preserve">9. Printing from the HTML</w:t>
      </w:r>
    </w:p>
    <w:p>
      <w:pPr>
        <w:numPr>
          <w:ilvl w:val="0"/>
          <w:numId w:val="1005"/>
        </w:numPr>
        <w:pStyle w:val="Compact"/>
      </w:pPr>
      <w:r>
        <w:t xml:space="preserve">Open</w:t>
      </w:r>
      <w:r>
        <w:t xml:space="preserve"> </w:t>
      </w:r>
      <w:r>
        <w:rPr>
          <w:rStyle w:val="VerbatimChar"/>
        </w:rPr>
        <w:t xml:space="preserve">ESVA_Symposium_Poster.html</w:t>
      </w:r>
      <w:r>
        <w:t xml:space="preserve"> </w:t>
      </w:r>
      <w:r>
        <w:t xml:space="preserve">in</w:t>
      </w:r>
      <w:r>
        <w:t xml:space="preserve"> </w:t>
      </w:r>
      <w:r>
        <w:rPr>
          <w:bCs/>
          <w:b/>
        </w:rPr>
        <w:t xml:space="preserve">Chrome or Edge</w:t>
      </w:r>
      <w:r>
        <w:t xml:space="preserve"> </w:t>
      </w:r>
      <w:r>
        <w:t xml:space="preserve">(Safari and Firefox handle</w:t>
      </w:r>
      <w:r>
        <w:t xml:space="preserve"> </w:t>
      </w:r>
      <w:r>
        <w:rPr>
          <w:rStyle w:val="VerbatimChar"/>
        </w:rPr>
        <w:t xml:space="preserve">@page</w:t>
      </w:r>
      <w:r>
        <w:t xml:space="preserve"> </w:t>
      </w:r>
      <w:r>
        <w:t xml:space="preserve">sizing less reliably).</w:t>
      </w:r>
    </w:p>
    <w:p>
      <w:pPr>
        <w:numPr>
          <w:ilvl w:val="0"/>
          <w:numId w:val="1005"/>
        </w:numPr>
        <w:pStyle w:val="Compact"/>
      </w:pPr>
      <w:r>
        <w:t xml:space="preserve">Press</w:t>
      </w:r>
      <w:r>
        <w:t xml:space="preserve"> </w:t>
      </w:r>
      <w:r>
        <w:rPr>
          <w:bCs/>
          <w:b/>
        </w:rPr>
        <w:t xml:space="preserve">Ctrl/Cmd + P</w:t>
      </w:r>
      <w:r>
        <w:t xml:space="preserve">.</w:t>
      </w:r>
    </w:p>
    <w:p>
      <w:pPr>
        <w:numPr>
          <w:ilvl w:val="0"/>
          <w:numId w:val="1005"/>
        </w:numPr>
        <w:pStyle w:val="Compact"/>
      </w:pPr>
      <w:r>
        <w:t xml:space="preserve">Destination:</w:t>
      </w:r>
      <w:r>
        <w:t xml:space="preserve"> </w:t>
      </w:r>
      <w:r>
        <w:rPr>
          <w:bCs/>
          <w:b/>
        </w:rPr>
        <w:t xml:space="preserve">Save as PDF</w:t>
      </w:r>
    </w:p>
    <w:p>
      <w:pPr>
        <w:numPr>
          <w:ilvl w:val="0"/>
          <w:numId w:val="1005"/>
        </w:numPr>
        <w:pStyle w:val="Compact"/>
      </w:pPr>
      <w:r>
        <w:t xml:space="preserve">Paper size:</w:t>
      </w:r>
      <w:r>
        <w:t xml:space="preserve"> </w:t>
      </w:r>
      <w:r>
        <w:rPr>
          <w:bCs/>
          <w:b/>
        </w:rPr>
        <w:t xml:space="preserve">Custom 36 × 24 in</w:t>
      </w:r>
      <w:r>
        <w:t xml:space="preserve"> </w:t>
      </w:r>
      <w:r>
        <w:t xml:space="preserve">if available; otherwise choose any size and set</w:t>
      </w:r>
      <w:r>
        <w:t xml:space="preserve"> </w:t>
      </w:r>
      <w:r>
        <w:rPr>
          <w:bCs/>
          <w:b/>
        </w:rPr>
        <w:t xml:space="preserve">Scale: 100%</w:t>
      </w:r>
      <w:r>
        <w:t xml:space="preserve">, orientation</w:t>
      </w:r>
      <w:r>
        <w:t xml:space="preserve"> </w:t>
      </w:r>
      <w:r>
        <w:rPr>
          <w:bCs/>
          <w:b/>
        </w:rPr>
        <w:t xml:space="preserve">Landscape</w:t>
      </w:r>
    </w:p>
    <w:p>
      <w:pPr>
        <w:numPr>
          <w:ilvl w:val="0"/>
          <w:numId w:val="1005"/>
        </w:numPr>
        <w:pStyle w:val="Compact"/>
      </w:pPr>
      <w:r>
        <w:t xml:space="preserve">Margins:</w:t>
      </w:r>
      <w:r>
        <w:t xml:space="preserve"> </w:t>
      </w:r>
      <w:r>
        <w:rPr>
          <w:bCs/>
          <w:b/>
        </w:rPr>
        <w:t xml:space="preserve">None</w:t>
      </w:r>
    </w:p>
    <w:p>
      <w:pPr>
        <w:numPr>
          <w:ilvl w:val="0"/>
          <w:numId w:val="1005"/>
        </w:numPr>
        <w:pStyle w:val="Compact"/>
      </w:pPr>
      <w:r>
        <w:rPr>
          <w:bCs/>
          <w:b/>
        </w:rPr>
        <w:t xml:space="preserve">Background graphics: ON</w:t>
      </w:r>
      <w:r>
        <w:t xml:space="preserve"> </w:t>
      </w:r>
      <w:r>
        <w:t xml:space="preserve">← essential, or all color blocks disappear</w:t>
      </w:r>
    </w:p>
    <w:p>
      <w:pPr>
        <w:numPr>
          <w:ilvl w:val="0"/>
          <w:numId w:val="1005"/>
        </w:numPr>
        <w:pStyle w:val="Compact"/>
      </w:pPr>
      <w:r>
        <w:t xml:space="preserve">Save, then send the PDF to your print shop.</w:t>
      </w:r>
    </w:p>
    <w:p>
      <w:pPr>
        <w:pStyle w:val="FirstParagraph"/>
      </w:pPr>
      <w:r>
        <w:t xml:space="preserve">Ask the printer to confirm the PDF is exactly 36 × 24 in before printing. If it comes out at a different size, they can scale proportionally without loss since all layout is vector and text.</w:t>
      </w:r>
    </w:p>
    <w:p>
      <w:r>
        <w:pict>
          <v:rect style="width:0;height:1.5pt" o:hralign="center" o:hrstd="t" o:hr="t"/>
        </w:pict>
      </w:r>
    </w:p>
    <w:bookmarkEnd w:id="36"/>
    <w:bookmarkStart w:id="37" w:name="before-you-print-checklist"/>
    <w:p>
      <w:pPr>
        <w:pStyle w:val="Heading2"/>
      </w:pPr>
      <w:r>
        <w:t xml:space="preserve">10. Before you print — checklist</w:t>
      </w:r>
    </w:p>
    <w:p>
      <w:pPr>
        <w:numPr>
          <w:ilvl w:val="0"/>
          <w:numId w:val="1006"/>
        </w:numPr>
        <w:pStyle w:val="Compact"/>
      </w:pPr>
      <w:r>
        <w:t xml:space="preserve">☐ Replace</w:t>
      </w:r>
      <w:r>
        <w:t xml:space="preserve"> </w:t>
      </w:r>
      <w:r>
        <w:rPr>
          <w:bCs/>
          <w:b/>
        </w:rPr>
        <w:t xml:space="preserve">[Student Name]</w:t>
      </w:r>
      <w:r>
        <w:t xml:space="preserve"> </w:t>
      </w:r>
      <w:r>
        <w:t xml:space="preserve">with the student’s name, and confirm author order</w:t>
      </w:r>
    </w:p>
    <w:p>
      <w:pPr>
        <w:numPr>
          <w:ilvl w:val="0"/>
          <w:numId w:val="1006"/>
        </w:numPr>
        <w:pStyle w:val="Compact"/>
      </w:pPr>
      <w:r>
        <w:t xml:space="preserve">☐ Add</w:t>
      </w:r>
      <w:r>
        <w:t xml:space="preserve"> </w:t>
      </w:r>
      <w:r>
        <w:rPr>
          <w:bCs/>
          <w:b/>
        </w:rPr>
        <w:t xml:space="preserve">[email]</w:t>
      </w:r>
      <w:r>
        <w:t xml:space="preserve"> </w:t>
      </w:r>
      <w:r>
        <w:t xml:space="preserve">and</w:t>
      </w:r>
      <w:r>
        <w:t xml:space="preserve"> </w:t>
      </w:r>
      <w:r>
        <w:rPr>
          <w:bCs/>
          <w:b/>
        </w:rPr>
        <w:t xml:space="preserve">[phone]</w:t>
      </w:r>
      <w:r>
        <w:t xml:space="preserve"> </w:t>
      </w:r>
      <w:r>
        <w:t xml:space="preserve">in the Partnership Opportunities block</w:t>
      </w:r>
    </w:p>
    <w:p>
      <w:pPr>
        <w:numPr>
          <w:ilvl w:val="0"/>
          <w:numId w:val="1006"/>
        </w:numPr>
        <w:pStyle w:val="Compact"/>
      </w:pPr>
      <w:r>
        <w:t xml:space="preserve">☐ Insert ESCC / UVA EI / partner</w:t>
      </w:r>
      <w:r>
        <w:t xml:space="preserve"> </w:t>
      </w:r>
      <w:r>
        <w:rPr>
          <w:bCs/>
          <w:b/>
        </w:rPr>
        <w:t xml:space="preserve">logos</w:t>
      </w:r>
      <w:r>
        <w:t xml:space="preserve"> </w:t>
      </w:r>
      <w:r>
        <w:t xml:space="preserve">in the header right block</w:t>
      </w:r>
    </w:p>
    <w:p>
      <w:pPr>
        <w:numPr>
          <w:ilvl w:val="0"/>
          <w:numId w:val="1006"/>
        </w:numPr>
        <w:pStyle w:val="Compact"/>
      </w:pPr>
      <w:r>
        <w:t xml:space="preserve">☐ Confirm the</w:t>
      </w:r>
      <w:r>
        <w:t xml:space="preserve"> </w:t>
      </w:r>
      <w:r>
        <w:rPr>
          <w:bCs/>
          <w:b/>
        </w:rPr>
        <w:t xml:space="preserve">PI and Co-PI list</w:t>
      </w:r>
      <w:r>
        <w:t xml:space="preserve"> </w:t>
      </w:r>
      <w:r>
        <w:t xml:space="preserve">in the Acknowledgments is current and correctly spelled</w:t>
      </w:r>
    </w:p>
    <w:p>
      <w:pPr>
        <w:numPr>
          <w:ilvl w:val="0"/>
          <w:numId w:val="1006"/>
        </w:numPr>
        <w:pStyle w:val="Compact"/>
      </w:pPr>
      <w:r>
        <w:t xml:space="preserve">☐ Confirm the symposium</w:t>
      </w:r>
      <w:r>
        <w:t xml:space="preserve"> </w:t>
      </w:r>
      <w:r>
        <w:rPr>
          <w:bCs/>
          <w:b/>
        </w:rPr>
        <w:t xml:space="preserve">year/date</w:t>
      </w:r>
      <w:r>
        <w:t xml:space="preserve"> </w:t>
      </w:r>
      <w:r>
        <w:t xml:space="preserve">in the header</w:t>
      </w:r>
    </w:p>
    <w:p>
      <w:pPr>
        <w:numPr>
          <w:ilvl w:val="0"/>
          <w:numId w:val="1006"/>
        </w:numPr>
        <w:pStyle w:val="Compact"/>
      </w:pPr>
      <w:r>
        <w:t xml:space="preserve">☐ Decide whether to keep the</w:t>
      </w:r>
      <w:r>
        <w:t xml:space="preserve"> </w:t>
      </w:r>
      <w:r>
        <w:rPr>
          <w:bCs/>
          <w:b/>
        </w:rPr>
        <w:t xml:space="preserve">† footnote</w:t>
      </w:r>
      <w:r>
        <w:t xml:space="preserve"> </w:t>
      </w:r>
      <w:r>
        <w:t xml:space="preserve">convention distinguishing project modeling from peer-reviewed figures (recommended — it is the kind of care agency staff notice)</w:t>
      </w:r>
    </w:p>
    <w:p>
      <w:pPr>
        <w:numPr>
          <w:ilvl w:val="0"/>
          <w:numId w:val="1006"/>
        </w:numPr>
        <w:pStyle w:val="Compact"/>
      </w:pPr>
      <w:r>
        <w:t xml:space="preserve">☐ Proofread the pathway table — it is the densest text on the poster</w:t>
      </w:r>
    </w:p>
    <w:p>
      <w:pPr>
        <w:numPr>
          <w:ilvl w:val="0"/>
          <w:numId w:val="1006"/>
        </w:numPr>
        <w:pStyle w:val="Compact"/>
      </w:pPr>
      <w:r>
        <w:t xml:space="preserve">☐ Print a</w:t>
      </w:r>
      <w:r>
        <w:t xml:space="preserve"> </w:t>
      </w:r>
      <w:r>
        <w:rPr>
          <w:bCs/>
          <w:b/>
        </w:rPr>
        <w:t xml:space="preserve">letter-size test page</w:t>
      </w:r>
      <w:r>
        <w:t xml:space="preserve"> </w:t>
      </w:r>
      <w:r>
        <w:t xml:space="preserve">and check that the smallest text (references, 10.5 pt) is still legible when scaled up</w:t>
      </w:r>
    </w:p>
    <w:p>
      <w:pPr>
        <w:numPr>
          <w:ilvl w:val="0"/>
          <w:numId w:val="1006"/>
        </w:numPr>
        <w:pStyle w:val="Compact"/>
      </w:pPr>
      <w:r>
        <w:t xml:space="preserve">☐ Optional: add a</w:t>
      </w:r>
      <w:r>
        <w:t xml:space="preserve"> </w:t>
      </w:r>
      <w:r>
        <w:rPr>
          <w:bCs/>
          <w:b/>
        </w:rPr>
        <w:t xml:space="preserve">photo strip</w:t>
      </w:r>
      <w:r>
        <w:t xml:space="preserve"> </w:t>
      </w:r>
      <w:r>
        <w:t xml:space="preserve">(Willis Wharf clam boats, an eelgrass meadow, a student sampling) if you want visual warmth — the current design is data-forward</w:t>
      </w:r>
    </w:p>
    <w:p>
      <w:r>
        <w:pict>
          <v:rect style="width:0;height:1.5pt" o:hralign="center" o:hrstd="t" o:hr="t"/>
        </w:pict>
      </w:r>
    </w:p>
    <w:bookmarkEnd w:id="37"/>
    <w:bookmarkStart w:id="38" w:name="source-notes-and-verification-status"/>
    <w:p>
      <w:pPr>
        <w:pStyle w:val="Heading2"/>
      </w:pPr>
      <w:r>
        <w:t xml:space="preserve">11. Source notes and verification status</w:t>
      </w:r>
    </w:p>
    <w:p>
      <w:pPr>
        <w:pStyle w:val="FirstParagraph"/>
      </w:pPr>
      <w:r>
        <w:rPr>
          <w:bCs/>
          <w:b/>
        </w:rPr>
        <w:t xml:space="preserve">Independently verified for this poster (June/July 2026 web verification):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w:t>
            </w:r>
          </w:p>
        </w:tc>
        <w:tc>
          <w:tcPr/>
          <w:p>
            <w:pPr>
              <w:pStyle w:val="Compact"/>
              <w:jc w:val="left"/>
            </w:pPr>
            <w:r>
              <w:t xml:space="preserve">Status</w:t>
            </w:r>
          </w:p>
        </w:tc>
        <w:tc>
          <w:tcPr/>
          <w:p>
            <w:pPr>
              <w:pStyle w:val="Compact"/>
              <w:jc w:val="left"/>
            </w:pPr>
            <w:r>
              <w:t xml:space="preserve">Source</w:t>
            </w:r>
          </w:p>
        </w:tc>
      </w:tr>
      <w:tr>
        <w:tc>
          <w:tcPr/>
          <w:p>
            <w:pPr>
              <w:pStyle w:val="Compact"/>
              <w:jc w:val="left"/>
            </w:pPr>
            <w:r>
              <w:t xml:space="preserve">3,612 ha (~8,900 acres) eelgrass restored; 70+ million seeds since 1999</w:t>
            </w:r>
          </w:p>
        </w:tc>
        <w:tc>
          <w:tcPr/>
          <w:p>
            <w:pPr>
              <w:pStyle w:val="Compact"/>
              <w:jc w:val="left"/>
            </w:pPr>
            <w:r>
              <w:t xml:space="preserve">✅ Verified</w:t>
            </w:r>
          </w:p>
        </w:tc>
        <w:tc>
          <w:tcPr/>
          <w:p>
            <w:pPr>
              <w:pStyle w:val="Compact"/>
              <w:jc w:val="left"/>
            </w:pPr>
            <w:r>
              <w:t xml:space="preserve">Orth et al. 2020,</w:t>
            </w:r>
            <w:r>
              <w:t xml:space="preserve"> </w:t>
            </w:r>
            <w:r>
              <w:rPr>
                <w:iCs/>
                <w:i/>
              </w:rPr>
              <w:t xml:space="preserve">Science Advances</w:t>
            </w:r>
            <w:r>
              <w:t xml:space="preserve"> </w:t>
            </w:r>
            <w:r>
              <w:t xml:space="preserve">6:eabc6434; VIMS</w:t>
            </w:r>
          </w:p>
        </w:tc>
      </w:tr>
      <w:tr>
        <w:tc>
          <w:tcPr/>
          <w:p>
            <w:pPr>
              <w:pStyle w:val="Compact"/>
              <w:jc w:val="left"/>
            </w:pPr>
            <w:r>
              <w:t xml:space="preserve">Largest successful seagrass restoration in the world; largest eelgrass habitat NC→Long Island Sound</w:t>
            </w:r>
          </w:p>
        </w:tc>
        <w:tc>
          <w:tcPr/>
          <w:p>
            <w:pPr>
              <w:pStyle w:val="Compact"/>
              <w:jc w:val="left"/>
            </w:pPr>
            <w:r>
              <w:t xml:space="preserve">✅ Verified</w:t>
            </w:r>
          </w:p>
        </w:tc>
        <w:tc>
          <w:tcPr/>
          <w:p>
            <w:pPr>
              <w:pStyle w:val="Compact"/>
              <w:jc w:val="left"/>
            </w:pPr>
            <w:r>
              <w:t xml:space="preserve">VIMS / UVA / Science Advances coverage</w:t>
            </w:r>
          </w:p>
        </w:tc>
      </w:tr>
      <w:tr>
        <w:tc>
          <w:tcPr/>
          <w:p>
            <w:pPr>
              <w:pStyle w:val="Compact"/>
              <w:jc w:val="left"/>
            </w:pPr>
            <w:r>
              <w:t xml:space="preserve">$81M direct sales 2024; +52% from $53M in 2018; 700+ jobs (from ~480)</w:t>
            </w:r>
          </w:p>
        </w:tc>
        <w:tc>
          <w:tcPr/>
          <w:p>
            <w:pPr>
              <w:pStyle w:val="Compact"/>
              <w:jc w:val="left"/>
            </w:pPr>
            <w:r>
              <w:t xml:space="preserve">✅ Verified</w:t>
            </w:r>
          </w:p>
        </w:tc>
        <w:tc>
          <w:tcPr/>
          <w:p>
            <w:pPr>
              <w:pStyle w:val="Compact"/>
              <w:jc w:val="left"/>
            </w:pPr>
            <w:r>
              <w:t xml:space="preserve">Hudson/VIMS</w:t>
            </w:r>
            <w:r>
              <w:t xml:space="preserve"> </w:t>
            </w:r>
            <w:r>
              <w:rPr>
                <w:iCs/>
                <w:i/>
              </w:rPr>
              <w:t xml:space="preserve">Situation &amp; Outlook Report</w:t>
            </w:r>
            <w:r>
              <w:t xml:space="preserve">, 2025</w:t>
            </w:r>
          </w:p>
        </w:tc>
      </w:tr>
      <w:tr>
        <w:tc>
          <w:tcPr/>
          <w:p>
            <w:pPr>
              <w:pStyle w:val="Compact"/>
              <w:jc w:val="left"/>
            </w:pPr>
            <w:r>
              <w:t xml:space="preserve">~3 ft separation required between drainfield and water table</w:t>
            </w:r>
          </w:p>
        </w:tc>
        <w:tc>
          <w:tcPr/>
          <w:p>
            <w:pPr>
              <w:pStyle w:val="Compact"/>
              <w:jc w:val="left"/>
            </w:pPr>
            <w:r>
              <w:t xml:space="preserve">✅ Verified</w:t>
            </w:r>
          </w:p>
        </w:tc>
        <w:tc>
          <w:tcPr/>
          <w:p>
            <w:pPr>
              <w:pStyle w:val="Compact"/>
              <w:jc w:val="left"/>
            </w:pPr>
            <w:r>
              <w:t xml:space="preserve">Multiple; standard onsite-sewage design criterion</w:t>
            </w:r>
          </w:p>
        </w:tc>
      </w:tr>
      <w:tr>
        <w:tc>
          <w:tcPr/>
          <w:p>
            <w:pPr>
              <w:pStyle w:val="Compact"/>
              <w:jc w:val="left"/>
            </w:pPr>
            <w:r>
              <w:t xml:space="preserve">EPA sole-source aquifer designation, 1997</w:t>
            </w:r>
          </w:p>
        </w:tc>
        <w:tc>
          <w:tcPr/>
          <w:p>
            <w:pPr>
              <w:pStyle w:val="Compact"/>
              <w:jc w:val="left"/>
            </w:pPr>
            <w:r>
              <w:t xml:space="preserve">✅ Verified</w:t>
            </w:r>
          </w:p>
        </w:tc>
        <w:tc>
          <w:tcPr/>
          <w:p>
            <w:pPr>
              <w:pStyle w:val="Compact"/>
              <w:jc w:val="left"/>
            </w:pPr>
            <w:r>
              <w:t xml:space="preserve">Federal Register 62 FR 11562</w:t>
            </w:r>
          </w:p>
        </w:tc>
      </w:tr>
      <w:tr>
        <w:tc>
          <w:tcPr/>
          <w:p>
            <w:pPr>
              <w:pStyle w:val="Compact"/>
              <w:jc w:val="left"/>
            </w:pPr>
            <w:r>
              <w:t xml:space="preserve">~7% → ~37% fecal indicator exceedance dry vs. post-rain</w:t>
            </w:r>
          </w:p>
        </w:tc>
        <w:tc>
          <w:tcPr/>
          <w:p>
            <w:pPr>
              <w:pStyle w:val="Compact"/>
              <w:jc w:val="left"/>
            </w:pPr>
            <w:r>
              <w:t xml:space="preserve">✅ Verified</w:t>
            </w:r>
          </w:p>
        </w:tc>
        <w:tc>
          <w:tcPr/>
          <w:p>
            <w:pPr>
              <w:pStyle w:val="Compact"/>
              <w:jc w:val="left"/>
            </w:pPr>
            <w:r>
              <w:t xml:space="preserve">Zimmer-Faust et al. 2018,</w:t>
            </w:r>
            <w:r>
              <w:t xml:space="preserve"> </w:t>
            </w:r>
            <w:r>
              <w:rPr>
                <w:iCs/>
                <w:i/>
              </w:rPr>
              <w:t xml:space="preserve">Water Research</w:t>
            </w:r>
            <w:r>
              <w:t xml:space="preserve"> </w:t>
            </w:r>
            <w:r>
              <w:t xml:space="preserve">139:252–262</w:t>
            </w:r>
          </w:p>
        </w:tc>
      </w:tr>
    </w:tbl>
    <w:p>
      <w:pPr>
        <w:pStyle w:val="BodyText"/>
      </w:pPr>
      <w:r>
        <w:rPr>
          <w:bCs/>
          <w:b/>
        </w:rPr>
        <w:t xml:space="preserve">Project-internal — cite as project modeling, not peer review (marked † on poster):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Note</w:t>
            </w:r>
          </w:p>
        </w:tc>
      </w:tr>
      <w:tr>
        <w:tc>
          <w:tcPr/>
          <w:p>
            <w:pPr>
              <w:pStyle w:val="Compact"/>
              <w:jc w:val="left"/>
            </w:pPr>
            <w:r>
              <w:t xml:space="preserve">7,800 systems at risk by 2040</w:t>
            </w:r>
          </w:p>
        </w:tc>
        <w:tc>
          <w:tcPr/>
          <w:p>
            <w:pPr>
              <w:pStyle w:val="Compact"/>
              <w:jc w:val="left"/>
            </w:pPr>
            <w:r>
              <w:t xml:space="preserve">ESVA Climate Equity StoryMap (2025); Hesamfar et al. (in review)</w:t>
            </w:r>
          </w:p>
        </w:tc>
      </w:tr>
      <w:tr>
        <w:tc>
          <w:tcPr/>
          <w:p>
            <w:pPr>
              <w:pStyle w:val="Compact"/>
              <w:jc w:val="left"/>
            </w:pPr>
            <w:r>
              <w:t xml:space="preserve">$156M replacement cost</w:t>
            </w:r>
          </w:p>
        </w:tc>
        <w:tc>
          <w:tcPr/>
          <w:p>
            <w:pPr>
              <w:pStyle w:val="Compact"/>
              <w:jc w:val="left"/>
            </w:pPr>
            <w:r>
              <w:t xml:space="preserve">Same source; derived from ~$20K/system</w:t>
            </w:r>
          </w:p>
        </w:tc>
      </w:tr>
      <w:tr>
        <w:tc>
          <w:tcPr/>
          <w:p>
            <w:pPr>
              <w:pStyle w:val="Compact"/>
              <w:jc w:val="left"/>
            </w:pPr>
            <w:r>
              <w:t xml:space="preserve">~80% of Accomack creek baseflow is groundwater</w:t>
            </w:r>
          </w:p>
        </w:tc>
        <w:tc>
          <w:tcPr/>
          <w:p>
            <w:pPr>
              <w:pStyle w:val="Compact"/>
              <w:jc w:val="left"/>
            </w:pPr>
            <w:r>
              <w:t xml:space="preserve">A-NPDC groundwater factsheet (2022) + Richardson 1994 USGS WSP 2401</w:t>
            </w:r>
          </w:p>
        </w:tc>
      </w:tr>
    </w:tbl>
    <w:p>
      <w:pPr>
        <w:pStyle w:val="BodyText"/>
      </w:pPr>
      <w:r>
        <w:rPr>
          <w:bCs/>
          <w:b/>
        </w:rPr>
        <w:t xml:space="preserve">Deliberately NOT used on this poster:</w:t>
      </w:r>
    </w:p>
    <w:p>
      <w:pPr>
        <w:numPr>
          <w:ilvl w:val="0"/>
          <w:numId w:val="1007"/>
        </w:numPr>
        <w:pStyle w:val="Compact"/>
      </w:pPr>
      <w:r>
        <w:rPr>
          <w:bCs/>
          <w:b/>
        </w:rPr>
        <w:t xml:space="preserve">Bay-wide</w:t>
      </w:r>
      <w:r>
        <w:rPr>
          <w:bCs/>
          <w:b/>
        </w:rPr>
        <w:t xml:space="preserve"> </w:t>
      </w:r>
      <w:r>
        <w:rPr>
          <w:bCs/>
          <w:b/>
        </w:rPr>
        <w:t xml:space="preserve">“</w:t>
      </w:r>
      <w:r>
        <w:rPr>
          <w:bCs/>
          <w:b/>
        </w:rPr>
        <w:t xml:space="preserve">% of nitrogen from septic.</w:t>
      </w:r>
      <w:r>
        <w:rPr>
          <w:bCs/>
          <w:b/>
        </w:rPr>
        <w:t xml:space="preserve">”</w:t>
      </w:r>
      <w:r>
        <w:t xml:space="preserve"> </w:t>
      </w:r>
      <w:r>
        <w:t xml:space="preserve">This figure is unstable across sources and model versions (CBF reports ~7.8M lb/yr; other sources ~12M lb/yr; percentages range ~3–6%). Our own Pathway 3a analysis concluded that the defensible ESVA story is that</w:t>
      </w:r>
      <w:r>
        <w:t xml:space="preserve"> </w:t>
      </w:r>
      <w:r>
        <w:rPr>
          <w:iCs/>
          <w:i/>
        </w:rPr>
        <w:t xml:space="preserve">local sub-basin</w:t>
      </w:r>
      <w:r>
        <w:t xml:space="preserve"> </w:t>
      </w:r>
      <w:r>
        <w:t xml:space="preserve">contributions far exceed any watershed average — which is what the poster says instead.</w:t>
      </w:r>
    </w:p>
    <w:p>
      <w:pPr>
        <w:numPr>
          <w:ilvl w:val="0"/>
          <w:numId w:val="1007"/>
        </w:numPr>
        <w:pStyle w:val="Compact"/>
      </w:pPr>
      <w:r>
        <w:rPr>
          <w:bCs/>
          <w:b/>
        </w:rPr>
        <w:t xml:space="preserve">Human health content</w:t>
      </w:r>
      <w:r>
        <w:t xml:space="preserve"> </w:t>
      </w:r>
      <w:r>
        <w:t xml:space="preserve">(nitrate–cancer, blue baby syndrome, PFAS). Covered in a separate outreach track; this poster is scoped to ecological effects.</w:t>
      </w:r>
    </w:p>
    <w:p>
      <w:pPr>
        <w:numPr>
          <w:ilvl w:val="0"/>
          <w:numId w:val="1007"/>
        </w:numPr>
        <w:pStyle w:val="Compact"/>
      </w:pPr>
      <w:r>
        <w:rPr>
          <w:bCs/>
          <w:b/>
        </w:rPr>
        <w:t xml:space="preserve">Speculative species links</w:t>
      </w:r>
      <w:r>
        <w:t xml:space="preserve"> </w:t>
      </w:r>
      <w:r>
        <w:t xml:space="preserve">(horseshoe crab, red knot, piping plover, Chincoteague ponies). Our synthesis labeled these SPECULATIVE; including them on a public poster would overclaim.</w:t>
      </w:r>
    </w:p>
    <w:p>
      <w:r>
        <w:pict>
          <v:rect style="width:0;height:1.5pt" o:hralign="center" o:hrstd="t" o:hr="t"/>
        </w:pict>
      </w:r>
    </w:p>
    <w:bookmarkEnd w:id="38"/>
    <w:bookmarkStart w:id="39" w:name="Xd29de46890c893cb2f1679a36f20912deaec5bc"/>
    <w:p>
      <w:pPr>
        <w:pStyle w:val="Heading2"/>
      </w:pPr>
      <w:r>
        <w:t xml:space="preserve">12. Correction made during poster preparation</w:t>
      </w:r>
    </w:p>
    <w:p>
      <w:pPr>
        <w:pStyle w:val="FirstParagraph"/>
      </w:pPr>
      <w:r>
        <w:t xml:space="preserve">Earlier drafts in this repository stated the seagrass restoration covered</w:t>
      </w:r>
      <w:r>
        <w:t xml:space="preserve"> </w:t>
      </w:r>
      <w:r>
        <w:t xml:space="preserve">“</w:t>
      </w:r>
      <w:r>
        <w:t xml:space="preserve">~4,000–4,800 ha (~10,000 acres) as of 2024–2025.</w:t>
      </w:r>
      <w:r>
        <w:t xml:space="preserve">”</w:t>
      </w:r>
      <w:r>
        <w:t xml:space="preserve"> </w:t>
      </w:r>
      <w:r>
        <w:t xml:space="preserve">That figure was an</w:t>
      </w:r>
      <w:r>
        <w:t xml:space="preserve"> </w:t>
      </w:r>
      <w:r>
        <w:rPr>
          <w:bCs/>
          <w:b/>
        </w:rPr>
        <w:t xml:space="preserve">unsourced extrapolation</w:t>
      </w:r>
      <w:r>
        <w:t xml:space="preserve"> </w:t>
      </w:r>
      <w:r>
        <w:t xml:space="preserve">and has been corrected throughout to the published</w:t>
      </w:r>
      <w:r>
        <w:t xml:space="preserve"> </w:t>
      </w:r>
      <w:r>
        <w:rPr>
          <w:bCs/>
          <w:b/>
        </w:rPr>
        <w:t xml:space="preserve">3,612 ha</w:t>
      </w:r>
      <w:r>
        <w:t xml:space="preserve"> </w:t>
      </w:r>
      <w:r>
        <w:t xml:space="preserve">from Orth et al. (2020), which reports the 2018 census. Extent has continued to expand since, but no peer-reviewed updated total was located — so the published figure is used.</w:t>
      </w:r>
    </w:p>
    <w:p>
      <w:pPr>
        <w:pStyle w:val="BodyText"/>
      </w:pPr>
      <w:r>
        <w:t xml:space="preserve">If you can obtain a current VIMS/TNC census figure before the symposium, it would strengthen the poster; contact the VIMS seagrass monitoring program or The Nature Conservancy Virginia Coast Reserve.</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2026-07-27T17:25:19Z</dcterms:created>
  <dcterms:modified xsi:type="dcterms:W3CDTF">2026-07-27T17:25:19Z</dcterms:modified>
</cp:coreProperties>
</file>

<file path=docProps/custom.xml><?xml version="1.0" encoding="utf-8"?>
<Properties xmlns="http://schemas.openxmlformats.org/officeDocument/2006/custom-properties" xmlns:vt="http://schemas.openxmlformats.org/officeDocument/2006/docPropsVTypes"/>
</file>