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65c360aff461ea689485b51b4e98f4acb870a5"/>
    <w:p>
      <w:pPr>
        <w:pStyle w:val="Heading1"/>
      </w:pPr>
      <w:r>
        <w:t xml:space="preserve">ESVA Summer Symposium Poster — Content &amp; Layout Specification</w:t>
      </w:r>
    </w:p>
    <w:p>
      <w:pPr>
        <w:pStyle w:val="FirstParagraph"/>
      </w:pPr>
      <w:r>
        <w:rPr>
          <w:bCs/>
          <w:b/>
        </w:rPr>
        <w:t xml:space="preserve">Companion to</w:t>
      </w:r>
      <w:r>
        <w:rPr>
          <w:bCs/>
          <w:b/>
        </w:rPr>
        <w:t xml:space="preserve"> </w:t>
      </w:r>
      <w:r>
        <w:rPr>
          <w:rStyle w:val="VerbatimChar"/>
          <w:bCs/>
          <w:b/>
        </w:rPr>
        <w:t xml:space="preserve">ESVA_Symposium_Poster.html</w:t>
      </w:r>
      <w:r>
        <w:rPr>
          <w:bCs/>
          <w:b/>
        </w:rPr>
        <w:t xml:space="preserve">.</w:t>
      </w:r>
      <w:r>
        <w:t xml:space="preserve"> </w:t>
      </w:r>
      <w:r>
        <w:t xml:space="preserve">Use this to rebuild the poster in PowerPoint, Illustrator, or Canva, or to edit text before printing from the HTML.</w:t>
      </w:r>
    </w:p>
    <w:p>
      <w:pPr>
        <w:pStyle w:val="BodyText"/>
      </w:pPr>
      <w:r>
        <w:rPr>
          <w:bCs/>
          <w:b/>
        </w:rPr>
        <w:t xml:space="preserve">Format:</w:t>
      </w:r>
      <w:r>
        <w:t xml:space="preserve"> </w:t>
      </w:r>
      <w:r>
        <w:t xml:space="preserve">36 in wide × 24 in tall (landscape)</w:t>
      </w:r>
      <w:r>
        <w:t xml:space="preserve"> </w:t>
      </w:r>
      <w:r>
        <w:rPr>
          <w:bCs/>
          <w:b/>
        </w:rPr>
        <w:t xml:space="preserve">Audience:</w:t>
      </w:r>
      <w:r>
        <w:t xml:space="preserve"> </w:t>
      </w:r>
      <w:r>
        <w:t xml:space="preserve">Mixed — general public, agency staff, potential research partners</w:t>
      </w:r>
      <w:r>
        <w:t xml:space="preserve"> </w:t>
      </w:r>
      <w:r>
        <w:rPr>
          <w:bCs/>
          <w:b/>
        </w:rPr>
        <w:t xml:space="preserve">Emphasis:</w:t>
      </w:r>
      <w:r>
        <w:t xml:space="preserve"> </w:t>
      </w:r>
      <w:r>
        <w:t xml:space="preserve">Scope of problem → mechanism → ecological consequences → what’s at stake → gaps, implications, partnerships</w:t>
      </w:r>
    </w:p>
    <w:p>
      <w:r>
        <w:pict>
          <v:rect style="width:0;height:1.5pt" o:hralign="center" o:hrstd="t" o:hr="t"/>
        </w:pict>
      </w:r>
    </w:p>
    <w:bookmarkStart w:id="23" w:name="design-specification"/>
    <w:p>
      <w:pPr>
        <w:pStyle w:val="Heading2"/>
      </w:pPr>
      <w:r>
        <w:t xml:space="preserve">1. Design specification</w:t>
      </w:r>
    </w:p>
    <w:bookmarkStart w:id="20" w:name="canvas-and-grid"/>
    <w:p>
      <w:pPr>
        <w:pStyle w:val="Heading3"/>
      </w:pPr>
      <w:r>
        <w:t xml:space="preserve">Canvas and grid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Spec</w:t>
            </w:r>
          </w:p>
        </w:tc>
      </w:tr>
      <w:tr>
        <w:tc>
          <w:tcPr/>
          <w:p>
            <w:pPr>
              <w:pStyle w:val="Compact"/>
              <w:jc w:val="left"/>
            </w:pPr>
            <w:r>
              <w:t xml:space="preserve">Canvas</w:t>
            </w:r>
          </w:p>
        </w:tc>
        <w:tc>
          <w:tcPr/>
          <w:p>
            <w:pPr>
              <w:pStyle w:val="Compact"/>
              <w:jc w:val="left"/>
            </w:pPr>
            <w:r>
              <w:t xml:space="preserve">36 in × 24 in, landscape</w:t>
            </w:r>
          </w:p>
        </w:tc>
      </w:tr>
      <w:tr>
        <w:tc>
          <w:tcPr/>
          <w:p>
            <w:pPr>
              <w:pStyle w:val="Compact"/>
              <w:jc w:val="left"/>
            </w:pPr>
            <w:r>
              <w:t xml:space="preserve">Outer margin</w:t>
            </w:r>
          </w:p>
        </w:tc>
        <w:tc>
          <w:tcPr/>
          <w:p>
            <w:pPr>
              <w:pStyle w:val="Compact"/>
              <w:jc w:val="left"/>
            </w:pPr>
            <w:r>
              <w:t xml:space="preserve">0.30 in</w:t>
            </w:r>
          </w:p>
        </w:tc>
      </w:tr>
      <w:tr>
        <w:tc>
          <w:tcPr/>
          <w:p>
            <w:pPr>
              <w:pStyle w:val="Compact"/>
              <w:jc w:val="left"/>
            </w:pPr>
            <w:r>
              <w:t xml:space="preserve">Gutter between blocks</w:t>
            </w:r>
          </w:p>
        </w:tc>
        <w:tc>
          <w:tcPr/>
          <w:p>
            <w:pPr>
              <w:pStyle w:val="Compact"/>
              <w:jc w:val="left"/>
            </w:pPr>
            <w:r>
              <w:t xml:space="preserve">0.20 in</w:t>
            </w:r>
          </w:p>
        </w:tc>
      </w:tr>
      <w:tr>
        <w:tc>
          <w:tcPr/>
          <w:p>
            <w:pPr>
              <w:pStyle w:val="Compact"/>
              <w:jc w:val="left"/>
            </w:pPr>
            <w:r>
              <w:t xml:space="preserve">Header band</w:t>
            </w:r>
          </w:p>
        </w:tc>
        <w:tc>
          <w:tcPr/>
          <w:p>
            <w:pPr>
              <w:pStyle w:val="Compact"/>
              <w:jc w:val="left"/>
            </w:pPr>
            <w:r>
              <w:t xml:space="preserve">Full width, ~3.2 in tall</w:t>
            </w:r>
          </w:p>
        </w:tc>
      </w:tr>
      <w:tr>
        <w:tc>
          <w:tcPr/>
          <w:p>
            <w:pPr>
              <w:pStyle w:val="Compact"/>
              <w:jc w:val="left"/>
            </w:pPr>
            <w:r>
              <w:t xml:space="preserve">Body</w:t>
            </w:r>
          </w:p>
        </w:tc>
        <w:tc>
          <w:tcPr/>
          <w:p>
            <w:pPr>
              <w:pStyle w:val="Compact"/>
              <w:jc w:val="left"/>
            </w:pPr>
            <w:r>
              <w:t xml:space="preserve">4 equal columns, ~8.5 in wide each, ~13 in tall</w:t>
            </w:r>
          </w:p>
        </w:tc>
      </w:tr>
      <w:tr>
        <w:tc>
          <w:tcPr/>
          <w:p>
            <w:pPr>
              <w:pStyle w:val="Compact"/>
              <w:jc w:val="left"/>
            </w:pPr>
            <w:r>
              <w:t xml:space="preserve">Gaps/implications band</w:t>
            </w:r>
          </w:p>
        </w:tc>
        <w:tc>
          <w:tcPr/>
          <w:p>
            <w:pPr>
              <w:pStyle w:val="Compact"/>
              <w:jc w:val="left"/>
            </w:pPr>
            <w:r>
              <w:t xml:space="preserve">Full width, ~4.3 in tall, 3 sub-columns (1.55 : 1 : 1)</w:t>
            </w:r>
          </w:p>
        </w:tc>
      </w:tr>
      <w:tr>
        <w:tc>
          <w:tcPr/>
          <w:p>
            <w:pPr>
              <w:pStyle w:val="Compact"/>
              <w:jc w:val="left"/>
            </w:pPr>
            <w:r>
              <w:t xml:space="preserve">Footer</w:t>
            </w:r>
          </w:p>
        </w:tc>
        <w:tc>
          <w:tcPr/>
          <w:p>
            <w:pPr>
              <w:pStyle w:val="Compact"/>
              <w:jc w:val="left"/>
            </w:pPr>
            <w:r>
              <w:t xml:space="preserve">Full width, ~2 in tall, 2 sub-columns (2.6 : 1)</w:t>
            </w:r>
          </w:p>
        </w:tc>
      </w:tr>
    </w:tbl>
    <w:bookmarkEnd w:id="20"/>
    <w:bookmarkStart w:id="21" w:name="color-palette"/>
    <w:p>
      <w:pPr>
        <w:pStyle w:val="Heading3"/>
      </w:pPr>
      <w:r>
        <w:t xml:space="preserve">Color palette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Hex</w:t>
            </w:r>
          </w:p>
        </w:tc>
        <w:tc>
          <w:tcPr/>
          <w:p>
            <w:pPr>
              <w:pStyle w:val="Compact"/>
              <w:jc w:val="left"/>
            </w:pPr>
            <w:r>
              <w:t xml:space="preserve">Use</w:t>
            </w:r>
          </w:p>
        </w:tc>
      </w:tr>
      <w:tr>
        <w:tc>
          <w:tcPr/>
          <w:p>
            <w:pPr>
              <w:pStyle w:val="Compact"/>
              <w:jc w:val="left"/>
            </w:pPr>
            <w:r>
              <w:t xml:space="preserve">Deep bay blue</w:t>
            </w:r>
          </w:p>
        </w:tc>
        <w:tc>
          <w:tcPr/>
          <w:p>
            <w:pPr>
              <w:pStyle w:val="Compact"/>
              <w:jc w:val="left"/>
            </w:pPr>
            <w:r>
              <w:rPr>
                <w:rStyle w:val="VerbatimChar"/>
              </w:rPr>
              <w:t xml:space="preserve">#0b3c5d</w:t>
            </w:r>
          </w:p>
        </w:tc>
        <w:tc>
          <w:tcPr/>
          <w:p>
            <w:pPr>
              <w:pStyle w:val="Compact"/>
              <w:jc w:val="left"/>
            </w:pPr>
            <w:r>
              <w:t xml:space="preserve">Headings, header gradient start, callout background</w:t>
            </w:r>
          </w:p>
        </w:tc>
      </w:tr>
      <w:tr>
        <w:tc>
          <w:tcPr/>
          <w:p>
            <w:pPr>
              <w:pStyle w:val="Compact"/>
              <w:jc w:val="left"/>
            </w:pPr>
            <w:r>
              <w:t xml:space="preserve">Mid water</w:t>
            </w:r>
          </w:p>
        </w:tc>
        <w:tc>
          <w:tcPr/>
          <w:p>
            <w:pPr>
              <w:pStyle w:val="Compact"/>
              <w:jc w:val="left"/>
            </w:pPr>
            <w:r>
              <w:rPr>
                <w:rStyle w:val="VerbatimChar"/>
              </w:rPr>
              <w:t xml:space="preserve">#1d6a8c</w:t>
            </w:r>
          </w:p>
        </w:tc>
        <w:tc>
          <w:tcPr/>
          <w:p>
            <w:pPr>
              <w:pStyle w:val="Compact"/>
              <w:jc w:val="left"/>
            </w:pPr>
            <w:r>
              <w:t xml:space="preserve">Subheadings, column 2 accent</w:t>
            </w:r>
          </w:p>
        </w:tc>
      </w:tr>
      <w:tr>
        <w:tc>
          <w:tcPr/>
          <w:p>
            <w:pPr>
              <w:pStyle w:val="Compact"/>
              <w:jc w:val="left"/>
            </w:pPr>
            <w:r>
              <w:t xml:space="preserve">Seagrass teal</w:t>
            </w:r>
          </w:p>
        </w:tc>
        <w:tc>
          <w:tcPr/>
          <w:p>
            <w:pPr>
              <w:pStyle w:val="Compact"/>
              <w:jc w:val="left"/>
            </w:pPr>
            <w:r>
              <w:rPr>
                <w:rStyle w:val="VerbatimChar"/>
              </w:rPr>
              <w:t xml:space="preserve">#2e8b83</w:t>
            </w:r>
          </w:p>
        </w:tc>
        <w:tc>
          <w:tcPr/>
          <w:p>
            <w:pPr>
              <w:pStyle w:val="Compact"/>
              <w:jc w:val="left"/>
            </w:pPr>
            <w:r>
              <w:t xml:space="preserve">Column 3 accent, table headers, ecological stats</w:t>
            </w:r>
          </w:p>
        </w:tc>
      </w:tr>
      <w:tr>
        <w:tc>
          <w:tcPr/>
          <w:p>
            <w:pPr>
              <w:pStyle w:val="Compact"/>
              <w:jc w:val="left"/>
            </w:pPr>
            <w:r>
              <w:t xml:space="preserve">Marsh green</w:t>
            </w:r>
          </w:p>
        </w:tc>
        <w:tc>
          <w:tcPr/>
          <w:p>
            <w:pPr>
              <w:pStyle w:val="Compact"/>
              <w:jc w:val="left"/>
            </w:pPr>
            <w:r>
              <w:rPr>
                <w:rStyle w:val="VerbatimChar"/>
              </w:rPr>
              <w:t xml:space="preserve">#4a7c4e</w:t>
            </w:r>
          </w:p>
        </w:tc>
        <w:tc>
          <w:tcPr/>
          <w:p>
            <w:pPr>
              <w:pStyle w:val="Compact"/>
              <w:jc w:val="left"/>
            </w:pPr>
            <w:r>
              <w:t xml:space="preserve">Column 4 accent, economic stats</w:t>
            </w:r>
          </w:p>
        </w:tc>
      </w:tr>
      <w:tr>
        <w:tc>
          <w:tcPr/>
          <w:p>
            <w:pPr>
              <w:pStyle w:val="Compact"/>
              <w:jc w:val="left"/>
            </w:pPr>
            <w:r>
              <w:t xml:space="preserve">Rust</w:t>
            </w:r>
          </w:p>
        </w:tc>
        <w:tc>
          <w:tcPr/>
          <w:p>
            <w:pPr>
              <w:pStyle w:val="Compact"/>
              <w:jc w:val="left"/>
            </w:pPr>
            <w:r>
              <w:rPr>
                <w:rStyle w:val="VerbatimChar"/>
              </w:rPr>
              <w:t xml:space="preserve">#a8452a</w:t>
            </w:r>
          </w:p>
        </w:tc>
        <w:tc>
          <w:tcPr/>
          <w:p>
            <w:pPr>
              <w:pStyle w:val="Compact"/>
              <w:jc w:val="left"/>
            </w:pPr>
            <w:r>
              <w:t xml:space="preserve">Risk/alert stats, column 1 accent,</w:t>
            </w:r>
            <w:r>
              <w:t xml:space="preserve"> </w:t>
            </w:r>
            <w:r>
              <w:t xml:space="preserve">“</w:t>
            </w:r>
            <w:r>
              <w:t xml:space="preserve">3 ft</w:t>
            </w:r>
            <w:r>
              <w:t xml:space="preserve">”</w:t>
            </w:r>
            <w:r>
              <w:t xml:space="preserve"> </w:t>
            </w:r>
            <w:r>
              <w:t xml:space="preserve">annotation</w:t>
            </w:r>
          </w:p>
        </w:tc>
      </w:tr>
      <w:tr>
        <w:tc>
          <w:tcPr/>
          <w:p>
            <w:pPr>
              <w:pStyle w:val="Compact"/>
              <w:jc w:val="left"/>
            </w:pPr>
            <w:r>
              <w:t xml:space="preserve">Amber</w:t>
            </w:r>
          </w:p>
        </w:tc>
        <w:tc>
          <w:tcPr/>
          <w:p>
            <w:pPr>
              <w:pStyle w:val="Compact"/>
              <w:jc w:val="left"/>
            </w:pPr>
            <w:r>
              <w:rPr>
                <w:rStyle w:val="VerbatimChar"/>
              </w:rPr>
              <w:t xml:space="preserve">#c88a2e</w:t>
            </w:r>
          </w:p>
        </w:tc>
        <w:tc>
          <w:tcPr/>
          <w:p>
            <w:pPr>
              <w:pStyle w:val="Compact"/>
              <w:jc w:val="left"/>
            </w:pPr>
            <w:r>
              <w:t xml:space="preserve">Data-gaps band accent, key-finding boxes</w:t>
            </w:r>
          </w:p>
        </w:tc>
      </w:tr>
      <w:tr>
        <w:tc>
          <w:tcPr/>
          <w:p>
            <w:pPr>
              <w:pStyle w:val="Compact"/>
              <w:jc w:val="left"/>
            </w:pPr>
            <w:r>
              <w:t xml:space="preserve">Sand</w:t>
            </w:r>
          </w:p>
        </w:tc>
        <w:tc>
          <w:tcPr/>
          <w:p>
            <w:pPr>
              <w:pStyle w:val="Compact"/>
              <w:jc w:val="left"/>
            </w:pPr>
            <w:r>
              <w:rPr>
                <w:rStyle w:val="VerbatimChar"/>
              </w:rPr>
              <w:t xml:space="preserve">#f4efe4</w:t>
            </w:r>
          </w:p>
        </w:tc>
        <w:tc>
          <w:tcPr/>
          <w:p>
            <w:pPr>
              <w:pStyle w:val="Compact"/>
              <w:jc w:val="left"/>
            </w:pPr>
            <w:r>
              <w:t xml:space="preserve">Poster background, stat block fill</w:t>
            </w:r>
          </w:p>
        </w:tc>
      </w:tr>
      <w:tr>
        <w:tc>
          <w:tcPr/>
          <w:p>
            <w:pPr>
              <w:pStyle w:val="Compact"/>
              <w:jc w:val="left"/>
            </w:pPr>
            <w:r>
              <w:t xml:space="preserve">Sand accent</w:t>
            </w:r>
          </w:p>
        </w:tc>
        <w:tc>
          <w:tcPr/>
          <w:p>
            <w:pPr>
              <w:pStyle w:val="Compact"/>
              <w:jc w:val="left"/>
            </w:pPr>
            <w:r>
              <w:rPr>
                <w:rStyle w:val="VerbatimChar"/>
              </w:rPr>
              <w:t xml:space="preserve">#e3d9c4</w:t>
            </w:r>
          </w:p>
        </w:tc>
        <w:tc>
          <w:tcPr/>
          <w:p>
            <w:pPr>
              <w:pStyle w:val="Compact"/>
              <w:jc w:val="left"/>
            </w:pPr>
            <w:r>
              <w:t xml:space="preserve">Rules, tags</w:t>
            </w:r>
          </w:p>
        </w:tc>
      </w:tr>
      <w:tr>
        <w:tc>
          <w:tcPr/>
          <w:p>
            <w:pPr>
              <w:pStyle w:val="Compact"/>
              <w:jc w:val="left"/>
            </w:pPr>
            <w:r>
              <w:t xml:space="preserve">Ink</w:t>
            </w:r>
          </w:p>
        </w:tc>
        <w:tc>
          <w:tcPr/>
          <w:p>
            <w:pPr>
              <w:pStyle w:val="Compact"/>
              <w:jc w:val="left"/>
            </w:pPr>
            <w:r>
              <w:rPr>
                <w:rStyle w:val="VerbatimChar"/>
              </w:rPr>
              <w:t xml:space="preserve">#17242e</w:t>
            </w:r>
          </w:p>
        </w:tc>
        <w:tc>
          <w:tcPr/>
          <w:p>
            <w:pPr>
              <w:pStyle w:val="Compact"/>
              <w:jc w:val="left"/>
            </w:pPr>
            <w:r>
              <w:t xml:space="preserve">Body text</w:t>
            </w:r>
          </w:p>
        </w:tc>
      </w:tr>
    </w:tbl>
    <w:bookmarkEnd w:id="21"/>
    <w:bookmarkStart w:id="22" w:name="typography"/>
    <w:p>
      <w:pPr>
        <w:pStyle w:val="Heading3"/>
      </w:pPr>
      <w:r>
        <w:t xml:space="preserve">Typography</w:t>
      </w:r>
    </w:p>
    <w:p>
      <w:pPr>
        <w:pStyle w:val="FirstParagraph"/>
      </w:pPr>
      <w:r>
        <w:t xml:space="preserve">Sans-serif throughout (Source Sans Pro, Segoe UI, Calibri, or Arial).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Size</w:t>
            </w:r>
          </w:p>
        </w:tc>
        <w:tc>
          <w:tcPr/>
          <w:p>
            <w:pPr>
              <w:pStyle w:val="Compact"/>
              <w:jc w:val="left"/>
            </w:pPr>
            <w:r>
              <w:t xml:space="preserve">Weight</w:t>
            </w:r>
          </w:p>
        </w:tc>
      </w:tr>
      <w:tr>
        <w:tc>
          <w:tcPr/>
          <w:p>
            <w:pPr>
              <w:pStyle w:val="Compact"/>
              <w:jc w:val="left"/>
            </w:pPr>
            <w:r>
              <w:t xml:space="preserve">Title</w:t>
            </w:r>
          </w:p>
        </w:tc>
        <w:tc>
          <w:tcPr/>
          <w:p>
            <w:pPr>
              <w:pStyle w:val="Compact"/>
              <w:jc w:val="left"/>
            </w:pPr>
            <w:r>
              <w:t xml:space="preserve">62 pt</w:t>
            </w:r>
          </w:p>
        </w:tc>
        <w:tc>
          <w:tcPr/>
          <w:p>
            <w:pPr>
              <w:pStyle w:val="Compact"/>
              <w:jc w:val="left"/>
            </w:pPr>
            <w:r>
              <w:t xml:space="preserve">Bold</w:t>
            </w:r>
          </w:p>
        </w:tc>
      </w:tr>
      <w:tr>
        <w:tc>
          <w:tcPr/>
          <w:p>
            <w:pPr>
              <w:pStyle w:val="Compact"/>
              <w:jc w:val="left"/>
            </w:pPr>
            <w:r>
              <w:t xml:space="preserve">Subtitle</w:t>
            </w:r>
          </w:p>
        </w:tc>
        <w:tc>
          <w:tcPr/>
          <w:p>
            <w:pPr>
              <w:pStyle w:val="Compact"/>
              <w:jc w:val="left"/>
            </w:pPr>
            <w:r>
              <w:t xml:space="preserve">27 pt</w:t>
            </w:r>
          </w:p>
        </w:tc>
        <w:tc>
          <w:tcPr/>
          <w:p>
            <w:pPr>
              <w:pStyle w:val="Compact"/>
              <w:jc w:val="left"/>
            </w:pPr>
            <w:r>
              <w:t xml:space="preserve">Regular</w:t>
            </w:r>
          </w:p>
        </w:tc>
      </w:tr>
      <w:tr>
        <w:tc>
          <w:tcPr/>
          <w:p>
            <w:pPr>
              <w:pStyle w:val="Compact"/>
              <w:jc w:val="left"/>
            </w:pPr>
            <w:r>
              <w:t xml:space="preserve">Authors</w:t>
            </w:r>
          </w:p>
        </w:tc>
        <w:tc>
          <w:tcPr/>
          <w:p>
            <w:pPr>
              <w:pStyle w:val="Compact"/>
              <w:jc w:val="left"/>
            </w:pPr>
            <w:r>
              <w:t xml:space="preserve">20 pt</w:t>
            </w:r>
          </w:p>
        </w:tc>
        <w:tc>
          <w:tcPr/>
          <w:p>
            <w:pPr>
              <w:pStyle w:val="Compact"/>
              <w:jc w:val="left"/>
            </w:pPr>
            <w:r>
              <w:t xml:space="preserve">Mixed</w:t>
            </w:r>
          </w:p>
        </w:tc>
      </w:tr>
      <w:tr>
        <w:tc>
          <w:tcPr/>
          <w:p>
            <w:pPr>
              <w:pStyle w:val="Compact"/>
              <w:jc w:val="left"/>
            </w:pPr>
            <w:r>
              <w:t xml:space="preserve">Affiliations</w:t>
            </w:r>
          </w:p>
        </w:tc>
        <w:tc>
          <w:tcPr/>
          <w:p>
            <w:pPr>
              <w:pStyle w:val="Compact"/>
              <w:jc w:val="left"/>
            </w:pPr>
            <w:r>
              <w:t xml:space="preserve">15 pt</w:t>
            </w:r>
          </w:p>
        </w:tc>
        <w:tc>
          <w:tcPr/>
          <w:p>
            <w:pPr>
              <w:pStyle w:val="Compact"/>
              <w:jc w:val="left"/>
            </w:pPr>
            <w:r>
              <w:t xml:space="preserve">Regular</w:t>
            </w:r>
          </w:p>
        </w:tc>
      </w:tr>
      <w:tr>
        <w:tc>
          <w:tcPr/>
          <w:p>
            <w:pPr>
              <w:pStyle w:val="Compact"/>
              <w:jc w:val="left"/>
            </w:pPr>
            <w:r>
              <w:t xml:space="preserve">Section headings (H2)</w:t>
            </w:r>
          </w:p>
        </w:tc>
        <w:tc>
          <w:tcPr/>
          <w:p>
            <w:pPr>
              <w:pStyle w:val="Compact"/>
              <w:jc w:val="left"/>
            </w:pPr>
            <w:r>
              <w:t xml:space="preserve">25 pt</w:t>
            </w:r>
          </w:p>
        </w:tc>
        <w:tc>
          <w:tcPr/>
          <w:p>
            <w:pPr>
              <w:pStyle w:val="Compact"/>
              <w:jc w:val="left"/>
            </w:pPr>
            <w:r>
              <w:t xml:space="preserve">Bold, deep blue</w:t>
            </w:r>
          </w:p>
        </w:tc>
      </w:tr>
      <w:tr>
        <w:tc>
          <w:tcPr/>
          <w:p>
            <w:pPr>
              <w:pStyle w:val="Compact"/>
              <w:jc w:val="left"/>
            </w:pPr>
            <w:r>
              <w:t xml:space="preserve">Subheadings (H3)</w:t>
            </w:r>
          </w:p>
        </w:tc>
        <w:tc>
          <w:tcPr/>
          <w:p>
            <w:pPr>
              <w:pStyle w:val="Compact"/>
              <w:jc w:val="left"/>
            </w:pPr>
            <w:r>
              <w:t xml:space="preserve">16.5 pt</w:t>
            </w:r>
          </w:p>
        </w:tc>
        <w:tc>
          <w:tcPr/>
          <w:p>
            <w:pPr>
              <w:pStyle w:val="Compact"/>
              <w:jc w:val="left"/>
            </w:pPr>
            <w:r>
              <w:t xml:space="preserve">Bold, mid blue</w:t>
            </w:r>
          </w:p>
        </w:tc>
      </w:tr>
      <w:tr>
        <w:tc>
          <w:tcPr/>
          <w:p>
            <w:pPr>
              <w:pStyle w:val="Compact"/>
              <w:jc w:val="left"/>
            </w:pPr>
            <w:r>
              <w:t xml:space="preserve">Body text</w:t>
            </w:r>
          </w:p>
        </w:tc>
        <w:tc>
          <w:tcPr/>
          <w:p>
            <w:pPr>
              <w:pStyle w:val="Compact"/>
              <w:jc w:val="left"/>
            </w:pPr>
            <w:r>
              <w:t xml:space="preserve">14.5 pt</w:t>
            </w:r>
          </w:p>
        </w:tc>
        <w:tc>
          <w:tcPr/>
          <w:p>
            <w:pPr>
              <w:pStyle w:val="Compact"/>
              <w:jc w:val="left"/>
            </w:pPr>
            <w:r>
              <w:t xml:space="preserve">Regular</w:t>
            </w:r>
          </w:p>
        </w:tc>
      </w:tr>
      <w:tr>
        <w:tc>
          <w:tcPr/>
          <w:p>
            <w:pPr>
              <w:pStyle w:val="Compact"/>
              <w:jc w:val="left"/>
            </w:pPr>
            <w:r>
              <w:t xml:space="preserve">Big stat numbers</w:t>
            </w:r>
          </w:p>
        </w:tc>
        <w:tc>
          <w:tcPr/>
          <w:p>
            <w:pPr>
              <w:pStyle w:val="Compact"/>
              <w:jc w:val="left"/>
            </w:pPr>
            <w:r>
              <w:t xml:space="preserve">30–40 pt</w:t>
            </w:r>
          </w:p>
        </w:tc>
        <w:tc>
          <w:tcPr/>
          <w:p>
            <w:pPr>
              <w:pStyle w:val="Compact"/>
              <w:jc w:val="left"/>
            </w:pPr>
            <w:r>
              <w:t xml:space="preserve">Bold, colored</w:t>
            </w:r>
          </w:p>
        </w:tc>
      </w:tr>
      <w:tr>
        <w:tc>
          <w:tcPr/>
          <w:p>
            <w:pPr>
              <w:pStyle w:val="Compact"/>
              <w:jc w:val="left"/>
            </w:pPr>
            <w:r>
              <w:t xml:space="preserve">Stat labels</w:t>
            </w:r>
          </w:p>
        </w:tc>
        <w:tc>
          <w:tcPr/>
          <w:p>
            <w:pPr>
              <w:pStyle w:val="Compact"/>
              <w:jc w:val="left"/>
            </w:pPr>
            <w:r>
              <w:t xml:space="preserve">13.5 pt</w:t>
            </w:r>
          </w:p>
        </w:tc>
        <w:tc>
          <w:tcPr/>
          <w:p>
            <w:pPr>
              <w:pStyle w:val="Compact"/>
              <w:jc w:val="left"/>
            </w:pPr>
            <w:r>
              <w:t xml:space="preserve">Regular</w:t>
            </w:r>
          </w:p>
        </w:tc>
      </w:tr>
      <w:tr>
        <w:tc>
          <w:tcPr/>
          <w:p>
            <w:pPr>
              <w:pStyle w:val="Compact"/>
              <w:jc w:val="left"/>
            </w:pPr>
            <w:r>
              <w:t xml:space="preserve">Table body</w:t>
            </w:r>
          </w:p>
        </w:tc>
        <w:tc>
          <w:tcPr/>
          <w:p>
            <w:pPr>
              <w:pStyle w:val="Compact"/>
              <w:jc w:val="left"/>
            </w:pPr>
            <w:r>
              <w:t xml:space="preserve">12.5 pt</w:t>
            </w:r>
          </w:p>
        </w:tc>
        <w:tc>
          <w:tcPr/>
          <w:p>
            <w:pPr>
              <w:pStyle w:val="Compact"/>
              <w:jc w:val="left"/>
            </w:pPr>
            <w:r>
              <w:t xml:space="preserve">Regular</w:t>
            </w:r>
          </w:p>
        </w:tc>
      </w:tr>
      <w:tr>
        <w:tc>
          <w:tcPr/>
          <w:p>
            <w:pPr>
              <w:pStyle w:val="Compact"/>
              <w:jc w:val="left"/>
            </w:pPr>
            <w:r>
              <w:t xml:space="preserve">Captions</w:t>
            </w:r>
          </w:p>
        </w:tc>
        <w:tc>
          <w:tcPr/>
          <w:p>
            <w:pPr>
              <w:pStyle w:val="Compact"/>
              <w:jc w:val="left"/>
            </w:pPr>
            <w:r>
              <w:t xml:space="preserve">11.5 pt</w:t>
            </w:r>
          </w:p>
        </w:tc>
        <w:tc>
          <w:tcPr/>
          <w:p>
            <w:pPr>
              <w:pStyle w:val="Compact"/>
              <w:jc w:val="left"/>
            </w:pPr>
            <w:r>
              <w:t xml:space="preserve">Italic, gray</w:t>
            </w:r>
          </w:p>
        </w:tc>
      </w:tr>
      <w:tr>
        <w:tc>
          <w:tcPr/>
          <w:p>
            <w:pPr>
              <w:pStyle w:val="Compact"/>
              <w:jc w:val="left"/>
            </w:pPr>
            <w:r>
              <w:t xml:space="preserve">References</w:t>
            </w:r>
          </w:p>
        </w:tc>
        <w:tc>
          <w:tcPr/>
          <w:p>
            <w:pPr>
              <w:pStyle w:val="Compact"/>
              <w:jc w:val="left"/>
            </w:pPr>
            <w:r>
              <w:t xml:space="preserve">10.5 pt</w:t>
            </w:r>
          </w:p>
        </w:tc>
        <w:tc>
          <w:tcPr/>
          <w:p>
            <w:pPr>
              <w:pStyle w:val="Compact"/>
              <w:jc w:val="left"/>
            </w:pPr>
            <w:r>
              <w:t xml:space="preserve">Regular</w:t>
            </w:r>
          </w:p>
        </w:tc>
      </w:tr>
    </w:tbl>
    <w:p>
      <w:pPr>
        <w:pStyle w:val="BlockText"/>
      </w:pPr>
      <w:r>
        <w:rPr>
          <w:bCs/>
          <w:b/>
        </w:rPr>
        <w:t xml:space="preserve">Legibility check:</w:t>
      </w:r>
      <w:r>
        <w:t xml:space="preserve"> </w:t>
      </w:r>
      <w:r>
        <w:t xml:space="preserve">body text at 14.5 pt on a 36 in poster is readable at roughly 4–5 ft. Do not go below 14 pt for body copy or 10 pt for references.</w:t>
      </w:r>
    </w:p>
    <w:p>
      <w:r>
        <w:pict>
          <v:rect style="width:0;height:1.5pt" o:hralign="center" o:hrstd="t" o:hr="t"/>
        </w:pict>
      </w:r>
    </w:p>
    <w:bookmarkEnd w:id="22"/>
    <w:bookmarkEnd w:id="23"/>
    <w:bookmarkStart w:id="25" w:name="header"/>
    <w:p>
      <w:pPr>
        <w:pStyle w:val="Heading2"/>
      </w:pPr>
      <w:r>
        <w:t xml:space="preserve">2. Header</w:t>
      </w:r>
    </w:p>
    <w:p>
      <w:pPr>
        <w:pStyle w:val="FirstParagraph"/>
      </w:pPr>
      <w:r>
        <w:rPr>
          <w:bCs/>
          <w:b/>
        </w:rPr>
        <w:t xml:space="preserve">Title:</w:t>
      </w:r>
      <w:r>
        <w:t xml:space="preserve"> </w:t>
      </w:r>
      <w:r>
        <w:t xml:space="preserve">&gt; When the Water Table Comes Up to Meet the Drainfield</w:t>
      </w:r>
    </w:p>
    <w:p>
      <w:pPr>
        <w:pStyle w:val="BodyText"/>
      </w:pPr>
      <w:r>
        <w:rPr>
          <w:bCs/>
          <w:b/>
        </w:rPr>
        <w:t xml:space="preserve">Subtitle:</w:t>
      </w:r>
      <w:r>
        <w:t xml:space="preserve"> </w:t>
      </w:r>
      <w:r>
        <w:t xml:space="preserve">&gt; Ecological consequences of failing septic systems on Virginia’s Eastern Shore</w:t>
      </w:r>
    </w:p>
    <w:p>
      <w:pPr>
        <w:pStyle w:val="BodyText"/>
      </w:pPr>
      <w:r>
        <w:rPr>
          <w:bCs/>
          <w:b/>
        </w:rPr>
        <w:t xml:space="preserve">Authors:</w:t>
      </w:r>
      <w:r>
        <w:t xml:space="preserve"> </w:t>
      </w:r>
      <w:r>
        <w:t xml:space="preserve">&gt;</w:t>
      </w:r>
      <w:r>
        <w:t xml:space="preserve"> </w:t>
      </w:r>
      <w:r>
        <w:rPr>
          <w:bCs/>
          <w:b/>
        </w:rPr>
        <w:t xml:space="preserve">[Student Name]</w:t>
      </w:r>
      <w:r>
        <w:t xml:space="preserve">¹ · W. Alex Foxworthy, Ph.D.¹</w:t>
      </w:r>
    </w:p>
    <w:p>
      <w:pPr>
        <w:pStyle w:val="BodyText"/>
      </w:pPr>
      <w:r>
        <w:rPr>
          <w:bCs/>
          <w:b/>
        </w:rPr>
        <w:t xml:space="preserve">Affiliation:</w:t>
      </w:r>
      <w:r>
        <w:t xml:space="preserve"> </w:t>
      </w:r>
      <w:r>
        <w:t xml:space="preserve">&gt; ¹Eastern Shore Community College, Melfa, VA | In partnership with the UVA Environmental Institute Climate Collaborative</w:t>
      </w:r>
      <w:r>
        <w:t xml:space="preserve"> </w:t>
      </w:r>
      <w:r>
        <w:t xml:space="preserve">“</w:t>
      </w:r>
      <w:r>
        <w:t xml:space="preserve">Co-Producing Equitable Solutions to Septic System Failures</w:t>
      </w:r>
      <w:r>
        <w:t xml:space="preserve">”</w:t>
      </w:r>
      <w:r>
        <w:t xml:space="preserve"> </w:t>
      </w:r>
      <w:r>
        <w:t xml:space="preserve">(2026–2028)</w:t>
      </w:r>
    </w:p>
    <w:p>
      <w:pPr>
        <w:pStyle w:val="BodyText"/>
      </w:pPr>
      <w:r>
        <w:rPr>
          <w:bCs/>
          <w:b/>
        </w:rPr>
        <w:t xml:space="preserve">Right block:</w:t>
      </w:r>
      <w:r>
        <w:t xml:space="preserve"> </w:t>
      </w:r>
      <w:r>
        <w:t xml:space="preserve">ESVA Summer Symposium 2026 + logo placeholders (ESCC, UVA EI, partners)</w:t>
      </w:r>
    </w:p>
    <w:bookmarkStart w:id="24" w:name="Xf02a5288e2dae16daa785a564ef982390bd3db9"/>
    <w:p>
      <w:pPr>
        <w:pStyle w:val="Heading3"/>
      </w:pPr>
      <w:r>
        <w:t xml:space="preserve">Alternate titles if you want a different tone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Style</w:t>
            </w:r>
          </w:p>
        </w:tc>
        <w:tc>
          <w:tcPr/>
          <w:p>
            <w:pPr>
              <w:pStyle w:val="Compact"/>
              <w:jc w:val="left"/>
            </w:pPr>
            <w:r>
              <w:t xml:space="preserve">Title</w:t>
            </w:r>
          </w:p>
        </w:tc>
      </w:tr>
      <w:tr>
        <w:tc>
          <w:tcPr/>
          <w:p>
            <w:pPr>
              <w:pStyle w:val="Compact"/>
              <w:jc w:val="left"/>
            </w:pPr>
            <w:r>
              <w:t xml:space="preserve">Plainer</w:t>
            </w:r>
          </w:p>
        </w:tc>
        <w:tc>
          <w:tcPr/>
          <w:p>
            <w:pPr>
              <w:pStyle w:val="Compact"/>
              <w:jc w:val="left"/>
            </w:pPr>
            <w:r>
              <w:t xml:space="preserve">The Shore’s Septic Systems Are Failing — Here’s Where It Goes</w:t>
            </w:r>
          </w:p>
        </w:tc>
      </w:tr>
      <w:tr>
        <w:tc>
          <w:tcPr/>
          <w:p>
            <w:pPr>
              <w:pStyle w:val="Compact"/>
              <w:jc w:val="left"/>
            </w:pPr>
            <w:r>
              <w:t xml:space="preserve">Asset-forward</w:t>
            </w:r>
          </w:p>
        </w:tc>
        <w:tc>
          <w:tcPr/>
          <w:p>
            <w:pPr>
              <w:pStyle w:val="Compact"/>
              <w:jc w:val="left"/>
            </w:pPr>
            <w:r>
              <w:t xml:space="preserve">18,000 Septic Systems Upstream of the World’s Largest Seagrass Restoration</w:t>
            </w:r>
          </w:p>
        </w:tc>
      </w:tr>
      <w:tr>
        <w:tc>
          <w:tcPr/>
          <w:p>
            <w:pPr>
              <w:pStyle w:val="Compact"/>
              <w:jc w:val="left"/>
            </w:pPr>
            <w:r>
              <w:t xml:space="preserve">Question</w:t>
            </w:r>
          </w:p>
        </w:tc>
        <w:tc>
          <w:tcPr/>
          <w:p>
            <w:pPr>
              <w:pStyle w:val="Compact"/>
              <w:jc w:val="left"/>
            </w:pPr>
            <w:r>
              <w:t xml:space="preserve">What Happens Underground on the Eastern Shore?</w:t>
            </w:r>
          </w:p>
        </w:tc>
      </w:tr>
      <w:tr>
        <w:tc>
          <w:tcPr/>
          <w:p>
            <w:pPr>
              <w:pStyle w:val="Compact"/>
              <w:jc w:val="left"/>
            </w:pPr>
            <w:r>
              <w:t xml:space="preserve">Current (recommended)</w:t>
            </w:r>
          </w:p>
        </w:tc>
        <w:tc>
          <w:tcPr/>
          <w:p>
            <w:pPr>
              <w:pStyle w:val="Compact"/>
              <w:jc w:val="left"/>
            </w:pPr>
            <w:r>
              <w:t xml:space="preserve">When the Water Table Comes Up to Meet the Drainfield</w:t>
            </w:r>
          </w:p>
        </w:tc>
      </w:tr>
    </w:tbl>
    <w:p>
      <w:r>
        <w:pict>
          <v:rect style="width:0;height:1.5pt" o:hralign="center" o:hrstd="t" o:hr="t"/>
        </w:pict>
      </w:r>
    </w:p>
    <w:bookmarkEnd w:id="24"/>
    <w:bookmarkEnd w:id="25"/>
    <w:bookmarkStart w:id="26" w:name="column-1-scope-of-the-problem"/>
    <w:p>
      <w:pPr>
        <w:pStyle w:val="Heading2"/>
      </w:pPr>
      <w:r>
        <w:t xml:space="preserve">3. Column 1 — Scope of the Problem</w:t>
      </w:r>
    </w:p>
    <w:p>
      <w:pPr>
        <w:pStyle w:val="FirstParagraph"/>
      </w:pPr>
      <w:r>
        <w:rPr>
          <w:iCs/>
          <w:i/>
        </w:rPr>
        <w:t xml:space="preserve">Accent color: rust</w:t>
      </w:r>
      <w:r>
        <w:rPr>
          <w:iCs/>
          <w:i/>
        </w:rPr>
        <w:t xml:space="preserve"> </w:t>
      </w:r>
      <w:r>
        <w:rPr>
          <w:rStyle w:val="VerbatimChar"/>
          <w:iCs/>
          <w:i/>
        </w:rPr>
        <w:t xml:space="preserve">#a8452a</w:t>
      </w:r>
    </w:p>
    <w:p>
      <w:pPr>
        <w:pStyle w:val="BodyText"/>
      </w:pPr>
      <w:r>
        <w:rPr>
          <w:bCs/>
          <w:b/>
        </w:rPr>
        <w:t xml:space="preserve">Intro:</w:t>
      </w:r>
      <w:r>
        <w:t xml:space="preserve"> </w:t>
      </w:r>
      <w:r>
        <w:t xml:space="preserve">The Eastern Shore is a narrow peninsula where nearly every household treats its own wastewater on its own land — directly above the groundwater that supplies every well on the Shore.</w:t>
      </w:r>
    </w:p>
    <w:p>
      <w:pPr>
        <w:pStyle w:val="BodyText"/>
      </w:pPr>
      <w:r>
        <w:rPr>
          <w:bCs/>
          <w:b/>
        </w:rPr>
        <w:t xml:space="preserve">Stat block A (rust):</w:t>
      </w:r>
      <w:r>
        <w:t xml:space="preserve"> </w:t>
      </w:r>
      <w:r>
        <w:t xml:space="preserve">&gt;</w:t>
      </w:r>
      <w:r>
        <w:t xml:space="preserve"> </w:t>
      </w:r>
      <w:r>
        <w:rPr>
          <w:bCs/>
          <w:b/>
        </w:rPr>
        <w:t xml:space="preserve">18,000+</w:t>
      </w:r>
      <w:r>
        <w:t xml:space="preserve"> </w:t>
      </w:r>
      <w:r>
        <w:t xml:space="preserve">&gt; households in Accomack &amp; Northampton counties on decentralized septic systems</w:t>
      </w:r>
    </w:p>
    <w:p>
      <w:pPr>
        <w:pStyle w:val="BodyText"/>
      </w:pPr>
      <w:r>
        <w:rPr>
          <w:bCs/>
          <w:b/>
        </w:rPr>
        <w:t xml:space="preserve">Stat block B (blue):</w:t>
      </w:r>
      <w:r>
        <w:t xml:space="preserve"> </w:t>
      </w:r>
      <w:r>
        <w:t xml:space="preserve">&gt;</w:t>
      </w:r>
      <w:r>
        <w:t xml:space="preserve"> </w:t>
      </w:r>
      <w:r>
        <w:rPr>
          <w:bCs/>
          <w:b/>
        </w:rPr>
        <w:t xml:space="preserve">1997</w:t>
      </w:r>
      <w:r>
        <w:t xml:space="preserve"> </w:t>
      </w:r>
      <w:r>
        <w:t xml:space="preserve">&gt; EPA designated the Shore’s groundwater a</w:t>
      </w:r>
      <w:r>
        <w:t xml:space="preserve"> </w:t>
      </w:r>
      <w:r>
        <w:rPr>
          <w:bCs/>
          <w:b/>
        </w:rPr>
        <w:t xml:space="preserve">sole-source aquifer</w:t>
      </w:r>
      <w:r>
        <w:t xml:space="preserve"> </w:t>
      </w:r>
      <w:r>
        <w:t xml:space="preserve">— the</w:t>
      </w:r>
      <w:r>
        <w:t xml:space="preserve"> </w:t>
      </w:r>
      <w:r>
        <w:rPr>
          <w:bCs/>
          <w:b/>
        </w:rPr>
        <w:t xml:space="preserve">Columbia</w:t>
      </w:r>
      <w:r>
        <w:t xml:space="preserve"> </w:t>
      </w:r>
      <w:r>
        <w:t xml:space="preserve">(shallow, unconfined) and</w:t>
      </w:r>
      <w:r>
        <w:t xml:space="preserve"> </w:t>
      </w:r>
      <w:r>
        <w:rPr>
          <w:bCs/>
          <w:b/>
        </w:rPr>
        <w:t xml:space="preserve">Yorktown–Eastover</w:t>
      </w:r>
      <w:r>
        <w:t xml:space="preserve"> </w:t>
      </w:r>
      <w:r>
        <w:t xml:space="preserve">(deeper, confined) systems together. There is no alternative supply.</w:t>
      </w:r>
    </w:p>
    <w:p>
      <w:pPr>
        <w:pStyle w:val="BodyText"/>
      </w:pPr>
      <w:r>
        <w:rPr>
          <w:bCs/>
          <w:b/>
        </w:rPr>
        <w:t xml:space="preserve">Paragraph (with health mention, rust emphasis on final sentence):</w:t>
      </w:r>
      <w:r>
        <w:t xml:space="preserve"> </w:t>
      </w:r>
      <w:r>
        <w:t xml:space="preserve">&gt;</w:t>
      </w:r>
      <w:r>
        <w:t xml:space="preserve"> </w:t>
      </w:r>
      <w:r>
        <w:rPr>
          <w:bCs/>
          <w:b/>
        </w:rPr>
        <w:t xml:space="preserve">Septic effluent enters the shallow Columbia</w:t>
      </w:r>
      <w:r>
        <w:t xml:space="preserve"> </w:t>
      </w:r>
      <w:r>
        <w:t xml:space="preserve">— the same layer that feeds tidal creeks</w:t>
      </w:r>
      <w:r>
        <w:t xml:space="preserve"> </w:t>
      </w:r>
      <w:r>
        <w:rPr>
          <w:iCs/>
          <w:i/>
        </w:rPr>
        <w:t xml:space="preserve">and</w:t>
      </w:r>
      <w:r>
        <w:t xml:space="preserve"> </w:t>
      </w:r>
      <w:r>
        <w:t xml:space="preserve">many older private wells. Most public-supply wells draw from the deeper, better-protected Yorktown–Eastover.</w:t>
      </w:r>
      <w:r>
        <w:t xml:space="preserve"> </w:t>
      </w:r>
      <w:r>
        <w:rPr>
          <w:bCs/>
          <w:b/>
        </w:rPr>
        <w:t xml:space="preserve">Human health risk from nitrate and pathogens in shallow private wells is real and is addressed in companion project work; this poster follows the ecological pathway.</w:t>
      </w:r>
    </w:p>
    <w:p>
      <w:pPr>
        <w:pStyle w:val="BodyText"/>
      </w:pPr>
      <w:r>
        <w:rPr>
          <w:bCs/>
          <w:b/>
        </w:rPr>
        <w:t xml:space="preserve">Subhead: Why systems that once worked are failing</w:t>
      </w:r>
    </w:p>
    <w:p>
      <w:pPr>
        <w:pStyle w:val="BodyText"/>
      </w:pPr>
      <w:r>
        <w:t xml:space="preserve">A conventional drainfield needs roughly</w:t>
      </w:r>
      <w:r>
        <w:t xml:space="preserve"> </w:t>
      </w:r>
      <w:r>
        <w:rPr>
          <w:bCs/>
          <w:b/>
        </w:rPr>
        <w:t xml:space="preserve">3 feet of unsaturated soil</w:t>
      </w:r>
      <w:r>
        <w:t xml:space="preserve"> </w:t>
      </w:r>
      <w:r>
        <w:t xml:space="preserve">between the trench and the water table to treat effluent. Relative sea level on the Shore is rising among the fastest rates on the U.S. East Coast, lifting the water table into that treatment zone.</w:t>
      </w:r>
    </w:p>
    <w:p>
      <w:pPr>
        <w:pStyle w:val="BodyText"/>
      </w:pPr>
      <w:r>
        <w:rPr>
          <w:bCs/>
          <w:b/>
        </w:rPr>
        <w:t xml:space="preserve">Key-finding box (amber border):</w:t>
      </w:r>
      <w:r>
        <w:t xml:space="preserve"> </w:t>
      </w:r>
      <w:r>
        <w:t xml:space="preserve">&gt;</w:t>
      </w:r>
      <w:r>
        <w:t xml:space="preserve"> </w:t>
      </w:r>
      <w:r>
        <w:rPr>
          <w:bCs/>
          <w:b/>
        </w:rPr>
        <w:t xml:space="preserve">Central finding:</w:t>
      </w:r>
      <w:r>
        <w:t xml:space="preserve"> </w:t>
      </w:r>
      <w:r>
        <w:t xml:space="preserve">These systems are not failing because anything about them changed. They are failing because</w:t>
      </w:r>
      <w:r>
        <w:t xml:space="preserve"> </w:t>
      </w:r>
      <w:r>
        <w:rPr>
          <w:iCs/>
          <w:i/>
        </w:rPr>
        <w:t xml:space="preserve">the water table came up to meet them.</w:t>
      </w:r>
      <w:r>
        <w:t xml:space="preserve"> </w:t>
      </w:r>
      <w:r>
        <w:t xml:space="preserve">A drainfield fully compliant in 1985 can be marginal today and non-functional by 2040 — with no action, error, or neglect by the homeowner.</w:t>
      </w:r>
    </w:p>
    <w:p>
      <w:pPr>
        <w:pStyle w:val="BodyText"/>
      </w:pPr>
      <w:r>
        <w:rPr>
          <w:bCs/>
          <w:b/>
        </w:rPr>
        <w:t xml:space="preserve">Paired stat blocks:</w:t>
      </w:r>
      <w:r>
        <w:t xml:space="preserve"> </w:t>
      </w:r>
      <w:r>
        <w:t xml:space="preserve">&gt;</w:t>
      </w:r>
      <w:r>
        <w:t xml:space="preserve"> </w:t>
      </w:r>
      <w:r>
        <w:rPr>
          <w:bCs/>
          <w:b/>
        </w:rPr>
        <w:t xml:space="preserve">7,800</w:t>
      </w:r>
      <w:r>
        <w:t xml:space="preserve"> </w:t>
      </w:r>
      <w:r>
        <w:t xml:space="preserve">— ESVA systems projected to sit above &lt;3 ft groundwater by 2040†</w:t>
      </w:r>
      <w:r>
        <w:t xml:space="preserve"> </w:t>
      </w:r>
      <w:r>
        <w:t xml:space="preserve">&gt;</w:t>
      </w:r>
      <w:r>
        <w:t xml:space="preserve"> </w:t>
      </w:r>
      <w:r>
        <w:rPr>
          <w:bCs/>
          <w:b/>
        </w:rPr>
        <w:t xml:space="preserve">$156M</w:t>
      </w:r>
      <w:r>
        <w:t xml:space="preserve"> </w:t>
      </w:r>
      <w:r>
        <w:t xml:space="preserve">— estimated replacement cost at that scale†</w:t>
      </w:r>
    </w:p>
    <w:p>
      <w:pPr>
        <w:pStyle w:val="BodyText"/>
      </w:pPr>
      <w:r>
        <w:rPr>
          <w:bCs/>
          <w:b/>
        </w:rPr>
        <w:t xml:space="preserve">Footnote:</w:t>
      </w:r>
      <w:r>
        <w:t xml:space="preserve"> </w:t>
      </w:r>
      <w:r>
        <w:t xml:space="preserve">†Project modeling (ESVA Climate Equity StoryMap, 2025; Hesamfar et al., in review), not independent peer review.</w:t>
      </w:r>
    </w:p>
    <w:p>
      <w:r>
        <w:pict>
          <v:rect style="width:0;height:1.5pt" o:hralign="center" o:hrstd="t" o:hr="t"/>
        </w:pict>
      </w:r>
    </w:p>
    <w:bookmarkEnd w:id="26"/>
    <w:bookmarkStart w:id="27" w:name="column-2-how-it-travels"/>
    <w:p>
      <w:pPr>
        <w:pStyle w:val="Heading2"/>
      </w:pPr>
      <w:r>
        <w:t xml:space="preserve">4. Column 2 — How It Travels</w:t>
      </w:r>
    </w:p>
    <w:p>
      <w:pPr>
        <w:pStyle w:val="FirstParagraph"/>
      </w:pPr>
      <w:r>
        <w:rPr>
          <w:iCs/>
          <w:i/>
        </w:rPr>
        <w:t xml:space="preserve">Accent color: mid blue</w:t>
      </w:r>
      <w:r>
        <w:rPr>
          <w:iCs/>
          <w:i/>
        </w:rPr>
        <w:t xml:space="preserve"> </w:t>
      </w:r>
      <w:r>
        <w:rPr>
          <w:rStyle w:val="VerbatimChar"/>
          <w:iCs/>
          <w:i/>
        </w:rPr>
        <w:t xml:space="preserve">#1d6a8c</w:t>
      </w:r>
    </w:p>
    <w:p>
      <w:pPr>
        <w:pStyle w:val="BodyText"/>
      </w:pPr>
      <w:r>
        <w:rPr>
          <w:bCs/>
          <w:b/>
        </w:rPr>
        <w:t xml:space="preserve">Intro:</w:t>
      </w:r>
      <w:r>
        <w:t xml:space="preserve"> </w:t>
      </w:r>
      <w:r>
        <w:t xml:space="preserve">Septic effluent is released</w:t>
      </w:r>
      <w:r>
        <w:t xml:space="preserve"> </w:t>
      </w:r>
      <w:r>
        <w:rPr>
          <w:iCs/>
          <w:i/>
        </w:rPr>
        <w:t xml:space="preserve">below</w:t>
      </w:r>
      <w:r>
        <w:t xml:space="preserve"> </w:t>
      </w:r>
      <w:r>
        <w:t xml:space="preserve">ground. It therefore enters the</w:t>
      </w:r>
      <w:r>
        <w:t xml:space="preserve"> </w:t>
      </w:r>
      <w:r>
        <w:rPr>
          <w:bCs/>
          <w:b/>
        </w:rPr>
        <w:t xml:space="preserve">groundwater</w:t>
      </w:r>
      <w:r>
        <w:t xml:space="preserve"> </w:t>
      </w:r>
      <w:r>
        <w:t xml:space="preserve">system, not the surface-water system — and on the Shore, the groundwater essentially</w:t>
      </w:r>
      <w:r>
        <w:t xml:space="preserve"> </w:t>
      </w:r>
      <w:r>
        <w:rPr>
          <w:iCs/>
          <w:i/>
        </w:rPr>
        <w:t xml:space="preserve">is</w:t>
      </w:r>
      <w:r>
        <w:t xml:space="preserve"> </w:t>
      </w:r>
      <w:r>
        <w:t xml:space="preserve">the creek water.</w:t>
      </w:r>
    </w:p>
    <w:p>
      <w:pPr>
        <w:pStyle w:val="BodyText"/>
      </w:pPr>
      <w:r>
        <w:rPr>
          <w:bCs/>
          <w:b/>
        </w:rPr>
        <w:t xml:space="preserve">Stat block (blue):</w:t>
      </w:r>
      <w:r>
        <w:t xml:space="preserve"> </w:t>
      </w:r>
      <w:r>
        <w:t xml:space="preserve">&gt;</w:t>
      </w:r>
      <w:r>
        <w:t xml:space="preserve"> </w:t>
      </w:r>
      <w:r>
        <w:rPr>
          <w:bCs/>
          <w:b/>
        </w:rPr>
        <w:t xml:space="preserve">~80%</w:t>
      </w:r>
      <w:r>
        <w:t xml:space="preserve"> </w:t>
      </w:r>
      <w:r>
        <w:t xml:space="preserve">&gt; of baseflow in Accomack County’s ~30 tidal creeks arrives as</w:t>
      </w:r>
      <w:r>
        <w:t xml:space="preserve"> </w:t>
      </w:r>
      <w:r>
        <w:rPr>
          <w:bCs/>
          <w:b/>
        </w:rPr>
        <w:t xml:space="preserve">groundwater discharge</w:t>
      </w:r>
      <w:r>
        <w:t xml:space="preserve">, not surface runoff</w:t>
      </w:r>
    </w:p>
    <w:p>
      <w:pPr>
        <w:pStyle w:val="BodyText"/>
      </w:pPr>
      <w:r>
        <w:rPr>
          <w:bCs/>
          <w:b/>
        </w:rPr>
        <w:t xml:space="preserve">Paragraph:</w:t>
      </w:r>
      <w:r>
        <w:t xml:space="preserve"> </w:t>
      </w:r>
      <w:r>
        <w:t xml:space="preserve">If these creeks were fed mainly by rain running over the land, septic effluent would have no route into them. Because they are groundwater-fed, subsurface disposal becomes a surface-water problem.</w:t>
      </w:r>
    </w:p>
    <w:p>
      <w:pPr>
        <w:pStyle w:val="BodyText"/>
      </w:pPr>
      <w:r>
        <w:rPr>
          <w:bCs/>
          <w:b/>
        </w:rPr>
        <w:t xml:space="preserve">DIAGRAM</w:t>
      </w:r>
      <w:r>
        <w:t xml:space="preserve"> </w:t>
      </w:r>
      <w:r>
        <w:t xml:space="preserve">(see Section 8)</w:t>
      </w:r>
    </w:p>
    <w:p>
      <w:pPr>
        <w:pStyle w:val="BodyText"/>
      </w:pPr>
      <w:r>
        <w:rPr>
          <w:bCs/>
          <w:b/>
        </w:rPr>
        <w:t xml:space="preserve">Caption:</w:t>
      </w:r>
      <w:r>
        <w:t xml:space="preserve"> </w:t>
      </w:r>
      <w:r>
        <w:t xml:space="preserve">Effluent meets a rising water table and travels laterally to tidal water. The confining clay gives the deeper aquifer real protection; the shallow Columbia has none.</w:t>
      </w:r>
    </w:p>
    <w:p>
      <w:pPr>
        <w:pStyle w:val="BodyText"/>
      </w:pPr>
      <w:r>
        <w:rPr>
          <w:bCs/>
          <w:b/>
        </w:rPr>
        <w:t xml:space="preserve">Subhead: What the soil actually does — and doesn’t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Constituent</w:t>
            </w:r>
          </w:p>
        </w:tc>
        <w:tc>
          <w:tcPr/>
          <w:p>
            <w:pPr>
              <w:pStyle w:val="Compact"/>
              <w:jc w:val="left"/>
            </w:pPr>
            <w:r>
              <w:t xml:space="preserve">Fate in a working drainfield</w:t>
            </w:r>
          </w:p>
        </w:tc>
        <w:tc>
          <w:tcPr/>
          <w:p>
            <w:pPr>
              <w:pStyle w:val="Compact"/>
              <w:jc w:val="left"/>
            </w:pPr>
            <w:r>
              <w:t xml:space="preserve">Failure-driven?</w:t>
            </w:r>
          </w:p>
        </w:tc>
      </w:tr>
      <w:tr>
        <w:tc>
          <w:tcPr/>
          <w:p>
            <w:pPr>
              <w:pStyle w:val="Compact"/>
              <w:jc w:val="left"/>
            </w:pPr>
            <w:r>
              <w:rPr>
                <w:bCs/>
                <w:b/>
              </w:rPr>
              <w:t xml:space="preserve">Pathogens</w:t>
            </w:r>
            <w:r>
              <w:t xml:space="preserve"> </w:t>
            </w:r>
            <w:r>
              <w:t xml:space="preserve">(bacteria, viruses)</w:t>
            </w:r>
          </w:p>
        </w:tc>
        <w:tc>
          <w:tcPr/>
          <w:p>
            <w:pPr>
              <w:pStyle w:val="Compact"/>
              <w:jc w:val="left"/>
            </w:pPr>
            <w:r>
              <w:t xml:space="preserve">Removed by filtration, adsorption and die-off in unsaturated soil</w:t>
            </w:r>
          </w:p>
        </w:tc>
        <w:tc>
          <w:tcPr/>
          <w:p>
            <w:pPr>
              <w:pStyle w:val="Compact"/>
              <w:jc w:val="left"/>
            </w:pPr>
            <w:r>
              <w:rPr>
                <w:bCs/>
                <w:b/>
              </w:rPr>
              <w:t xml:space="preserve">YES</w:t>
            </w:r>
            <w:r>
              <w:t xml:space="preserve"> </w:t>
            </w:r>
            <w:r>
              <w:t xml:space="preserve">(rust)</w:t>
            </w:r>
          </w:p>
        </w:tc>
      </w:tr>
      <w:tr>
        <w:tc>
          <w:tcPr/>
          <w:p>
            <w:pPr>
              <w:pStyle w:val="Compact"/>
              <w:jc w:val="left"/>
            </w:pPr>
            <w:r>
              <w:rPr>
                <w:bCs/>
                <w:b/>
              </w:rPr>
              <w:t xml:space="preserve">Nitrogen</w:t>
            </w:r>
          </w:p>
        </w:tc>
        <w:tc>
          <w:tcPr/>
          <w:p>
            <w:pPr>
              <w:pStyle w:val="Compact"/>
              <w:jc w:val="left"/>
            </w:pPr>
            <w:r>
              <w:rPr>
                <w:iCs/>
                <w:i/>
              </w:rPr>
              <w:t xml:space="preserve">Converted</w:t>
            </w:r>
            <w:r>
              <w:t xml:space="preserve"> </w:t>
            </w:r>
            <w:r>
              <w:t xml:space="preserve">to nitrate, not removed — conventional systems retain only ~10–30%</w:t>
            </w:r>
          </w:p>
        </w:tc>
        <w:tc>
          <w:tcPr/>
          <w:p>
            <w:pPr>
              <w:pStyle w:val="Compact"/>
              <w:jc w:val="left"/>
            </w:pPr>
            <w:r>
              <w:rPr>
                <w:bCs/>
                <w:b/>
              </w:rPr>
              <w:t xml:space="preserve">PARTLY</w:t>
            </w:r>
            <w:r>
              <w:t xml:space="preserve"> </w:t>
            </w:r>
            <w:r>
              <w:t xml:space="preserve">(amber)</w:t>
            </w:r>
          </w:p>
        </w:tc>
      </w:tr>
      <w:tr>
        <w:tc>
          <w:tcPr/>
          <w:p>
            <w:pPr>
              <w:pStyle w:val="Compact"/>
              <w:jc w:val="left"/>
            </w:pPr>
            <w:r>
              <w:rPr>
                <w:bCs/>
                <w:b/>
              </w:rPr>
              <w:t xml:space="preserve">Phosphorus</w:t>
            </w:r>
          </w:p>
        </w:tc>
        <w:tc>
          <w:tcPr/>
          <w:p>
            <w:pPr>
              <w:pStyle w:val="Compact"/>
              <w:jc w:val="left"/>
            </w:pPr>
            <w:r>
              <w:t xml:space="preserve">Binds to soil until binding sites saturate, then</w:t>
            </w:r>
            <w:r>
              <w:t xml:space="preserve"> </w:t>
            </w:r>
            <w:r>
              <w:t xml:space="preserve">“</w:t>
            </w:r>
            <w:r>
              <w:t xml:space="preserve">breaks through</w:t>
            </w:r>
            <w:r>
              <w:t xml:space="preserve">”</w:t>
            </w:r>
          </w:p>
        </w:tc>
        <w:tc>
          <w:tcPr/>
          <w:p>
            <w:pPr>
              <w:pStyle w:val="Compact"/>
              <w:jc w:val="left"/>
            </w:pPr>
            <w:r>
              <w:rPr>
                <w:bCs/>
                <w:b/>
              </w:rPr>
              <w:t xml:space="preserve">AGE-DRIVEN</w:t>
            </w:r>
            <w:r>
              <w:t xml:space="preserve"> </w:t>
            </w:r>
            <w:r>
              <w:t xml:space="preserve">(amber)</w:t>
            </w:r>
          </w:p>
        </w:tc>
      </w:tr>
      <w:tr>
        <w:tc>
          <w:tcPr/>
          <w:p>
            <w:pPr>
              <w:pStyle w:val="Compact"/>
              <w:jc w:val="left"/>
            </w:pPr>
            <w:r>
              <w:rPr>
                <w:bCs/>
                <w:b/>
              </w:rPr>
              <w:t xml:space="preserve">PFAS &amp; pharmaceuticals</w:t>
            </w:r>
          </w:p>
        </w:tc>
        <w:tc>
          <w:tcPr/>
          <w:p>
            <w:pPr>
              <w:pStyle w:val="Compact"/>
              <w:jc w:val="left"/>
            </w:pPr>
            <w:r>
              <w:t xml:space="preserve">Pass through essentially unaltered</w:t>
            </w:r>
          </w:p>
        </w:tc>
        <w:tc>
          <w:tcPr/>
          <w:p>
            <w:pPr>
              <w:pStyle w:val="Compact"/>
              <w:jc w:val="left"/>
            </w:pPr>
            <w:r>
              <w:rPr>
                <w:bCs/>
                <w:b/>
              </w:rPr>
              <w:t xml:space="preserve">NO</w:t>
            </w:r>
            <w:r>
              <w:t xml:space="preserve"> </w:t>
            </w:r>
            <w:r>
              <w:t xml:space="preserve">(gray)</w:t>
            </w:r>
          </w:p>
        </w:tc>
      </w:tr>
    </w:tbl>
    <w:p>
      <w:pPr>
        <w:pStyle w:val="BodyText"/>
      </w:pPr>
      <w:r>
        <w:rPr>
          <w:bCs/>
          <w:b/>
        </w:rPr>
        <w:t xml:space="preserve">Callout box (deep blue, white text):</w:t>
      </w:r>
      <w:r>
        <w:t xml:space="preserve"> </w:t>
      </w:r>
      <w:r>
        <w:t xml:space="preserve">&gt;</w:t>
      </w:r>
      <w:r>
        <w:t xml:space="preserve"> </w:t>
      </w:r>
      <w:r>
        <w:rPr>
          <w:bCs/>
          <w:b/>
        </w:rPr>
        <w:t xml:space="preserve">Nitrate travels</w:t>
      </w:r>
      <w:r>
        <w:rPr>
          <w:bCs/>
          <w:b/>
        </w:rPr>
        <w:t xml:space="preserve"> </w:t>
      </w:r>
      <w:r>
        <w:rPr>
          <w:bCs/>
          <w:b/>
        </w:rPr>
        <w:t xml:space="preserve">“</w:t>
      </w:r>
      <w:r>
        <w:rPr>
          <w:bCs/>
          <w:b/>
        </w:rPr>
        <w:t xml:space="preserve">conservatively</w:t>
      </w:r>
      <w:r>
        <w:rPr>
          <w:bCs/>
          <w:b/>
        </w:rPr>
        <w:t xml:space="preserve">”</w:t>
      </w:r>
      <w:r>
        <w:t xml:space="preserve"> </w:t>
      </w:r>
      <w:r>
        <w:t xml:space="preserve">— it does not stick to sand and is barely consumed, because denitrifying bacteria need low oxygen and a carbon source that these oxygen-rich, carbon-poor sands do not provide. What enters the groundwater arrives at the creek.</w:t>
      </w:r>
    </w:p>
    <w:p>
      <w:r>
        <w:pict>
          <v:rect style="width:0;height:1.5pt" o:hralign="center" o:hrstd="t" o:hr="t"/>
        </w:pict>
      </w:r>
    </w:p>
    <w:bookmarkEnd w:id="27"/>
    <w:bookmarkStart w:id="29" w:name="column-3-six-ecological-pathways"/>
    <w:p>
      <w:pPr>
        <w:pStyle w:val="Heading2"/>
      </w:pPr>
      <w:r>
        <w:t xml:space="preserve">5. Column 3 — Six Ecological Pathways</w:t>
      </w:r>
    </w:p>
    <w:p>
      <w:pPr>
        <w:pStyle w:val="FirstParagraph"/>
      </w:pPr>
      <w:r>
        <w:rPr>
          <w:iCs/>
          <w:i/>
        </w:rPr>
        <w:t xml:space="preserve">Accent color: seagrass teal</w:t>
      </w:r>
      <w:r>
        <w:rPr>
          <w:iCs/>
          <w:i/>
        </w:rPr>
        <w:t xml:space="preserve"> </w:t>
      </w:r>
      <w:r>
        <w:rPr>
          <w:rStyle w:val="VerbatimChar"/>
          <w:iCs/>
          <w:i/>
        </w:rPr>
        <w:t xml:space="preserve">#2e8b83</w:t>
      </w:r>
    </w:p>
    <w:p>
      <w:pPr>
        <w:pStyle w:val="BodyText"/>
      </w:pPr>
      <w:r>
        <w:rPr>
          <w:bCs/>
          <w:b/>
        </w:rPr>
        <w:t xml:space="preserve">Intro:</w:t>
      </w:r>
      <w:r>
        <w:t xml:space="preserve"> </w:t>
      </w:r>
      <w:r>
        <w:t xml:space="preserve">We synthesized the peer-reviewed and agency literature into six pathways, each labeled by how strong the evidence actually is for</w:t>
      </w:r>
      <w:r>
        <w:t xml:space="preserve"> </w:t>
      </w:r>
      <w:r>
        <w:rPr>
          <w:iCs/>
          <w:i/>
        </w:rPr>
        <w:t xml:space="preserve">the Eastern Shore specifically</w:t>
      </w:r>
      <w:r>
        <w:t xml:space="preserve">.</w:t>
      </w:r>
    </w:p>
    <w:bookmarkStart w:id="28" w:name="pathway-table"/>
    <w:p>
      <w:pPr>
        <w:pStyle w:val="Heading3"/>
      </w:pPr>
      <w:r>
        <w:t xml:space="preserve">Pathway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Pathway</w:t>
            </w:r>
          </w:p>
        </w:tc>
        <w:tc>
          <w:tcPr/>
          <w:p>
            <w:pPr>
              <w:pStyle w:val="Compact"/>
              <w:jc w:val="left"/>
            </w:pPr>
            <w:r>
              <w:t xml:space="preserve">Consequence</w:t>
            </w:r>
          </w:p>
        </w:tc>
        <w:tc>
          <w:tcPr/>
          <w:p>
            <w:pPr>
              <w:pStyle w:val="Compact"/>
              <w:jc w:val="left"/>
            </w:pPr>
            <w:r>
              <w:t xml:space="preserve">ESVA evidence</w:t>
            </w:r>
          </w:p>
        </w:tc>
      </w:tr>
      <w:tr>
        <w:tc>
          <w:tcPr/>
          <w:p>
            <w:pPr>
              <w:pStyle w:val="Compact"/>
              <w:jc w:val="left"/>
            </w:pPr>
            <w:r>
              <w:rPr>
                <w:bCs/>
                <w:b/>
              </w:rPr>
              <w:t xml:space="preserve">1 · Groundwater &amp; aquifer</w:t>
            </w:r>
          </w:p>
        </w:tc>
        <w:tc>
          <w:tcPr/>
          <w:p>
            <w:pPr>
              <w:pStyle w:val="Compact"/>
              <w:jc w:val="left"/>
            </w:pPr>
            <w:r>
              <w:t xml:space="preserve">Nitrate reaches the shallow aquifer largely untreated; phosphorus breaks through as soils age</w:t>
            </w:r>
          </w:p>
        </w:tc>
        <w:tc>
          <w:tcPr/>
          <w:p>
            <w:pPr>
              <w:pStyle w:val="Compact"/>
              <w:jc w:val="left"/>
            </w:pPr>
            <w:r>
              <w:t xml:space="preserve">STRONGLY SUPPORTED</w:t>
            </w:r>
          </w:p>
        </w:tc>
      </w:tr>
      <w:tr>
        <w:tc>
          <w:tcPr/>
          <w:p>
            <w:pPr>
              <w:pStyle w:val="Compact"/>
              <w:jc w:val="left"/>
            </w:pPr>
            <w:r>
              <w:rPr>
                <w:bCs/>
                <w:b/>
              </w:rPr>
              <w:t xml:space="preserve">2 · Tidal creeks &amp; salt marsh</w:t>
            </w:r>
          </w:p>
        </w:tc>
        <w:tc>
          <w:tcPr/>
          <w:p>
            <w:pPr>
              <w:pStyle w:val="Compact"/>
              <w:jc w:val="left"/>
            </w:pPr>
            <w:r>
              <w:t xml:space="preserve">Nutrient enrichment; algal mats; marsh peat breakdown and creek-bank collapse</w:t>
            </w:r>
          </w:p>
        </w:tc>
        <w:tc>
          <w:tcPr/>
          <w:p>
            <w:pPr>
              <w:pStyle w:val="Compact"/>
              <w:jc w:val="left"/>
            </w:pPr>
            <w:r>
              <w:t xml:space="preserve">PLAUSIBLE</w:t>
            </w:r>
          </w:p>
        </w:tc>
      </w:tr>
      <w:tr>
        <w:tc>
          <w:tcPr/>
          <w:p>
            <w:pPr>
              <w:pStyle w:val="Compact"/>
              <w:jc w:val="left"/>
            </w:pPr>
            <w:r>
              <w:rPr>
                <w:bCs/>
                <w:b/>
              </w:rPr>
              <w:t xml:space="preserve">3a · Chesapeake Bay (Bayside)</w:t>
            </w:r>
          </w:p>
        </w:tc>
        <w:tc>
          <w:tcPr/>
          <w:p>
            <w:pPr>
              <w:pStyle w:val="Compact"/>
              <w:jc w:val="left"/>
            </w:pPr>
            <w:r>
              <w:t xml:space="preserve">Adds to Bay-wide nutrient enrichment, low-oxygen zones and underwater-grass loss</w:t>
            </w:r>
          </w:p>
        </w:tc>
        <w:tc>
          <w:tcPr/>
          <w:p>
            <w:pPr>
              <w:pStyle w:val="Compact"/>
              <w:jc w:val="left"/>
            </w:pPr>
            <w:r>
              <w:t xml:space="preserve">STRONGLY SUPPORTED</w:t>
            </w:r>
          </w:p>
        </w:tc>
      </w:tr>
      <w:tr>
        <w:tc>
          <w:tcPr/>
          <w:p>
            <w:pPr>
              <w:pStyle w:val="Compact"/>
              <w:jc w:val="left"/>
            </w:pPr>
            <w:r>
              <w:rPr>
                <w:bCs/>
                <w:b/>
              </w:rPr>
              <w:t xml:space="preserve">3b · Seaside lagoons</w:t>
            </w:r>
          </w:p>
        </w:tc>
        <w:tc>
          <w:tcPr/>
          <w:p>
            <w:pPr>
              <w:pStyle w:val="Compact"/>
              <w:jc w:val="left"/>
            </w:pPr>
            <w:r>
              <w:t xml:space="preserve">Shallow bays behind the barrier islands are slow to exchange water, so nutrients accumulate rather than disperse</w:t>
            </w:r>
          </w:p>
        </w:tc>
        <w:tc>
          <w:tcPr/>
          <w:p>
            <w:pPr>
              <w:pStyle w:val="Compact"/>
              <w:jc w:val="left"/>
            </w:pPr>
            <w:r>
              <w:t xml:space="preserve">STRONGLY SUPPORTED</w:t>
            </w:r>
          </w:p>
        </w:tc>
      </w:tr>
      <w:tr>
        <w:tc>
          <w:tcPr/>
          <w:p>
            <w:pPr>
              <w:pStyle w:val="Compact"/>
              <w:jc w:val="left"/>
            </w:pPr>
            <w:r>
              <w:rPr>
                <w:bCs/>
                <w:b/>
              </w:rPr>
              <w:t xml:space="preserve">4 · Shellfish &amp; aquaculture</w:t>
            </w:r>
          </w:p>
        </w:tc>
        <w:tc>
          <w:tcPr/>
          <w:p>
            <w:pPr>
              <w:pStyle w:val="Compact"/>
              <w:jc w:val="left"/>
            </w:pPr>
            <w:r>
              <w:t xml:space="preserve">Bacteria and viruses from failing systems trigger harvest closures</w:t>
            </w:r>
          </w:p>
        </w:tc>
        <w:tc>
          <w:tcPr/>
          <w:p>
            <w:pPr>
              <w:pStyle w:val="Compact"/>
              <w:jc w:val="left"/>
            </w:pPr>
            <w:r>
              <w:t xml:space="preserve">STRONGLY SUPPORTED</w:t>
            </w:r>
          </w:p>
        </w:tc>
      </w:tr>
      <w:tr>
        <w:tc>
          <w:tcPr/>
          <w:p>
            <w:pPr>
              <w:pStyle w:val="Compact"/>
              <w:jc w:val="left"/>
            </w:pPr>
            <w:r>
              <w:rPr>
                <w:bCs/>
                <w:b/>
              </w:rPr>
              <w:t xml:space="preserve">5 · Species &amp; habitat</w:t>
            </w:r>
          </w:p>
        </w:tc>
        <w:tc>
          <w:tcPr/>
          <w:p>
            <w:pPr>
              <w:pStyle w:val="Compact"/>
              <w:jc w:val="left"/>
            </w:pPr>
            <w:r>
              <w:t xml:space="preserve">Bay scallop, blue crab, terrapin — indirect effects through loss of grass and marsh habitat</w:t>
            </w:r>
          </w:p>
        </w:tc>
        <w:tc>
          <w:tcPr/>
          <w:p>
            <w:pPr>
              <w:pStyle w:val="Compact"/>
              <w:jc w:val="left"/>
            </w:pPr>
            <w:r>
              <w:t xml:space="preserve">PLAUSIBLE</w:t>
            </w:r>
          </w:p>
        </w:tc>
      </w:tr>
      <w:tr>
        <w:tc>
          <w:tcPr/>
          <w:p>
            <w:pPr>
              <w:pStyle w:val="Compact"/>
              <w:jc w:val="left"/>
            </w:pPr>
            <w:r>
              <w:rPr>
                <w:bCs/>
                <w:b/>
              </w:rPr>
              <w:t xml:space="preserve">6 · Drainfield footprint</w:t>
            </w:r>
          </w:p>
        </w:tc>
        <w:tc>
          <w:tcPr/>
          <w:p>
            <w:pPr>
              <w:pStyle w:val="Compact"/>
              <w:jc w:val="left"/>
            </w:pPr>
            <w:r>
              <w:t xml:space="preserve">Waterlogged soils, vegetation die-off,</w:t>
            </w:r>
            <w:r>
              <w:t xml:space="preserve"> </w:t>
            </w:r>
            <w:r>
              <w:rPr>
                <w:iCs/>
                <w:i/>
              </w:rPr>
              <w:t xml:space="preserve">Phragmites</w:t>
            </w:r>
            <w:r>
              <w:t xml:space="preserve"> </w:t>
            </w:r>
            <w:r>
              <w:t xml:space="preserve">spread, mosquito habitat</w:t>
            </w:r>
          </w:p>
        </w:tc>
        <w:tc>
          <w:tcPr/>
          <w:p>
            <w:pPr>
              <w:pStyle w:val="Compact"/>
              <w:jc w:val="left"/>
            </w:pPr>
            <w:r>
              <w:t xml:space="preserve">PLAUSIBLE</w:t>
            </w:r>
          </w:p>
        </w:tc>
      </w:tr>
    </w:tbl>
    <w:p>
      <w:pPr>
        <w:pStyle w:val="BodyText"/>
      </w:pPr>
      <w:r>
        <w:rPr>
          <w:bCs/>
          <w:b/>
        </w:rPr>
        <w:t xml:space="preserve">Evidence key</w:t>
      </w:r>
      <w:r>
        <w:t xml:space="preserve"> </w:t>
      </w:r>
      <w:r>
        <w:t xml:space="preserve">(colored chips): ESTABLISHED</w:t>
      </w:r>
      <w:r>
        <w:t xml:space="preserve"> </w:t>
      </w:r>
      <w:r>
        <w:rPr>
          <w:rStyle w:val="VerbatimChar"/>
        </w:rPr>
        <w:t xml:space="preserve">#1f6f4a</w:t>
      </w:r>
      <w:r>
        <w:t xml:space="preserve"> </w:t>
      </w:r>
      <w:r>
        <w:t xml:space="preserve">· STRONGLY SUPPORTED</w:t>
      </w:r>
      <w:r>
        <w:t xml:space="preserve"> </w:t>
      </w:r>
      <w:r>
        <w:rPr>
          <w:rStyle w:val="VerbatimChar"/>
        </w:rPr>
        <w:t xml:space="preserve">#2e8b83</w:t>
      </w:r>
      <w:r>
        <w:t xml:space="preserve"> </w:t>
      </w:r>
      <w:r>
        <w:t xml:space="preserve">· PLAUSIBLE</w:t>
      </w:r>
      <w:r>
        <w:t xml:space="preserve"> </w:t>
      </w:r>
      <w:r>
        <w:rPr>
          <w:rStyle w:val="VerbatimChar"/>
        </w:rPr>
        <w:t xml:space="preserve">#c88a2e</w:t>
      </w:r>
      <w:r>
        <w:t xml:space="preserve"> </w:t>
      </w:r>
      <w:r>
        <w:t xml:space="preserve">· SPECULATIVE</w:t>
      </w:r>
      <w:r>
        <w:t xml:space="preserve"> </w:t>
      </w:r>
      <w:r>
        <w:rPr>
          <w:rStyle w:val="VerbatimChar"/>
        </w:rPr>
        <w:t xml:space="preserve">#8b8b8b</w:t>
      </w:r>
    </w:p>
    <w:p>
      <w:pPr>
        <w:pStyle w:val="BodyText"/>
      </w:pPr>
      <w:r>
        <w:rPr>
          <w:bCs/>
          <w:b/>
        </w:rPr>
        <w:t xml:space="preserve">Key caption:</w:t>
      </w:r>
      <w:r>
        <w:t xml:space="preserve"> </w:t>
      </w:r>
      <w:r>
        <w:t xml:space="preserve">Labels describe</w:t>
      </w:r>
      <w:r>
        <w:t xml:space="preserve"> </w:t>
      </w:r>
      <w:r>
        <w:rPr>
          <w:iCs/>
          <w:i/>
        </w:rPr>
        <w:t xml:space="preserve">ESVA-specific attribution</w:t>
      </w:r>
      <w:r>
        <w:t xml:space="preserve">, not whether the mechanism is real. Nearly all of these mechanisms are firmly established in the general literature.</w:t>
      </w:r>
    </w:p>
    <w:p>
      <w:pPr>
        <w:pStyle w:val="BodyText"/>
      </w:pPr>
      <w:r>
        <w:rPr>
          <w:bCs/>
          <w:b/>
        </w:rPr>
        <w:t xml:space="preserve">Note:</w:t>
      </w:r>
      <w:r>
        <w:t xml:space="preserve"> </w:t>
      </w:r>
      <w:r>
        <w:t xml:space="preserve">“</w:t>
      </w:r>
      <w:r>
        <w:t xml:space="preserve">SAV</w:t>
      </w:r>
      <w:r>
        <w:t xml:space="preserve">”</w:t>
      </w:r>
      <w:r>
        <w:t xml:space="preserve"> </w:t>
      </w:r>
      <w:r>
        <w:t xml:space="preserve">(submerged aquatic vegetation) has been replaced throughout with plain-language</w:t>
      </w:r>
      <w:r>
        <w:t xml:space="preserve"> </w:t>
      </w:r>
      <w:r>
        <w:rPr>
          <w:bCs/>
          <w:b/>
        </w:rPr>
        <w:t xml:space="preserve">“</w:t>
      </w:r>
      <w:r>
        <w:rPr>
          <w:bCs/>
          <w:b/>
        </w:rPr>
        <w:t xml:space="preserve">underwater grasses</w:t>
      </w:r>
      <w:r>
        <w:rPr>
          <w:bCs/>
          <w:b/>
        </w:rPr>
        <w:t xml:space="preserve">”</w:t>
      </w:r>
      <w:r>
        <w:t xml:space="preserve"> </w:t>
      </w:r>
      <w:r>
        <w:t xml:space="preserve">— the term the Chesapeake Bay Program itself uses for public communication.</w:t>
      </w:r>
    </w:p>
    <w:p>
      <w:pPr>
        <w:pStyle w:val="BodyText"/>
      </w:pPr>
      <w:r>
        <w:rPr>
          <w:bCs/>
          <w:b/>
        </w:rPr>
        <w:t xml:space="preserve">Subhead: Why the seaside lagoons are the sensitive case</w:t>
      </w:r>
    </w:p>
    <w:p>
      <w:pPr>
        <w:pStyle w:val="BodyText"/>
      </w:pPr>
      <w:r>
        <w:t xml:space="preserve">The Bay is large, deep and exchanges water freely, so added nutrients disperse. The seaside lagoons sit behind barrier islands and exchange water only through narrow inlets, so</w:t>
      </w:r>
      <w:r>
        <w:t xml:space="preserve"> </w:t>
      </w:r>
      <w:r>
        <w:rPr>
          <w:bCs/>
          <w:b/>
        </w:rPr>
        <w:t xml:space="preserve">nutrients accumulate</w:t>
      </w:r>
      <w:r>
        <w:t xml:space="preserve">. The same pound of nitrogen does more there.</w:t>
      </w:r>
    </w:p>
    <w:p>
      <w:pPr>
        <w:pStyle w:val="BodyText"/>
      </w:pPr>
      <w:r>
        <w:t xml:space="preserve">Shallow bays like these do not degrade gradually. They absorb nutrients for years with little visible change, then</w:t>
      </w:r>
      <w:r>
        <w:t xml:space="preserve"> </w:t>
      </w:r>
      <w:r>
        <w:rPr>
          <w:bCs/>
          <w:b/>
        </w:rPr>
        <w:t xml:space="preserve">flip</w:t>
      </w:r>
      <w:r>
        <w:t xml:space="preserve"> </w:t>
      </w:r>
      <w:r>
        <w:t xml:space="preserve">— from clear water with grass on the bottom to cloudy water dominated by algae.</w:t>
      </w:r>
    </w:p>
    <w:p>
      <w:pPr>
        <w:pStyle w:val="BodyText"/>
      </w:pPr>
      <w:r>
        <w:rPr>
          <w:bCs/>
          <w:b/>
        </w:rPr>
        <w:t xml:space="preserve">Callout box (deep blue, white text):</w:t>
      </w:r>
      <w:r>
        <w:t xml:space="preserve"> </w:t>
      </w:r>
      <w:r>
        <w:t xml:space="preserve">&gt;</w:t>
      </w:r>
      <w:r>
        <w:t xml:space="preserve"> </w:t>
      </w:r>
      <w:r>
        <w:rPr>
          <w:bCs/>
          <w:b/>
        </w:rPr>
        <w:t xml:space="preserve">And the flip is hard to undo.</w:t>
      </w:r>
      <w:r>
        <w:t xml:space="preserve"> </w:t>
      </w:r>
      <w:r>
        <w:t xml:space="preserve">Once the grass is gone the water stays cloudy, so light cannot reach the bottom, so grass cannot re-establish — even if nutrients fall back to where they started. That is the argument for</w:t>
      </w:r>
      <w:r>
        <w:t xml:space="preserve"> </w:t>
      </w:r>
      <w:r>
        <w:rPr>
          <w:iCs/>
          <w:i/>
        </w:rPr>
        <w:t xml:space="preserve">prevention</w:t>
      </w:r>
      <w:r>
        <w:t xml:space="preserve"> </w:t>
      </w:r>
      <w:r>
        <w:t xml:space="preserve">over restoration.</w:t>
      </w:r>
    </w:p>
    <w:p>
      <w:r>
        <w:pict>
          <v:rect style="width:0;height:1.5pt" o:hralign="center" o:hrstd="t" o:hr="t"/>
        </w:pict>
      </w:r>
    </w:p>
    <w:bookmarkEnd w:id="28"/>
    <w:bookmarkEnd w:id="29"/>
    <w:bookmarkStart w:id="30" w:name="column-4-what-sits-downstream"/>
    <w:p>
      <w:pPr>
        <w:pStyle w:val="Heading2"/>
      </w:pPr>
      <w:r>
        <w:t xml:space="preserve">6. Column 4 — What Sits Downstream</w:t>
      </w:r>
    </w:p>
    <w:p>
      <w:pPr>
        <w:pStyle w:val="FirstParagraph"/>
      </w:pPr>
      <w:r>
        <w:rPr>
          <w:iCs/>
          <w:i/>
        </w:rPr>
        <w:t xml:space="preserve">Accent color: marsh green</w:t>
      </w:r>
      <w:r>
        <w:rPr>
          <w:iCs/>
          <w:i/>
        </w:rPr>
        <w:t xml:space="preserve"> </w:t>
      </w:r>
      <w:r>
        <w:rPr>
          <w:rStyle w:val="VerbatimChar"/>
          <w:iCs/>
          <w:i/>
        </w:rPr>
        <w:t xml:space="preserve">#4a7c4e</w:t>
      </w:r>
    </w:p>
    <w:p>
      <w:pPr>
        <w:pStyle w:val="BlockText"/>
      </w:pPr>
      <w:r>
        <w:rPr>
          <w:bCs/>
          <w:b/>
        </w:rPr>
        <w:t xml:space="preserve">Reframed from the first draft.</w:t>
      </w:r>
      <w:r>
        <w:t xml:space="preserve"> </w:t>
      </w:r>
      <w:r>
        <w:t xml:space="preserve">The original version implied that failing septic systems are currently threatening the seagrass restoration and the aquaculture economy. That overstates the evidence. This version presents the assets, establishes that the system has limited buffer capacity, and states plainly what has not been measured.</w:t>
      </w:r>
    </w:p>
    <w:p>
      <w:pPr>
        <w:pStyle w:val="FirstParagraph"/>
      </w:pPr>
      <w:r>
        <w:rPr>
          <w:bCs/>
          <w:b/>
        </w:rPr>
        <w:t xml:space="preserve">Intro:</w:t>
      </w:r>
      <w:r>
        <w:t xml:space="preserve"> </w:t>
      </w:r>
      <w:r>
        <w:t xml:space="preserve">The Shore has recovered ecological assets that most of the Atlantic coast lost permanently. They sit downstream of 18,000 septic systems.</w:t>
      </w:r>
    </w:p>
    <w:p>
      <w:pPr>
        <w:pStyle w:val="BodyText"/>
      </w:pPr>
      <w:r>
        <w:rPr>
          <w:bCs/>
          <w:b/>
        </w:rPr>
        <w:t xml:space="preserve">Stat block (teal):</w:t>
      </w:r>
      <w:r>
        <w:t xml:space="preserve"> </w:t>
      </w:r>
      <w:r>
        <w:t xml:space="preserve">&gt;</w:t>
      </w:r>
      <w:r>
        <w:t xml:space="preserve"> </w:t>
      </w:r>
      <w:r>
        <w:rPr>
          <w:bCs/>
          <w:b/>
        </w:rPr>
        <w:t xml:space="preserve">3,612 ha</w:t>
      </w:r>
      <w:r>
        <w:t xml:space="preserve"> </w:t>
      </w:r>
      <w:r>
        <w:t xml:space="preserve">&gt; (~8,900 acres) of eelgrass restored from</w:t>
      </w:r>
      <w:r>
        <w:t xml:space="preserve"> </w:t>
      </w:r>
      <w:r>
        <w:rPr>
          <w:bCs/>
          <w:b/>
        </w:rPr>
        <w:t xml:space="preserve">70+ million seeds</w:t>
      </w:r>
      <w:r>
        <w:t xml:space="preserve"> </w:t>
      </w:r>
      <w:r>
        <w:t xml:space="preserve">since 1999 — the</w:t>
      </w:r>
      <w:r>
        <w:t xml:space="preserve"> </w:t>
      </w:r>
      <w:r>
        <w:rPr>
          <w:bCs/>
          <w:b/>
        </w:rPr>
        <w:t xml:space="preserve">largest successful seagrass restoration in the world</w:t>
      </w:r>
      <w:r>
        <w:t xml:space="preserve"> </w:t>
      </w:r>
      <w:r>
        <w:t xml:space="preserve">and the largest eelgrass habitat between North Carolina and Long Island Sound (Orth et al. 2020)</w:t>
      </w:r>
    </w:p>
    <w:p>
      <w:pPr>
        <w:pStyle w:val="BodyText"/>
      </w:pPr>
      <w:r>
        <w:rPr>
          <w:bCs/>
          <w:b/>
        </w:rPr>
        <w:t xml:space="preserve">Stat block (teal):</w:t>
      </w:r>
      <w:r>
        <w:t xml:space="preserve"> </w:t>
      </w:r>
      <w:r>
        <w:t xml:space="preserve">&gt;</w:t>
      </w:r>
      <w:r>
        <w:t xml:space="preserve"> </w:t>
      </w:r>
      <w:r>
        <w:rPr>
          <w:bCs/>
          <w:b/>
        </w:rPr>
        <w:t xml:space="preserve">~90 yrs</w:t>
      </w:r>
      <w:r>
        <w:t xml:space="preserve"> </w:t>
      </w:r>
      <w:r>
        <w:t xml:space="preserve">&gt; the bay scallop was absent before reintroduction succeeded in that restored meadow — the only recovery of its kind</w:t>
      </w:r>
    </w:p>
    <w:p>
      <w:pPr>
        <w:pStyle w:val="BodyText"/>
      </w:pPr>
      <w:r>
        <w:rPr>
          <w:bCs/>
          <w:b/>
        </w:rPr>
        <w:t xml:space="preserve">Paired stat blocks (green):</w:t>
      </w:r>
      <w:r>
        <w:t xml:space="preserve"> </w:t>
      </w:r>
      <w:r>
        <w:t xml:space="preserve">&gt;</w:t>
      </w:r>
      <w:r>
        <w:t xml:space="preserve"> </w:t>
      </w:r>
      <w:r>
        <w:rPr>
          <w:bCs/>
          <w:b/>
        </w:rPr>
        <w:t xml:space="preserve">$81M</w:t>
      </w:r>
      <w:r>
        <w:t xml:space="preserve"> </w:t>
      </w:r>
      <w:r>
        <w:t xml:space="preserve">— Virginia shellfish aquaculture direct sales, 2024 — up</w:t>
      </w:r>
      <w:r>
        <w:t xml:space="preserve"> </w:t>
      </w:r>
      <w:r>
        <w:rPr>
          <w:bCs/>
          <w:b/>
        </w:rPr>
        <w:t xml:space="preserve">52%</w:t>
      </w:r>
      <w:r>
        <w:t xml:space="preserve"> </w:t>
      </w:r>
      <w:r>
        <w:t xml:space="preserve">from $53M in 2018</w:t>
      </w:r>
      <w:r>
        <w:t xml:space="preserve"> </w:t>
      </w:r>
      <w:r>
        <w:t xml:space="preserve">&gt;</w:t>
      </w:r>
      <w:r>
        <w:t xml:space="preserve"> </w:t>
      </w:r>
      <w:r>
        <w:rPr>
          <w:bCs/>
          <w:b/>
        </w:rPr>
        <w:t xml:space="preserve">700+</w:t>
      </w:r>
      <w:r>
        <w:t xml:space="preserve"> </w:t>
      </w:r>
      <w:r>
        <w:t xml:space="preserve">— industry jobs, up from ~480 in 2018 (Hudson/VIMS 2025)</w:t>
      </w:r>
    </w:p>
    <w:p>
      <w:pPr>
        <w:pStyle w:val="BodyText"/>
      </w:pPr>
      <w:r>
        <w:rPr>
          <w:bCs/>
          <w:b/>
        </w:rPr>
        <w:t xml:space="preserve">Subhead: Why the margin is thin</w:t>
      </w:r>
    </w:p>
    <w:p>
      <w:pPr>
        <w:pStyle w:val="BodyText"/>
      </w:pPr>
      <w:r>
        <w:t xml:space="preserve">These systems are not currently degraded by septic pollution. They are, however, demonstrably</w:t>
      </w:r>
      <w:r>
        <w:t xml:space="preserve"> </w:t>
      </w:r>
      <w:r>
        <w:rPr>
          <w:iCs/>
          <w:i/>
        </w:rPr>
        <w:t xml:space="preserve">perturbable</w:t>
      </w:r>
      <w:r>
        <w:t xml:space="preserve"> </w:t>
      </w:r>
      <w:r>
        <w:t xml:space="preserve">— which is what makes an additional and growing stressor consequential.</w:t>
      </w:r>
    </w:p>
    <w:p>
      <w:pPr>
        <w:numPr>
          <w:ilvl w:val="0"/>
          <w:numId w:val="1001"/>
        </w:numPr>
        <w:pStyle w:val="Compact"/>
      </w:pPr>
      <w:r>
        <w:t xml:space="preserve">The 2015 marine heat wave caused</w:t>
      </w:r>
      <w:r>
        <w:t xml:space="preserve"> </w:t>
      </w:r>
      <w:r>
        <w:rPr>
          <w:bCs/>
          <w:b/>
        </w:rPr>
        <w:t xml:space="preserve">~50% areal eelgrass loss</w:t>
      </w:r>
      <w:r>
        <w:t xml:space="preserve"> </w:t>
      </w:r>
      <w:r>
        <w:t xml:space="preserve">in South and Hog Island Bays; recovery is still incomplete.</w:t>
      </w:r>
    </w:p>
    <w:p>
      <w:pPr>
        <w:numPr>
          <w:ilvl w:val="0"/>
          <w:numId w:val="1001"/>
        </w:numPr>
        <w:pStyle w:val="Compact"/>
      </w:pPr>
      <w:r>
        <w:t xml:space="preserve">Warming</w:t>
      </w:r>
      <w:r>
        <w:t xml:space="preserve"> </w:t>
      </w:r>
      <w:r>
        <w:rPr>
          <w:bCs/>
          <w:b/>
        </w:rPr>
        <w:t xml:space="preserve">lowers eelgrass tolerance for nutrients</w:t>
      </w:r>
      <w:r>
        <w:t xml:space="preserve">, narrowing the safe operating range (Lefcheck et al. 2017).</w:t>
      </w:r>
    </w:p>
    <w:p>
      <w:pPr>
        <w:numPr>
          <w:ilvl w:val="0"/>
          <w:numId w:val="1001"/>
        </w:numPr>
        <w:pStyle w:val="Compact"/>
      </w:pPr>
      <w:r>
        <w:t xml:space="preserve">Fecal-indicator exceedance in tidal waters rises from</w:t>
      </w:r>
      <w:r>
        <w:t xml:space="preserve"> </w:t>
      </w:r>
      <w:r>
        <w:rPr>
          <w:bCs/>
          <w:b/>
        </w:rPr>
        <w:t xml:space="preserve">~7% on dry days to ~37%</w:t>
      </w:r>
      <w:r>
        <w:t xml:space="preserve"> </w:t>
      </w:r>
      <w:r>
        <w:t xml:space="preserve">after ≥1 inch of rain (Zimmer-Faust et al. 2018).</w:t>
      </w:r>
    </w:p>
    <w:p>
      <w:pPr>
        <w:numPr>
          <w:ilvl w:val="0"/>
          <w:numId w:val="1001"/>
        </w:numPr>
        <w:pStyle w:val="Compact"/>
      </w:pPr>
      <w:r>
        <w:t xml:space="preserve">Shellfish closure areas and sea-level-vulnerable septic clusters</w:t>
      </w:r>
      <w:r>
        <w:t xml:space="preserve"> </w:t>
      </w:r>
      <w:r>
        <w:rPr>
          <w:bCs/>
          <w:b/>
        </w:rPr>
        <w:t xml:space="preserve">occupy the same ground</w:t>
      </w:r>
      <w:r>
        <w:t xml:space="preserve"> </w:t>
      </w:r>
      <w:r>
        <w:t xml:space="preserve">— Oyster, Willis Wharf, Quinby, Wachapreague, Saxis, Chincoteague, Cape Charles.</w:t>
      </w:r>
    </w:p>
    <w:p>
      <w:pPr>
        <w:pStyle w:val="FirstParagraph"/>
      </w:pPr>
      <w:r>
        <w:rPr>
          <w:bCs/>
          <w:b/>
        </w:rPr>
        <w:t xml:space="preserve">Limits box (light blue fill, dashed blue border) —</w:t>
      </w:r>
      <w:r>
        <w:rPr>
          <w:bCs/>
          <w:b/>
        </w:rPr>
        <w:t xml:space="preserve"> </w:t>
      </w:r>
      <w:r>
        <w:rPr>
          <w:bCs/>
          <w:b/>
        </w:rPr>
        <w:t xml:space="preserve">“</w:t>
      </w:r>
      <w:r>
        <w:rPr>
          <w:bCs/>
          <w:b/>
        </w:rPr>
        <w:t xml:space="preserve">What we cannot yet say</w:t>
      </w:r>
      <w:r>
        <w:rPr>
          <w:bCs/>
          <w:b/>
        </w:rPr>
        <w:t xml:space="preserve">”</w:t>
      </w:r>
      <w:r>
        <w:rPr>
          <w:bCs/>
          <w:b/>
        </w:rPr>
        <w:t xml:space="preserve">:</w:t>
      </w:r>
      <w:r>
        <w:t xml:space="preserve"> </w:t>
      </w:r>
      <w:r>
        <w:t xml:space="preserve">- No ESVA study has apportioned creek or lagoon nitrogen among</w:t>
      </w:r>
      <w:r>
        <w:t xml:space="preserve"> </w:t>
      </w:r>
      <w:r>
        <w:rPr>
          <w:bCs/>
          <w:b/>
        </w:rPr>
        <w:t xml:space="preserve">septic, agriculture and atmospheric</w:t>
      </w:r>
      <w:r>
        <w:t xml:space="preserve"> </w:t>
      </w:r>
      <w:r>
        <w:t xml:space="preserve">sources.</w:t>
      </w:r>
      <w:r>
        <w:t xml:space="preserve"> </w:t>
      </w:r>
      <w:r>
        <w:t xml:space="preserve">- No ESVA study has traced shellfish closures to</w:t>
      </w:r>
      <w:r>
        <w:t xml:space="preserve"> </w:t>
      </w:r>
      <w:r>
        <w:rPr>
          <w:bCs/>
          <w:b/>
        </w:rPr>
        <w:t xml:space="preserve">human</w:t>
      </w:r>
      <w:r>
        <w:t xml:space="preserve"> </w:t>
      </w:r>
      <w:r>
        <w:t xml:space="preserve">versus wildlife or livestock sources.</w:t>
      </w:r>
      <w:r>
        <w:t xml:space="preserve"> </w:t>
      </w:r>
      <w:r>
        <w:t xml:space="preserve">- Seaside nutrient concentrations remain</w:t>
      </w:r>
      <w:r>
        <w:t xml:space="preserve"> </w:t>
      </w:r>
      <w:r>
        <w:rPr>
          <w:bCs/>
          <w:b/>
        </w:rPr>
        <w:t xml:space="preserve">low</w:t>
      </w:r>
      <w:r>
        <w:t xml:space="preserve"> </w:t>
      </w:r>
      <w:r>
        <w:t xml:space="preserve">by global standards; the documented eelgrass threat to date has been</w:t>
      </w:r>
      <w:r>
        <w:t xml:space="preserve"> </w:t>
      </w:r>
      <w:r>
        <w:rPr>
          <w:bCs/>
          <w:b/>
        </w:rPr>
        <w:t xml:space="preserve">thermal</w:t>
      </w:r>
      <w:r>
        <w:t xml:space="preserve">, not nutrient.</w:t>
      </w:r>
    </w:p>
    <w:p>
      <w:pPr>
        <w:pStyle w:val="BlockText"/>
      </w:pPr>
      <w:r>
        <w:rPr>
          <w:bCs/>
          <w:b/>
        </w:rPr>
        <w:t xml:space="preserve">The defensible claim is precautionary, not diagnostic:</w:t>
      </w:r>
      <w:r>
        <w:t xml:space="preserve"> </w:t>
      </w:r>
      <w:r>
        <w:t xml:space="preserve">a globally significant, inherently sensitive, hard-to-restore system sits downstream of a stressor that is</w:t>
      </w:r>
      <w:r>
        <w:t xml:space="preserve"> </w:t>
      </w:r>
      <w:r>
        <w:rPr>
          <w:iCs/>
          <w:i/>
        </w:rPr>
        <w:t xml:space="preserve">growing</w:t>
      </w:r>
      <w:r>
        <w:t xml:space="preserve"> </w:t>
      </w:r>
      <w:r>
        <w:t xml:space="preserve">— and nobody has measured its contribution.</w:t>
      </w:r>
    </w:p>
    <w:p>
      <w:r>
        <w:pict>
          <v:rect style="width:0;height:1.5pt" o:hralign="center" o:hrstd="t" o:hr="t"/>
        </w:pict>
      </w:r>
    </w:p>
    <w:bookmarkEnd w:id="30"/>
    <w:bookmarkStart w:id="34" w:name="X910ecf06761379a41d75416985db00eef95403c"/>
    <w:p>
      <w:pPr>
        <w:pStyle w:val="Heading2"/>
      </w:pPr>
      <w:r>
        <w:t xml:space="preserve">7. Bottom band — Gaps, Implications, Partnerships</w:t>
      </w:r>
    </w:p>
    <w:p>
      <w:pPr>
        <w:pStyle w:val="FirstParagraph"/>
      </w:pPr>
      <w:r>
        <w:rPr>
          <w:iCs/>
          <w:i/>
        </w:rPr>
        <w:t xml:space="preserve">Accent color: amber</w:t>
      </w:r>
      <w:r>
        <w:rPr>
          <w:iCs/>
          <w:i/>
        </w:rPr>
        <w:t xml:space="preserve"> </w:t>
      </w:r>
      <w:r>
        <w:rPr>
          <w:rStyle w:val="VerbatimChar"/>
          <w:iCs/>
          <w:i/>
        </w:rPr>
        <w:t xml:space="preserve">#c88a2e</w:t>
      </w:r>
      <w:r>
        <w:rPr>
          <w:iCs/>
          <w:i/>
        </w:rPr>
        <w:t xml:space="preserve">. Three sub-columns.</w:t>
      </w:r>
    </w:p>
    <w:bookmarkStart w:id="31" w:name="X0487330309822e6a956296f118f2807e1ed1994"/>
    <w:p>
      <w:pPr>
        <w:pStyle w:val="Heading3"/>
      </w:pPr>
      <w:r>
        <w:t xml:space="preserve">7a. Priority Data Gaps — Where Help Is Needed (widest sub-column)</w:t>
      </w:r>
    </w:p>
    <w:p>
      <w:pPr>
        <w:numPr>
          <w:ilvl w:val="0"/>
          <w:numId w:val="1002"/>
        </w:numPr>
        <w:pStyle w:val="Compact"/>
      </w:pPr>
      <w:r>
        <w:rPr>
          <w:bCs/>
          <w:b/>
        </w:rPr>
        <w:t xml:space="preserve">Source attribution for nitrogen in ESVA creeks and lagoons.</w:t>
      </w:r>
      <w:r>
        <w:t xml:space="preserve"> </w:t>
      </w:r>
      <w:r>
        <w:t xml:space="preserve">Stable isotopes (δ¹⁵N–δ¹⁸O of NO₃⁻) plus wastewater co-tracers (sucralose, acesulfame, caffeine) across a septic-density gradient.</w:t>
      </w:r>
      <w:r>
        <w:t xml:space="preserve"> </w:t>
      </w:r>
      <w:r>
        <w:rPr>
          <w:iCs/>
          <w:i/>
        </w:rPr>
        <w:t xml:space="preserve">One study design would inform five of six pathways — and it is the single measurement that would convert this poster’s argument from precautionary to quantitative.</w:t>
      </w:r>
    </w:p>
    <w:p>
      <w:pPr>
        <w:numPr>
          <w:ilvl w:val="0"/>
          <w:numId w:val="1002"/>
        </w:numPr>
        <w:pStyle w:val="Compact"/>
      </w:pPr>
      <w:r>
        <w:rPr>
          <w:bCs/>
          <w:b/>
        </w:rPr>
        <w:t xml:space="preserve">Microbial source tracking for shellfish closures.</w:t>
      </w:r>
      <w:r>
        <w:t xml:space="preserve"> </w:t>
      </w:r>
      <w:r>
        <w:t xml:space="preserve">HF183, crAssphage and enteric-virus panels to apportion closure days among human, wildlife, livestock and stormwater sources — never quantitatively closed for ESVA.</w:t>
      </w:r>
    </w:p>
    <w:p>
      <w:pPr>
        <w:numPr>
          <w:ilvl w:val="0"/>
          <w:numId w:val="1002"/>
        </w:numPr>
        <w:pStyle w:val="Compact"/>
      </w:pPr>
      <w:r>
        <w:rPr>
          <w:bCs/>
          <w:b/>
        </w:rPr>
        <w:t xml:space="preserve">Direct groundwater monitoring around septic clusters.</w:t>
      </w:r>
      <w:r>
        <w:t xml:space="preserve"> </w:t>
      </w:r>
      <w:r>
        <w:t xml:space="preserve">Paired up/downgradient wells with a full analyte suite. Current ESVA work is exposure</w:t>
      </w:r>
      <w:r>
        <w:t xml:space="preserve"> </w:t>
      </w:r>
      <w:r>
        <w:rPr>
          <w:iCs/>
          <w:i/>
        </w:rPr>
        <w:t xml:space="preserve">modeling</w:t>
      </w:r>
      <w:r>
        <w:t xml:space="preserve">, not effects measurement.</w:t>
      </w:r>
    </w:p>
    <w:p>
      <w:pPr>
        <w:numPr>
          <w:ilvl w:val="0"/>
          <w:numId w:val="1002"/>
        </w:numPr>
        <w:pStyle w:val="Compact"/>
      </w:pPr>
      <w:r>
        <w:rPr>
          <w:bCs/>
          <w:b/>
        </w:rPr>
        <w:t xml:space="preserve">Sub-basin nitrogen mass balance</w:t>
      </w:r>
      <w:r>
        <w:t xml:space="preserve"> </w:t>
      </w:r>
      <w:r>
        <w:t xml:space="preserve">calibrated to Columbia-aquifer conditions rather than watershed-average coefficients.</w:t>
      </w:r>
    </w:p>
    <w:p>
      <w:pPr>
        <w:numPr>
          <w:ilvl w:val="0"/>
          <w:numId w:val="1002"/>
        </w:numPr>
        <w:pStyle w:val="Compact"/>
      </w:pPr>
      <w:r>
        <w:rPr>
          <w:bCs/>
          <w:b/>
        </w:rPr>
        <w:t xml:space="preserve">Nutrient safety-margin modeling</w:t>
      </w:r>
      <w:r>
        <w:t xml:space="preserve"> </w:t>
      </w:r>
      <w:r>
        <w:t xml:space="preserve">coupling groundwater nitrogen delivery to eelgrass condition and bay scallop recruitment under warming.</w:t>
      </w:r>
    </w:p>
    <w:p>
      <w:pPr>
        <w:numPr>
          <w:ilvl w:val="0"/>
          <w:numId w:val="1002"/>
        </w:numPr>
        <w:pStyle w:val="Compact"/>
      </w:pPr>
      <w:r>
        <w:rPr>
          <w:bCs/>
          <w:b/>
        </w:rPr>
        <w:t xml:space="preserve">Field ecology of ESVA drainfield footprints</w:t>
      </w:r>
      <w:r>
        <w:t xml:space="preserve"> </w:t>
      </w:r>
      <w:r>
        <w:t xml:space="preserve">— no vegetation, soil-microbial or adjacent-habitat surveys have been published.</w:t>
      </w:r>
    </w:p>
    <w:bookmarkEnd w:id="31"/>
    <w:bookmarkStart w:id="32" w:name="b.-management-implications"/>
    <w:p>
      <w:pPr>
        <w:pStyle w:val="Heading3"/>
      </w:pPr>
      <w:r>
        <w:t xml:space="preserve">7b. Management Implications</w:t>
      </w:r>
    </w:p>
    <w:p>
      <w:pPr>
        <w:numPr>
          <w:ilvl w:val="0"/>
          <w:numId w:val="1003"/>
        </w:numPr>
        <w:pStyle w:val="Compact"/>
      </w:pPr>
      <w:r>
        <w:t xml:space="preserve">Failure risk is</w:t>
      </w:r>
      <w:r>
        <w:t xml:space="preserve"> </w:t>
      </w:r>
      <w:r>
        <w:rPr>
          <w:bCs/>
          <w:b/>
        </w:rPr>
        <w:t xml:space="preserve">climate-driven and progressive</w:t>
      </w:r>
      <w:r>
        <w:t xml:space="preserve"> </w:t>
      </w:r>
      <w:r>
        <w:t xml:space="preserve">— sustained infrastructure investment, not a one-time retrofit.</w:t>
      </w:r>
    </w:p>
    <w:p>
      <w:pPr>
        <w:numPr>
          <w:ilvl w:val="0"/>
          <w:numId w:val="1003"/>
        </w:numPr>
        <w:pStyle w:val="Compact"/>
      </w:pPr>
      <w:r>
        <w:t xml:space="preserve">Monitor</w:t>
      </w:r>
      <w:r>
        <w:t xml:space="preserve"> </w:t>
      </w:r>
      <w:r>
        <w:rPr>
          <w:bCs/>
          <w:b/>
        </w:rPr>
        <w:t xml:space="preserve">precursors</w:t>
      </w:r>
      <w:r>
        <w:t xml:space="preserve"> </w:t>
      </w:r>
      <w:r>
        <w:t xml:space="preserve">(unsaturated-zone thickness, saturation frequency), not failure events.</w:t>
      </w:r>
    </w:p>
    <w:p>
      <w:pPr>
        <w:numPr>
          <w:ilvl w:val="0"/>
          <w:numId w:val="1003"/>
        </w:numPr>
        <w:pStyle w:val="Compact"/>
      </w:pPr>
      <w:r>
        <w:t xml:space="preserve">Conventional systems remove little nitrogen even when working —</w:t>
      </w:r>
      <w:r>
        <w:t xml:space="preserve"> </w:t>
      </w:r>
      <w:r>
        <w:rPr>
          <w:bCs/>
          <w:b/>
        </w:rPr>
        <w:t xml:space="preserve">nitrogen reduction requires advanced systems or sewer</w:t>
      </w:r>
      <w:r>
        <w:t xml:space="preserve">, not just repair.</w:t>
      </w:r>
    </w:p>
    <w:p>
      <w:pPr>
        <w:numPr>
          <w:ilvl w:val="0"/>
          <w:numId w:val="1003"/>
        </w:numPr>
        <w:pStyle w:val="Compact"/>
      </w:pPr>
      <w:r>
        <w:t xml:space="preserve">PFAS and pharmaceutical loading is</w:t>
      </w:r>
      <w:r>
        <w:t xml:space="preserve"> </w:t>
      </w:r>
      <w:r>
        <w:rPr>
          <w:bCs/>
          <w:b/>
        </w:rPr>
        <w:t xml:space="preserve">not</w:t>
      </w:r>
      <w:r>
        <w:t xml:space="preserve"> </w:t>
      </w:r>
      <w:r>
        <w:t xml:space="preserve">addressed by septic repair or mound systems.</w:t>
      </w:r>
    </w:p>
    <w:p>
      <w:pPr>
        <w:numPr>
          <w:ilvl w:val="0"/>
          <w:numId w:val="1003"/>
        </w:numPr>
        <w:pStyle w:val="Compact"/>
      </w:pPr>
      <w:r>
        <w:t xml:space="preserve">Target cost-share to</w:t>
      </w:r>
      <w:r>
        <w:t xml:space="preserve"> </w:t>
      </w:r>
      <w:r>
        <w:rPr>
          <w:bCs/>
          <w:b/>
        </w:rPr>
        <w:t xml:space="preserve">sub-basins</w:t>
      </w:r>
      <w:r>
        <w:t xml:space="preserve"> </w:t>
      </w:r>
      <w:r>
        <w:t xml:space="preserve">where septic density and shellfish closures overlap.</w:t>
      </w:r>
    </w:p>
    <w:p>
      <w:pPr>
        <w:numPr>
          <w:ilvl w:val="0"/>
          <w:numId w:val="1003"/>
        </w:numPr>
        <w:pStyle w:val="Compact"/>
      </w:pPr>
      <w:r>
        <w:t xml:space="preserve">Cross-reference</w:t>
      </w:r>
      <w:r>
        <w:t xml:space="preserve"> </w:t>
      </w:r>
      <w:r>
        <w:rPr>
          <w:bCs/>
          <w:b/>
        </w:rPr>
        <w:t xml:space="preserve">new subdivision approvals</w:t>
      </w:r>
      <w:r>
        <w:t xml:space="preserve"> </w:t>
      </w:r>
      <w:r>
        <w:t xml:space="preserve">against projected 2040 groundwater depth.</w:t>
      </w:r>
    </w:p>
    <w:bookmarkEnd w:id="32"/>
    <w:bookmarkStart w:id="33" w:name="c.-partnership-opportunities"/>
    <w:p>
      <w:pPr>
        <w:pStyle w:val="Heading3"/>
      </w:pPr>
      <w:r>
        <w:t xml:space="preserve">7c. Partnership Opportunities</w:t>
      </w:r>
    </w:p>
    <w:p>
      <w:pPr>
        <w:pStyle w:val="FirstParagraph"/>
      </w:pPr>
      <w:r>
        <w:t xml:space="preserve">We are actively seeking collaborators for field sampling, data sharing and student placements.</w:t>
      </w:r>
    </w:p>
    <w:p>
      <w:pPr>
        <w:pStyle w:val="BodyText"/>
      </w:pPr>
      <w:r>
        <w:t xml:space="preserve">Tags: VDH — Eastern Shore Health District · VDH Div. of Shellfish Safety · A-NPDC · Virginia DEQ · VIMS · Virginia Coast Reserve LTER · The Nature Conservancy · Accomack &amp; Northampton counties · Virginia Cooperative Extension · Shellfish growers &amp; watermen</w:t>
      </w:r>
    </w:p>
    <w:p>
      <w:pPr>
        <w:pStyle w:val="BodyText"/>
      </w:pPr>
      <w:r>
        <w:rPr>
          <w:bCs/>
          <w:b/>
        </w:rPr>
        <w:t xml:space="preserve">ESCC students</w:t>
      </w:r>
      <w:r>
        <w:t xml:space="preserve"> </w:t>
      </w:r>
      <w:r>
        <w:t xml:space="preserve">are available for capstone and internship projects on any of the gaps at left — several are achievable within a single semester using public data.</w:t>
      </w:r>
    </w:p>
    <w:p>
      <w:pPr>
        <w:pStyle w:val="BodyText"/>
      </w:pPr>
      <w:r>
        <w:rPr>
          <w:bCs/>
          <w:b/>
        </w:rPr>
        <w:t xml:space="preserve">Contact:</w:t>
      </w:r>
      <w:r>
        <w:t xml:space="preserve"> </w:t>
      </w:r>
      <w:r>
        <w:t xml:space="preserve">[email] · [phone]</w:t>
      </w:r>
    </w:p>
    <w:p>
      <w:r>
        <w:pict>
          <v:rect style="width:0;height:1.5pt" o:hralign="center" o:hrstd="t" o:hr="t"/>
        </w:pict>
      </w:r>
    </w:p>
    <w:bookmarkEnd w:id="33"/>
    <w:bookmarkEnd w:id="34"/>
    <w:bookmarkStart w:id="35" w:name="rebuilding-the-diagram-in-powerpoint"/>
    <w:p>
      <w:pPr>
        <w:pStyle w:val="Heading2"/>
      </w:pPr>
      <w:r>
        <w:t xml:space="preserve">8. Rebuilding the diagram in PowerPoint</w:t>
      </w:r>
    </w:p>
    <w:p>
      <w:pPr>
        <w:pStyle w:val="FirstParagraph"/>
      </w:pPr>
      <w:r>
        <w:t xml:space="preserve">The HTML uses an inline SVG cross-section. To rebuild manually:</w:t>
      </w:r>
    </w:p>
    <w:p>
      <w:pPr>
        <w:pStyle w:val="BodyText"/>
      </w:pPr>
      <w:r>
        <w:rPr>
          <w:bCs/>
          <w:b/>
        </w:rPr>
        <w:t xml:space="preserve">Layers, top to bottom:</w:t>
      </w:r>
      <w:r>
        <w:t xml:space="preserve"> </w:t>
      </w:r>
      <w:r>
        <w:t xml:space="preserve">1.</w:t>
      </w:r>
      <w:r>
        <w:t xml:space="preserve"> </w:t>
      </w:r>
      <w:r>
        <w:rPr>
          <w:bCs/>
          <w:b/>
        </w:rPr>
        <w:t xml:space="preserve">Sky band</w:t>
      </w:r>
      <w:r>
        <w:t xml:space="preserve"> </w:t>
      </w:r>
      <w:r>
        <w:t xml:space="preserve">—</w:t>
      </w:r>
      <w:r>
        <w:t xml:space="preserve"> </w:t>
      </w:r>
      <w:r>
        <w:rPr>
          <w:rStyle w:val="VerbatimChar"/>
        </w:rPr>
        <w:t xml:space="preserve">#dbeaf2</w:t>
      </w:r>
      <w:r>
        <w:t xml:space="preserve"> </w:t>
      </w:r>
      <w:r>
        <w:t xml:space="preserve">2.</w:t>
      </w:r>
      <w:r>
        <w:t xml:space="preserve"> </w:t>
      </w:r>
      <w:r>
        <w:rPr>
          <w:bCs/>
          <w:b/>
        </w:rPr>
        <w:t xml:space="preserve">Unsaturated soil band</w:t>
      </w:r>
      <w:r>
        <w:t xml:space="preserve"> </w:t>
      </w:r>
      <w:r>
        <w:t xml:space="preserve">—</w:t>
      </w:r>
      <w:r>
        <w:t xml:space="preserve"> </w:t>
      </w:r>
      <w:r>
        <w:rPr>
          <w:rStyle w:val="VerbatimChar"/>
        </w:rPr>
        <w:t xml:space="preserve">#e0cfa8</w:t>
      </w:r>
      <w:r>
        <w:t xml:space="preserve"> </w:t>
      </w:r>
      <w:r>
        <w:t xml:space="preserve">3.</w:t>
      </w:r>
      <w:r>
        <w:t xml:space="preserve"> </w:t>
      </w:r>
      <w:r>
        <w:rPr>
          <w:bCs/>
          <w:b/>
        </w:rPr>
        <w:t xml:space="preserve">Columbia aquifer</w:t>
      </w:r>
      <w:r>
        <w:t xml:space="preserve"> </w:t>
      </w:r>
      <w:r>
        <w:t xml:space="preserve">(saturated, shallow) —</w:t>
      </w:r>
      <w:r>
        <w:t xml:space="preserve"> </w:t>
      </w:r>
      <w:r>
        <w:rPr>
          <w:rStyle w:val="VerbatimChar"/>
        </w:rPr>
        <w:t xml:space="preserve">#8fc3d8</w:t>
      </w:r>
      <w:r>
        <w:t xml:space="preserve"> </w:t>
      </w:r>
      <w:r>
        <w:t xml:space="preserve">— label</w:t>
      </w:r>
      <w:r>
        <w:t xml:space="preserve"> </w:t>
      </w:r>
      <w:r>
        <w:rPr>
          <w:iCs/>
          <w:i/>
        </w:rPr>
        <w:t xml:space="preserve">COLUMBIA aquifer (shallow, unconfined)</w:t>
      </w:r>
      <w:r>
        <w:t xml:space="preserve"> </w:t>
      </w:r>
      <w:r>
        <w:t xml:space="preserve">4.</w:t>
      </w:r>
      <w:r>
        <w:t xml:space="preserve"> </w:t>
      </w:r>
      <w:r>
        <w:rPr>
          <w:bCs/>
          <w:b/>
        </w:rPr>
        <w:t xml:space="preserve">Confining clay</w:t>
      </w:r>
      <w:r>
        <w:t xml:space="preserve"> </w:t>
      </w:r>
      <w:r>
        <w:t xml:space="preserve">(thin band) —</w:t>
      </w:r>
      <w:r>
        <w:t xml:space="preserve"> </w:t>
      </w:r>
      <w:r>
        <w:rPr>
          <w:rStyle w:val="VerbatimChar"/>
        </w:rPr>
        <w:t xml:space="preserve">#9c8f7a</w:t>
      </w:r>
      <w:r>
        <w:t xml:space="preserve"> </w:t>
      </w:r>
      <w:r>
        <w:t xml:space="preserve">— label</w:t>
      </w:r>
      <w:r>
        <w:t xml:space="preserve"> </w:t>
      </w:r>
      <w:r>
        <w:rPr>
          <w:iCs/>
          <w:i/>
        </w:rPr>
        <w:t xml:space="preserve">confining clay</w:t>
      </w:r>
      <w:r>
        <w:t xml:space="preserve"> </w:t>
      </w:r>
      <w:r>
        <w:t xml:space="preserve">5.</w:t>
      </w:r>
      <w:r>
        <w:t xml:space="preserve"> </w:t>
      </w:r>
      <w:r>
        <w:rPr>
          <w:bCs/>
          <w:b/>
        </w:rPr>
        <w:t xml:space="preserve">Yorktown–Eastover aquifer</w:t>
      </w:r>
      <w:r>
        <w:t xml:space="preserve"> </w:t>
      </w:r>
      <w:r>
        <w:t xml:space="preserve">(deeper) —</w:t>
      </w:r>
      <w:r>
        <w:t xml:space="preserve"> </w:t>
      </w:r>
      <w:r>
        <w:rPr>
          <w:rStyle w:val="VerbatimChar"/>
        </w:rPr>
        <w:t xml:space="preserve">#6fa8c4</w:t>
      </w:r>
      <w:r>
        <w:t xml:space="preserve"> </w:t>
      </w:r>
      <w:r>
        <w:t xml:space="preserve">— label</w:t>
      </w:r>
      <w:r>
        <w:t xml:space="preserve"> </w:t>
      </w:r>
      <w:r>
        <w:rPr>
          <w:iCs/>
          <w:i/>
        </w:rPr>
        <w:t xml:space="preserve">YORKTOWN–EASTOVER (deeper, confined — most public supply)</w:t>
      </w:r>
      <w:r>
        <w:t xml:space="preserve"> </w:t>
      </w:r>
      <w:r>
        <w:t xml:space="preserve">6.</w:t>
      </w:r>
      <w:r>
        <w:t xml:space="preserve"> </w:t>
      </w:r>
      <w:r>
        <w:rPr>
          <w:bCs/>
          <w:b/>
        </w:rPr>
        <w:t xml:space="preserve">Tidal creek</w:t>
      </w:r>
      <w:r>
        <w:t xml:space="preserve"> </w:t>
      </w:r>
      <w:r>
        <w:t xml:space="preserve">— right ~25% of frame, water</w:t>
      </w:r>
      <w:r>
        <w:t xml:space="preserve"> </w:t>
      </w:r>
      <w:r>
        <w:rPr>
          <w:rStyle w:val="VerbatimChar"/>
        </w:rPr>
        <w:t xml:space="preserve">#4f9dbd</w:t>
      </w:r>
      <w:r>
        <w:t xml:space="preserve">, wavy top edge</w:t>
      </w:r>
    </w:p>
    <w:p>
      <w:pPr>
        <w:pStyle w:val="BlockText"/>
      </w:pPr>
      <w:r>
        <w:t xml:space="preserve">The two-aquifer stack is a</w:t>
      </w:r>
      <w:r>
        <w:t xml:space="preserve"> </w:t>
      </w:r>
      <w:r>
        <w:rPr>
          <w:bCs/>
          <w:b/>
        </w:rPr>
        <w:t xml:space="preserve">deliberate addition</w:t>
      </w:r>
      <w:r>
        <w:t xml:space="preserve"> </w:t>
      </w:r>
      <w:r>
        <w:t xml:space="preserve">in v2. It shows why septic contamination is primarily a</w:t>
      </w:r>
      <w:r>
        <w:t xml:space="preserve"> </w:t>
      </w:r>
      <w:r>
        <w:rPr>
          <w:iCs/>
          <w:i/>
        </w:rPr>
        <w:t xml:space="preserve">shallow</w:t>
      </w:r>
      <w:r>
        <w:t xml:space="preserve"> </w:t>
      </w:r>
      <w:r>
        <w:t xml:space="preserve">aquifer problem, why shallow private wells are more exposed than deep public-supply wells, and why the confining clay matters. It carries the drinking-water point without needing extra text.</w:t>
      </w:r>
    </w:p>
    <w:p>
      <w:pPr>
        <w:pStyle w:val="FirstParagraph"/>
      </w:pPr>
      <w:r>
        <w:rPr>
          <w:bCs/>
          <w:b/>
        </w:rPr>
        <w:t xml:space="preserve">Objects, left to right:</w:t>
      </w:r>
      <w:r>
        <w:t xml:space="preserve"> </w:t>
      </w:r>
      <w:r>
        <w:t xml:space="preserve">-</w:t>
      </w:r>
      <w:r>
        <w:t xml:space="preserve"> </w:t>
      </w:r>
      <w:r>
        <w:rPr>
          <w:bCs/>
          <w:b/>
        </w:rPr>
        <w:t xml:space="preserve">House</w:t>
      </w:r>
      <w:r>
        <w:t xml:space="preserve"> </w:t>
      </w:r>
      <w:r>
        <w:t xml:space="preserve">— white rectangle, rust</w:t>
      </w:r>
      <w:r>
        <w:t xml:space="preserve"> </w:t>
      </w:r>
      <w:r>
        <w:rPr>
          <w:rStyle w:val="VerbatimChar"/>
        </w:rPr>
        <w:t xml:space="preserve">#a8452a</w:t>
      </w:r>
      <w:r>
        <w:t xml:space="preserve"> </w:t>
      </w:r>
      <w:r>
        <w:t xml:space="preserve">roof, black outline; pipe line down to tank</w:t>
      </w:r>
      <w:r>
        <w:t xml:space="preserve"> </w:t>
      </w:r>
      <w:r>
        <w:t xml:space="preserve">-</w:t>
      </w:r>
      <w:r>
        <w:t xml:space="preserve"> </w:t>
      </w:r>
      <w:r>
        <w:rPr>
          <w:bCs/>
          <w:b/>
        </w:rPr>
        <w:t xml:space="preserve">Septic tank</w:t>
      </w:r>
      <w:r>
        <w:t xml:space="preserve"> </w:t>
      </w:r>
      <w:r>
        <w:t xml:space="preserve">— gray rounded rectangle labeled</w:t>
      </w:r>
      <w:r>
        <w:t xml:space="preserve"> </w:t>
      </w:r>
      <w:r>
        <w:t xml:space="preserve">“</w:t>
      </w:r>
      <w:r>
        <w:t xml:space="preserve">tank,</w:t>
      </w:r>
      <w:r>
        <w:t xml:space="preserve">”</w:t>
      </w:r>
      <w:r>
        <w:t xml:space="preserve"> </w:t>
      </w:r>
      <w:r>
        <w:t xml:space="preserve">sitting in the unsaturated band</w:t>
      </w:r>
      <w:r>
        <w:t xml:space="preserve"> </w:t>
      </w:r>
      <w:r>
        <w:t xml:space="preserve">-</w:t>
      </w:r>
      <w:r>
        <w:t xml:space="preserve"> </w:t>
      </w:r>
      <w:r>
        <w:rPr>
          <w:bCs/>
          <w:b/>
        </w:rPr>
        <w:t xml:space="preserve">Drainfield</w:t>
      </w:r>
      <w:r>
        <w:t xml:space="preserve"> </w:t>
      </w:r>
      <w:r>
        <w:t xml:space="preserve">— tan horizontal bar labeled</w:t>
      </w:r>
      <w:r>
        <w:t xml:space="preserve"> </w:t>
      </w:r>
      <w:r>
        <w:t xml:space="preserve">“</w:t>
      </w:r>
      <w:r>
        <w:t xml:space="preserve">drainfield,</w:t>
      </w:r>
      <w:r>
        <w:t xml:space="preserve">”</w:t>
      </w:r>
      <w:r>
        <w:t xml:space="preserve"> </w:t>
      </w:r>
      <w:r>
        <w:t xml:space="preserve">with small green dots beneath it (effluent)</w:t>
      </w:r>
      <w:r>
        <w:t xml:space="preserve"> </w:t>
      </w:r>
      <w:r>
        <w:t xml:space="preserve">-</w:t>
      </w:r>
      <w:r>
        <w:t xml:space="preserve"> </w:t>
      </w:r>
      <w:r>
        <w:rPr>
          <w:bCs/>
          <w:b/>
        </w:rPr>
        <w:t xml:space="preserve">Separation bracket</w:t>
      </w:r>
      <w:r>
        <w:t xml:space="preserve"> </w:t>
      </w:r>
      <w:r>
        <w:t xml:space="preserve">— rust vertical bracket between drainfield bottom and water table, labeled</w:t>
      </w:r>
      <w:r>
        <w:t xml:space="preserve"> </w:t>
      </w:r>
      <w:r>
        <w:rPr>
          <w:bCs/>
          <w:b/>
        </w:rPr>
        <w:t xml:space="preserve">“</w:t>
      </w:r>
      <w:r>
        <w:rPr>
          <w:bCs/>
          <w:b/>
        </w:rPr>
        <w:t xml:space="preserve">need ≥3 ft / treatment zone</w:t>
      </w:r>
      <w:r>
        <w:rPr>
          <w:bCs/>
          <w:b/>
        </w:rPr>
        <w:t xml:space="preserve">”</w:t>
      </w:r>
      <w:r>
        <w:t xml:space="preserve"> </w:t>
      </w:r>
      <w:r>
        <w:t xml:space="preserve">-</w:t>
      </w:r>
      <w:r>
        <w:t xml:space="preserve"> </w:t>
      </w:r>
      <w:r>
        <w:rPr>
          <w:bCs/>
          <w:b/>
        </w:rPr>
        <w:t xml:space="preserve">Water table</w:t>
      </w:r>
      <w:r>
        <w:t xml:space="preserve"> </w:t>
      </w:r>
      <w:r>
        <w:t xml:space="preserve">— thick dashed deep-blue horizontal line labeled</w:t>
      </w:r>
      <w:r>
        <w:t xml:space="preserve"> </w:t>
      </w:r>
      <w:r>
        <w:t xml:space="preserve">“</w:t>
      </w:r>
      <w:r>
        <w:t xml:space="preserve">water table</w:t>
      </w:r>
      <w:r>
        <w:t xml:space="preserve">”</w:t>
      </w:r>
      <w:r>
        <w:t xml:space="preserve"> </w:t>
      </w:r>
      <w:r>
        <w:t xml:space="preserve">-</w:t>
      </w:r>
      <w:r>
        <w:t xml:space="preserve"> </w:t>
      </w:r>
      <w:r>
        <w:rPr>
          <w:bCs/>
          <w:b/>
        </w:rPr>
        <w:t xml:space="preserve">Rising arrow</w:t>
      </w:r>
      <w:r>
        <w:t xml:space="preserve"> </w:t>
      </w:r>
      <w:r>
        <w:t xml:space="preserve">— rust upward arrow near the water table labeled</w:t>
      </w:r>
      <w:r>
        <w:t xml:space="preserve"> </w:t>
      </w:r>
      <w:r>
        <w:t xml:space="preserve">“</w:t>
      </w:r>
      <w:r>
        <w:t xml:space="preserve">rising</w:t>
      </w:r>
      <w:r>
        <w:t xml:space="preserve">”</w:t>
      </w:r>
      <w:r>
        <w:t xml:space="preserve"> </w:t>
      </w:r>
      <w:r>
        <w:t xml:space="preserve">-</w:t>
      </w:r>
      <w:r>
        <w:t xml:space="preserve"> </w:t>
      </w:r>
      <w:r>
        <w:rPr>
          <w:bCs/>
          <w:b/>
        </w:rPr>
        <w:t xml:space="preserve">Flow arrows</w:t>
      </w:r>
      <w:r>
        <w:t xml:space="preserve"> </w:t>
      </w:r>
      <w:r>
        <w:t xml:space="preserve">— two curved deep-blue arrows sweeping from beneath the drainfield rightward into the creek, labeled</w:t>
      </w:r>
      <w:r>
        <w:t xml:space="preserve"> </w:t>
      </w:r>
      <w:r>
        <w:rPr>
          <w:bCs/>
          <w:b/>
        </w:rPr>
        <w:t xml:space="preserve">“</w:t>
      </w:r>
      <w:r>
        <w:rPr>
          <w:bCs/>
          <w:b/>
        </w:rPr>
        <w:t xml:space="preserve">nitrate + pathogens move with the groundwater</w:t>
      </w:r>
      <w:r>
        <w:rPr>
          <w:bCs/>
          <w:b/>
        </w:rPr>
        <w:t xml:space="preserve">”</w:t>
      </w:r>
      <w:r>
        <w:t xml:space="preserve"> </w:t>
      </w:r>
      <w:r>
        <w:t xml:space="preserve">-</w:t>
      </w:r>
      <w:r>
        <w:t xml:space="preserve"> </w:t>
      </w:r>
      <w:r>
        <w:rPr>
          <w:bCs/>
          <w:b/>
        </w:rPr>
        <w:t xml:space="preserve">Creek label</w:t>
      </w:r>
      <w:r>
        <w:t xml:space="preserve"> </w:t>
      </w:r>
      <w:r>
        <w:t xml:space="preserve">— white</w:t>
      </w:r>
      <w:r>
        <w:t xml:space="preserve"> </w:t>
      </w:r>
      <w:r>
        <w:t xml:space="preserve">“</w:t>
      </w:r>
      <w:r>
        <w:t xml:space="preserve">tidal creek</w:t>
      </w:r>
      <w:r>
        <w:t xml:space="preserve">”</w:t>
      </w:r>
      <w:r>
        <w:t xml:space="preserve"> </w:t>
      </w:r>
      <w:r>
        <w:t xml:space="preserve">text over the water</w:t>
      </w:r>
      <w:r>
        <w:t xml:space="preserve"> </w:t>
      </w:r>
      <w:r>
        <w:t xml:space="preserve">-</w:t>
      </w:r>
      <w:r>
        <w:t xml:space="preserve"> </w:t>
      </w:r>
      <w:r>
        <w:rPr>
          <w:bCs/>
          <w:b/>
        </w:rPr>
        <w:t xml:space="preserve">Seagrass</w:t>
      </w:r>
      <w:r>
        <w:t xml:space="preserve"> </w:t>
      </w:r>
      <w:r>
        <w:t xml:space="preserve">— small teal blade shapes at the creek bottom</w:t>
      </w:r>
    </w:p>
    <w:p>
      <w:pPr>
        <w:pStyle w:val="BodyText"/>
      </w:pPr>
      <w:r>
        <w:rPr>
          <w:bCs/>
          <w:b/>
        </w:rPr>
        <w:t xml:space="preserve">The single most important visual idea:</w:t>
      </w:r>
      <w:r>
        <w:t xml:space="preserve"> </w:t>
      </w:r>
      <w:r>
        <w:t xml:space="preserve">the rust bracket (required 3 ft) and the rising water table arrow should read together at a glance, so a viewer standing 6 feet away immediately understands that the gap is closing.</w:t>
      </w:r>
    </w:p>
    <w:p>
      <w:r>
        <w:pict>
          <v:rect style="width:0;height:1.5pt" o:hralign="center" o:hrstd="t" o:hr="t"/>
        </w:pict>
      </w:r>
    </w:p>
    <w:bookmarkEnd w:id="35"/>
    <w:bookmarkStart w:id="36" w:name="printing-from-the-html"/>
    <w:p>
      <w:pPr>
        <w:pStyle w:val="Heading2"/>
      </w:pPr>
      <w:r>
        <w:t xml:space="preserve">9. Printing from the HTML</w:t>
      </w:r>
    </w:p>
    <w:p>
      <w:pPr>
        <w:numPr>
          <w:ilvl w:val="0"/>
          <w:numId w:val="1004"/>
        </w:numPr>
        <w:pStyle w:val="Compact"/>
      </w:pPr>
      <w:r>
        <w:t xml:space="preserve">Open</w:t>
      </w:r>
      <w:r>
        <w:t xml:space="preserve"> </w:t>
      </w:r>
      <w:r>
        <w:rPr>
          <w:rStyle w:val="VerbatimChar"/>
        </w:rPr>
        <w:t xml:space="preserve">ESVA_Symposium_Poster.html</w:t>
      </w:r>
      <w:r>
        <w:t xml:space="preserve"> </w:t>
      </w:r>
      <w:r>
        <w:t xml:space="preserve">in</w:t>
      </w:r>
      <w:r>
        <w:t xml:space="preserve"> </w:t>
      </w:r>
      <w:r>
        <w:rPr>
          <w:bCs/>
          <w:b/>
        </w:rPr>
        <w:t xml:space="preserve">Chrome or Edge</w:t>
      </w:r>
      <w:r>
        <w:t xml:space="preserve"> </w:t>
      </w:r>
      <w:r>
        <w:t xml:space="preserve">(Safari and Firefox handle</w:t>
      </w:r>
      <w:r>
        <w:t xml:space="preserve"> </w:t>
      </w:r>
      <w:r>
        <w:rPr>
          <w:rStyle w:val="VerbatimChar"/>
        </w:rPr>
        <w:t xml:space="preserve">@page</w:t>
      </w:r>
      <w:r>
        <w:t xml:space="preserve"> </w:t>
      </w:r>
      <w:r>
        <w:t xml:space="preserve">sizing less reliably).</w:t>
      </w:r>
    </w:p>
    <w:p>
      <w:pPr>
        <w:numPr>
          <w:ilvl w:val="0"/>
          <w:numId w:val="1004"/>
        </w:numPr>
        <w:pStyle w:val="Compact"/>
      </w:pPr>
      <w:r>
        <w:t xml:space="preserve">Press</w:t>
      </w:r>
      <w:r>
        <w:t xml:space="preserve"> </w:t>
      </w:r>
      <w:r>
        <w:rPr>
          <w:bCs/>
          <w:b/>
        </w:rPr>
        <w:t xml:space="preserve">Ctrl/Cmd + P</w:t>
      </w:r>
      <w:r>
        <w:t xml:space="preserve">.</w:t>
      </w:r>
    </w:p>
    <w:p>
      <w:pPr>
        <w:numPr>
          <w:ilvl w:val="0"/>
          <w:numId w:val="1004"/>
        </w:numPr>
        <w:pStyle w:val="Compact"/>
      </w:pPr>
      <w:r>
        <w:t xml:space="preserve">Destination:</w:t>
      </w:r>
      <w:r>
        <w:t xml:space="preserve"> </w:t>
      </w:r>
      <w:r>
        <w:rPr>
          <w:bCs/>
          <w:b/>
        </w:rPr>
        <w:t xml:space="preserve">Save as PDF</w:t>
      </w:r>
    </w:p>
    <w:p>
      <w:pPr>
        <w:numPr>
          <w:ilvl w:val="0"/>
          <w:numId w:val="1004"/>
        </w:numPr>
        <w:pStyle w:val="Compact"/>
      </w:pPr>
      <w:r>
        <w:t xml:space="preserve">Paper size:</w:t>
      </w:r>
      <w:r>
        <w:t xml:space="preserve"> </w:t>
      </w:r>
      <w:r>
        <w:rPr>
          <w:bCs/>
          <w:b/>
        </w:rPr>
        <w:t xml:space="preserve">Custom 36 × 24 in</w:t>
      </w:r>
      <w:r>
        <w:t xml:space="preserve"> </w:t>
      </w:r>
      <w:r>
        <w:t xml:space="preserve">if available; otherwise choose any size and set</w:t>
      </w:r>
      <w:r>
        <w:t xml:space="preserve"> </w:t>
      </w:r>
      <w:r>
        <w:rPr>
          <w:bCs/>
          <w:b/>
        </w:rPr>
        <w:t xml:space="preserve">Scale: 100%</w:t>
      </w:r>
      <w:r>
        <w:t xml:space="preserve">, orientation</w:t>
      </w:r>
      <w:r>
        <w:t xml:space="preserve"> </w:t>
      </w:r>
      <w:r>
        <w:rPr>
          <w:bCs/>
          <w:b/>
        </w:rPr>
        <w:t xml:space="preserve">Landscape</w:t>
      </w:r>
    </w:p>
    <w:p>
      <w:pPr>
        <w:numPr>
          <w:ilvl w:val="0"/>
          <w:numId w:val="1004"/>
        </w:numPr>
        <w:pStyle w:val="Compact"/>
      </w:pPr>
      <w:r>
        <w:t xml:space="preserve">Margins:</w:t>
      </w:r>
      <w:r>
        <w:t xml:space="preserve"> </w:t>
      </w:r>
      <w:r>
        <w:rPr>
          <w:bCs/>
          <w:b/>
        </w:rPr>
        <w:t xml:space="preserve">None</w:t>
      </w:r>
    </w:p>
    <w:p>
      <w:pPr>
        <w:numPr>
          <w:ilvl w:val="0"/>
          <w:numId w:val="1004"/>
        </w:numPr>
        <w:pStyle w:val="Compact"/>
      </w:pPr>
      <w:r>
        <w:rPr>
          <w:bCs/>
          <w:b/>
        </w:rPr>
        <w:t xml:space="preserve">Background graphics: ON</w:t>
      </w:r>
      <w:r>
        <w:t xml:space="preserve"> </w:t>
      </w:r>
      <w:r>
        <w:t xml:space="preserve">← essential, or all color blocks disappear</w:t>
      </w:r>
    </w:p>
    <w:p>
      <w:pPr>
        <w:numPr>
          <w:ilvl w:val="0"/>
          <w:numId w:val="1004"/>
        </w:numPr>
        <w:pStyle w:val="Compact"/>
      </w:pPr>
      <w:r>
        <w:t xml:space="preserve">Save, then send the PDF to your print shop.</w:t>
      </w:r>
    </w:p>
    <w:p>
      <w:pPr>
        <w:pStyle w:val="FirstParagraph"/>
      </w:pPr>
      <w:r>
        <w:t xml:space="preserve">Ask the printer to confirm the PDF is exactly 36 × 24 in before printing. If it comes out at a different size, they can scale proportionally without loss since all layout is vector and text.</w:t>
      </w:r>
    </w:p>
    <w:p>
      <w:r>
        <w:pict>
          <v:rect style="width:0;height:1.5pt" o:hralign="center" o:hrstd="t" o:hr="t"/>
        </w:pict>
      </w:r>
    </w:p>
    <w:bookmarkEnd w:id="36"/>
    <w:bookmarkStart w:id="37" w:name="before-you-print-checklist"/>
    <w:p>
      <w:pPr>
        <w:pStyle w:val="Heading2"/>
      </w:pPr>
      <w:r>
        <w:t xml:space="preserve">10. Before you print — checklist</w:t>
      </w:r>
    </w:p>
    <w:p>
      <w:pPr>
        <w:numPr>
          <w:ilvl w:val="0"/>
          <w:numId w:val="1005"/>
        </w:numPr>
        <w:pStyle w:val="Compact"/>
      </w:pPr>
      <w:r>
        <w:t xml:space="preserve">☐ Replace</w:t>
      </w:r>
      <w:r>
        <w:t xml:space="preserve"> </w:t>
      </w:r>
      <w:r>
        <w:rPr>
          <w:bCs/>
          <w:b/>
        </w:rPr>
        <w:t xml:space="preserve">[Student Name]</w:t>
      </w:r>
      <w:r>
        <w:t xml:space="preserve"> </w:t>
      </w:r>
      <w:r>
        <w:t xml:space="preserve">with the student’s name, and confirm author order</w:t>
      </w:r>
    </w:p>
    <w:p>
      <w:pPr>
        <w:numPr>
          <w:ilvl w:val="0"/>
          <w:numId w:val="1005"/>
        </w:numPr>
        <w:pStyle w:val="Compact"/>
      </w:pPr>
      <w:r>
        <w:t xml:space="preserve">☐ Add</w:t>
      </w:r>
      <w:r>
        <w:t xml:space="preserve"> </w:t>
      </w:r>
      <w:r>
        <w:rPr>
          <w:bCs/>
          <w:b/>
        </w:rPr>
        <w:t xml:space="preserve">[email]</w:t>
      </w:r>
      <w:r>
        <w:t xml:space="preserve"> </w:t>
      </w:r>
      <w:r>
        <w:t xml:space="preserve">and</w:t>
      </w:r>
      <w:r>
        <w:t xml:space="preserve"> </w:t>
      </w:r>
      <w:r>
        <w:rPr>
          <w:bCs/>
          <w:b/>
        </w:rPr>
        <w:t xml:space="preserve">[phone]</w:t>
      </w:r>
      <w:r>
        <w:t xml:space="preserve"> </w:t>
      </w:r>
      <w:r>
        <w:t xml:space="preserve">in the Partnership Opportunities block</w:t>
      </w:r>
    </w:p>
    <w:p>
      <w:pPr>
        <w:numPr>
          <w:ilvl w:val="0"/>
          <w:numId w:val="1005"/>
        </w:numPr>
        <w:pStyle w:val="Compact"/>
      </w:pPr>
      <w:r>
        <w:t xml:space="preserve">☐ Insert ESCC / UVA EI / partner</w:t>
      </w:r>
      <w:r>
        <w:t xml:space="preserve"> </w:t>
      </w:r>
      <w:r>
        <w:rPr>
          <w:bCs/>
          <w:b/>
        </w:rPr>
        <w:t xml:space="preserve">logos</w:t>
      </w:r>
      <w:r>
        <w:t xml:space="preserve"> </w:t>
      </w:r>
      <w:r>
        <w:t xml:space="preserve">in the header right block</w:t>
      </w:r>
    </w:p>
    <w:p>
      <w:pPr>
        <w:numPr>
          <w:ilvl w:val="0"/>
          <w:numId w:val="1005"/>
        </w:numPr>
        <w:pStyle w:val="Compact"/>
      </w:pPr>
      <w:r>
        <w:t xml:space="preserve">☐ Confirm the</w:t>
      </w:r>
      <w:r>
        <w:t xml:space="preserve"> </w:t>
      </w:r>
      <w:r>
        <w:rPr>
          <w:bCs/>
          <w:b/>
        </w:rPr>
        <w:t xml:space="preserve">PI and Co-PI list</w:t>
      </w:r>
      <w:r>
        <w:t xml:space="preserve"> </w:t>
      </w:r>
      <w:r>
        <w:t xml:space="preserve">in the Acknowledgments is current and correctly spelled</w:t>
      </w:r>
    </w:p>
    <w:p>
      <w:pPr>
        <w:numPr>
          <w:ilvl w:val="0"/>
          <w:numId w:val="1005"/>
        </w:numPr>
        <w:pStyle w:val="Compact"/>
      </w:pPr>
      <w:r>
        <w:t xml:space="preserve">☐ Confirm the symposium</w:t>
      </w:r>
      <w:r>
        <w:t xml:space="preserve"> </w:t>
      </w:r>
      <w:r>
        <w:rPr>
          <w:bCs/>
          <w:b/>
        </w:rPr>
        <w:t xml:space="preserve">year/date</w:t>
      </w:r>
      <w:r>
        <w:t xml:space="preserve"> </w:t>
      </w:r>
      <w:r>
        <w:t xml:space="preserve">in the header</w:t>
      </w:r>
    </w:p>
    <w:p>
      <w:pPr>
        <w:numPr>
          <w:ilvl w:val="0"/>
          <w:numId w:val="1005"/>
        </w:numPr>
        <w:pStyle w:val="Compact"/>
      </w:pPr>
      <w:r>
        <w:t xml:space="preserve">☐ Decide whether to keep the</w:t>
      </w:r>
      <w:r>
        <w:t xml:space="preserve"> </w:t>
      </w:r>
      <w:r>
        <w:rPr>
          <w:bCs/>
          <w:b/>
        </w:rPr>
        <w:t xml:space="preserve">† footnote</w:t>
      </w:r>
      <w:r>
        <w:t xml:space="preserve"> </w:t>
      </w:r>
      <w:r>
        <w:t xml:space="preserve">convention distinguishing project modeling from peer-reviewed figures (recommended — it is the kind of care agency staff notice)</w:t>
      </w:r>
    </w:p>
    <w:p>
      <w:pPr>
        <w:numPr>
          <w:ilvl w:val="0"/>
          <w:numId w:val="1005"/>
        </w:numPr>
        <w:pStyle w:val="Compact"/>
      </w:pPr>
      <w:r>
        <w:t xml:space="preserve">☐ Proofread the pathway table — it is the densest text on the poster</w:t>
      </w:r>
    </w:p>
    <w:p>
      <w:pPr>
        <w:numPr>
          <w:ilvl w:val="0"/>
          <w:numId w:val="1005"/>
        </w:numPr>
        <w:pStyle w:val="Compact"/>
      </w:pPr>
      <w:r>
        <w:t xml:space="preserve">☐ Print a</w:t>
      </w:r>
      <w:r>
        <w:t xml:space="preserve"> </w:t>
      </w:r>
      <w:r>
        <w:rPr>
          <w:bCs/>
          <w:b/>
        </w:rPr>
        <w:t xml:space="preserve">letter-size test page</w:t>
      </w:r>
      <w:r>
        <w:t xml:space="preserve"> </w:t>
      </w:r>
      <w:r>
        <w:t xml:space="preserve">and check that the smallest text (references, 10.5 pt) is still legible when scaled up</w:t>
      </w:r>
    </w:p>
    <w:p>
      <w:pPr>
        <w:numPr>
          <w:ilvl w:val="0"/>
          <w:numId w:val="1005"/>
        </w:numPr>
        <w:pStyle w:val="Compact"/>
      </w:pPr>
      <w:r>
        <w:t xml:space="preserve">☐ Optional: add a</w:t>
      </w:r>
      <w:r>
        <w:t xml:space="preserve"> </w:t>
      </w:r>
      <w:r>
        <w:rPr>
          <w:bCs/>
          <w:b/>
        </w:rPr>
        <w:t xml:space="preserve">photo strip</w:t>
      </w:r>
      <w:r>
        <w:t xml:space="preserve"> </w:t>
      </w:r>
      <w:r>
        <w:t xml:space="preserve">(Willis Wharf clam boats, an eelgrass meadow, a student sampling) if you want visual warmth — the current design is data-forward</w:t>
      </w:r>
    </w:p>
    <w:p>
      <w:r>
        <w:pict>
          <v:rect style="width:0;height:1.5pt" o:hralign="center" o:hrstd="t" o:hr="t"/>
        </w:pict>
      </w:r>
    </w:p>
    <w:bookmarkEnd w:id="37"/>
    <w:bookmarkStart w:id="38" w:name="source-notes-and-verification-status"/>
    <w:p>
      <w:pPr>
        <w:pStyle w:val="Heading2"/>
      </w:pPr>
      <w:r>
        <w:t xml:space="preserve">11. Source notes and verification status</w:t>
      </w:r>
    </w:p>
    <w:p>
      <w:pPr>
        <w:pStyle w:val="FirstParagraph"/>
      </w:pPr>
      <w:r>
        <w:rPr>
          <w:bCs/>
          <w:b/>
        </w:rPr>
        <w:t xml:space="preserve">Independently verified for this poster (June/July 2026 web verification):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Status</w:t>
            </w:r>
          </w:p>
        </w:tc>
        <w:tc>
          <w:tcPr/>
          <w:p>
            <w:pPr>
              <w:pStyle w:val="Compact"/>
              <w:jc w:val="left"/>
            </w:pPr>
            <w:r>
              <w:t xml:space="preserve">Source</w:t>
            </w:r>
          </w:p>
        </w:tc>
      </w:tr>
      <w:tr>
        <w:tc>
          <w:tcPr/>
          <w:p>
            <w:pPr>
              <w:pStyle w:val="Compact"/>
              <w:jc w:val="left"/>
            </w:pPr>
            <w:r>
              <w:t xml:space="preserve">3,612 ha (~8,900 acres) eelgrass restored; 70+ million seeds since 1999</w:t>
            </w:r>
          </w:p>
        </w:tc>
        <w:tc>
          <w:tcPr/>
          <w:p>
            <w:pPr>
              <w:pStyle w:val="Compact"/>
              <w:jc w:val="left"/>
            </w:pPr>
            <w:r>
              <w:t xml:space="preserve">✅ Verified</w:t>
            </w:r>
          </w:p>
        </w:tc>
        <w:tc>
          <w:tcPr/>
          <w:p>
            <w:pPr>
              <w:pStyle w:val="Compact"/>
              <w:jc w:val="left"/>
            </w:pPr>
            <w:r>
              <w:t xml:space="preserve">Orth et al. 2020,</w:t>
            </w:r>
            <w:r>
              <w:t xml:space="preserve"> </w:t>
            </w:r>
            <w:r>
              <w:rPr>
                <w:iCs/>
                <w:i/>
              </w:rPr>
              <w:t xml:space="preserve">Science Advances</w:t>
            </w:r>
            <w:r>
              <w:t xml:space="preserve"> </w:t>
            </w:r>
            <w:r>
              <w:t xml:space="preserve">6:eabc6434; VIMS</w:t>
            </w:r>
          </w:p>
        </w:tc>
      </w:tr>
      <w:tr>
        <w:tc>
          <w:tcPr/>
          <w:p>
            <w:pPr>
              <w:pStyle w:val="Compact"/>
              <w:jc w:val="left"/>
            </w:pPr>
            <w:r>
              <w:t xml:space="preserve">Largest successful seagrass restoration in the world; largest eelgrass habitat NC→Long Island Sound</w:t>
            </w:r>
          </w:p>
        </w:tc>
        <w:tc>
          <w:tcPr/>
          <w:p>
            <w:pPr>
              <w:pStyle w:val="Compact"/>
              <w:jc w:val="left"/>
            </w:pPr>
            <w:r>
              <w:t xml:space="preserve">✅ Verified</w:t>
            </w:r>
          </w:p>
        </w:tc>
        <w:tc>
          <w:tcPr/>
          <w:p>
            <w:pPr>
              <w:pStyle w:val="Compact"/>
              <w:jc w:val="left"/>
            </w:pPr>
            <w:r>
              <w:t xml:space="preserve">VIMS / UVA / Science Advances coverage</w:t>
            </w:r>
          </w:p>
        </w:tc>
      </w:tr>
      <w:tr>
        <w:tc>
          <w:tcPr/>
          <w:p>
            <w:pPr>
              <w:pStyle w:val="Compact"/>
              <w:jc w:val="left"/>
            </w:pPr>
            <w:r>
              <w:t xml:space="preserve">$81M direct sales 2024; +52% from $53M in 2018; 700+ jobs (from ~480)</w:t>
            </w:r>
          </w:p>
        </w:tc>
        <w:tc>
          <w:tcPr/>
          <w:p>
            <w:pPr>
              <w:pStyle w:val="Compact"/>
              <w:jc w:val="left"/>
            </w:pPr>
            <w:r>
              <w:t xml:space="preserve">✅ Verified</w:t>
            </w:r>
          </w:p>
        </w:tc>
        <w:tc>
          <w:tcPr/>
          <w:p>
            <w:pPr>
              <w:pStyle w:val="Compact"/>
              <w:jc w:val="left"/>
            </w:pPr>
            <w:r>
              <w:t xml:space="preserve">Hudson/VIMS</w:t>
            </w:r>
            <w:r>
              <w:t xml:space="preserve"> </w:t>
            </w:r>
            <w:r>
              <w:rPr>
                <w:iCs/>
                <w:i/>
              </w:rPr>
              <w:t xml:space="preserve">Situation &amp; Outlook Report</w:t>
            </w:r>
            <w:r>
              <w:t xml:space="preserve">, 2025</w:t>
            </w:r>
          </w:p>
        </w:tc>
      </w:tr>
      <w:tr>
        <w:tc>
          <w:tcPr/>
          <w:p>
            <w:pPr>
              <w:pStyle w:val="Compact"/>
              <w:jc w:val="left"/>
            </w:pPr>
            <w:r>
              <w:t xml:space="preserve">~3 ft separation required between drainfield and water table</w:t>
            </w:r>
          </w:p>
        </w:tc>
        <w:tc>
          <w:tcPr/>
          <w:p>
            <w:pPr>
              <w:pStyle w:val="Compact"/>
              <w:jc w:val="left"/>
            </w:pPr>
            <w:r>
              <w:t xml:space="preserve">✅ Verified</w:t>
            </w:r>
          </w:p>
        </w:tc>
        <w:tc>
          <w:tcPr/>
          <w:p>
            <w:pPr>
              <w:pStyle w:val="Compact"/>
              <w:jc w:val="left"/>
            </w:pPr>
            <w:r>
              <w:t xml:space="preserve">Multiple; standard onsite-sewage design criterion</w:t>
            </w:r>
          </w:p>
        </w:tc>
      </w:tr>
      <w:tr>
        <w:tc>
          <w:tcPr/>
          <w:p>
            <w:pPr>
              <w:pStyle w:val="Compact"/>
              <w:jc w:val="left"/>
            </w:pPr>
            <w:r>
              <w:t xml:space="preserve">EPA sole-source aquifer designation, 1997, covering</w:t>
            </w:r>
            <w:r>
              <w:t xml:space="preserve"> </w:t>
            </w:r>
            <w:r>
              <w:rPr>
                <w:bCs/>
                <w:b/>
              </w:rPr>
              <w:t xml:space="preserve">both</w:t>
            </w:r>
            <w:r>
              <w:t xml:space="preserve"> </w:t>
            </w:r>
            <w:r>
              <w:t xml:space="preserve">the Columbia</w:t>
            </w:r>
            <w:r>
              <w:t xml:space="preserve"> </w:t>
            </w:r>
            <w:r>
              <w:rPr>
                <w:bCs/>
                <w:b/>
              </w:rPr>
              <w:t xml:space="preserve">and</w:t>
            </w:r>
            <w:r>
              <w:t xml:space="preserve"> </w:t>
            </w:r>
            <w:r>
              <w:t xml:space="preserve">Yorktown–Eastover aquifer systems (excluding Chincoteague and Tangier islands)</w:t>
            </w:r>
          </w:p>
        </w:tc>
        <w:tc>
          <w:tcPr/>
          <w:p>
            <w:pPr>
              <w:pStyle w:val="Compact"/>
              <w:jc w:val="left"/>
            </w:pPr>
            <w:r>
              <w:t xml:space="preserve">✅ Verified —</w:t>
            </w:r>
            <w:r>
              <w:t xml:space="preserve"> </w:t>
            </w:r>
            <w:r>
              <w:rPr>
                <w:bCs/>
                <w:b/>
              </w:rPr>
              <w:t xml:space="preserve">corrected in v2</w:t>
            </w:r>
          </w:p>
        </w:tc>
        <w:tc>
          <w:tcPr/>
          <w:p>
            <w:pPr>
              <w:pStyle w:val="Compact"/>
              <w:jc w:val="left"/>
            </w:pPr>
            <w:r>
              <w:rPr>
                <w:iCs/>
                <w:i/>
              </w:rPr>
              <w:t xml:space="preserve">Federal Register</w:t>
            </w:r>
            <w:r>
              <w:t xml:space="preserve"> </w:t>
            </w:r>
            <w:r>
              <w:t xml:space="preserve">62(68), April 9, 1997</w:t>
            </w:r>
          </w:p>
        </w:tc>
      </w:tr>
      <w:tr>
        <w:tc>
          <w:tcPr/>
          <w:p>
            <w:pPr>
              <w:pStyle w:val="Compact"/>
              <w:jc w:val="left"/>
            </w:pPr>
            <w:r>
              <w:t xml:space="preserve">Conventional septic systems remove only ~10–30% of nitrogen; drainfields nitrify rather than denitrify</w:t>
            </w:r>
          </w:p>
        </w:tc>
        <w:tc>
          <w:tcPr/>
          <w:p>
            <w:pPr>
              <w:pStyle w:val="Compact"/>
              <w:jc w:val="left"/>
            </w:pPr>
            <w:r>
              <w:t xml:space="preserve">✅ Verified</w:t>
            </w:r>
          </w:p>
        </w:tc>
        <w:tc>
          <w:tcPr/>
          <w:p>
            <w:pPr>
              <w:pStyle w:val="Compact"/>
              <w:jc w:val="left"/>
            </w:pPr>
            <w:r>
              <w:t xml:space="preserve">Standard onsite-wastewater engineering literature</w:t>
            </w:r>
          </w:p>
        </w:tc>
      </w:tr>
      <w:tr>
        <w:tc>
          <w:tcPr/>
          <w:p>
            <w:pPr>
              <w:pStyle w:val="Compact"/>
              <w:jc w:val="left"/>
            </w:pPr>
            <w:r>
              <w:t xml:space="preserve">PFAS and pharmaceuticals pass through septic soil treatment essentially unaltered</w:t>
            </w:r>
          </w:p>
        </w:tc>
        <w:tc>
          <w:tcPr/>
          <w:p>
            <w:pPr>
              <w:pStyle w:val="Compact"/>
              <w:jc w:val="left"/>
            </w:pPr>
            <w:r>
              <w:t xml:space="preserve">✅ Verified</w:t>
            </w:r>
          </w:p>
        </w:tc>
        <w:tc>
          <w:tcPr/>
          <w:p>
            <w:pPr>
              <w:pStyle w:val="Compact"/>
              <w:jc w:val="left"/>
            </w:pPr>
            <w:r>
              <w:t xml:space="preserve">Consistent across the septic-contaminant literature; also stated in this project’s earlier synthesis</w:t>
            </w:r>
          </w:p>
        </w:tc>
      </w:tr>
      <w:tr>
        <w:tc>
          <w:tcPr/>
          <w:p>
            <w:pPr>
              <w:pStyle w:val="Compact"/>
              <w:jc w:val="left"/>
            </w:pPr>
            <w:r>
              <w:t xml:space="preserve">~7% → ~37% fecal indicator exceedance dry vs. post-rain</w:t>
            </w:r>
          </w:p>
        </w:tc>
        <w:tc>
          <w:tcPr/>
          <w:p>
            <w:pPr>
              <w:pStyle w:val="Compact"/>
              <w:jc w:val="left"/>
            </w:pPr>
            <w:r>
              <w:t xml:space="preserve">✅ Verified</w:t>
            </w:r>
          </w:p>
        </w:tc>
        <w:tc>
          <w:tcPr/>
          <w:p>
            <w:pPr>
              <w:pStyle w:val="Compact"/>
              <w:jc w:val="left"/>
            </w:pPr>
            <w:r>
              <w:t xml:space="preserve">Zimmer-Faust et al. 2018,</w:t>
            </w:r>
            <w:r>
              <w:t xml:space="preserve"> </w:t>
            </w:r>
            <w:r>
              <w:rPr>
                <w:iCs/>
                <w:i/>
              </w:rPr>
              <w:t xml:space="preserve">Water Research</w:t>
            </w:r>
            <w:r>
              <w:t xml:space="preserve"> </w:t>
            </w:r>
            <w:r>
              <w:t xml:space="preserve">139:252–262</w:t>
            </w:r>
          </w:p>
        </w:tc>
      </w:tr>
    </w:tbl>
    <w:p>
      <w:pPr>
        <w:pStyle w:val="BodyText"/>
      </w:pPr>
      <w:r>
        <w:rPr>
          <w:bCs/>
          <w:b/>
        </w:rPr>
        <w:t xml:space="preserve">Project-internal — cite as project modeling, not peer review (marked † on poster):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w:t>
            </w:r>
          </w:p>
        </w:tc>
        <w:tc>
          <w:tcPr/>
          <w:p>
            <w:pPr>
              <w:pStyle w:val="Compact"/>
              <w:jc w:val="left"/>
            </w:pPr>
            <w:r>
              <w:t xml:space="preserve">Note</w:t>
            </w:r>
          </w:p>
        </w:tc>
      </w:tr>
      <w:tr>
        <w:tc>
          <w:tcPr/>
          <w:p>
            <w:pPr>
              <w:pStyle w:val="Compact"/>
              <w:jc w:val="left"/>
            </w:pPr>
            <w:r>
              <w:t xml:space="preserve">7,800 systems at risk by 2040</w:t>
            </w:r>
          </w:p>
        </w:tc>
        <w:tc>
          <w:tcPr/>
          <w:p>
            <w:pPr>
              <w:pStyle w:val="Compact"/>
              <w:jc w:val="left"/>
            </w:pPr>
            <w:r>
              <w:t xml:space="preserve">ESVA Climate Equity StoryMap (2025); Hesamfar et al. (in review)</w:t>
            </w:r>
          </w:p>
        </w:tc>
      </w:tr>
      <w:tr>
        <w:tc>
          <w:tcPr/>
          <w:p>
            <w:pPr>
              <w:pStyle w:val="Compact"/>
              <w:jc w:val="left"/>
            </w:pPr>
            <w:r>
              <w:t xml:space="preserve">$156M replacement cost</w:t>
            </w:r>
          </w:p>
        </w:tc>
        <w:tc>
          <w:tcPr/>
          <w:p>
            <w:pPr>
              <w:pStyle w:val="Compact"/>
              <w:jc w:val="left"/>
            </w:pPr>
            <w:r>
              <w:t xml:space="preserve">Same source; derived from ~$20K/system</w:t>
            </w:r>
          </w:p>
        </w:tc>
      </w:tr>
      <w:tr>
        <w:tc>
          <w:tcPr/>
          <w:p>
            <w:pPr>
              <w:pStyle w:val="Compact"/>
              <w:jc w:val="left"/>
            </w:pPr>
            <w:r>
              <w:t xml:space="preserve">~80% of Accomack creek baseflow is groundwater</w:t>
            </w:r>
          </w:p>
        </w:tc>
        <w:tc>
          <w:tcPr/>
          <w:p>
            <w:pPr>
              <w:pStyle w:val="Compact"/>
              <w:jc w:val="left"/>
            </w:pPr>
            <w:r>
              <w:t xml:space="preserve">A-NPDC groundwater factsheet (2022) + Richardson 1994 USGS WSP 2401</w:t>
            </w:r>
          </w:p>
        </w:tc>
      </w:tr>
    </w:tbl>
    <w:p>
      <w:pPr>
        <w:pStyle w:val="BodyText"/>
      </w:pPr>
      <w:r>
        <w:rPr>
          <w:bCs/>
          <w:b/>
        </w:rPr>
        <w:t xml:space="preserve">Deliberately NOT used on this poster:</w:t>
      </w:r>
    </w:p>
    <w:p>
      <w:pPr>
        <w:numPr>
          <w:ilvl w:val="0"/>
          <w:numId w:val="1006"/>
        </w:numPr>
        <w:pStyle w:val="Compact"/>
      </w:pPr>
      <w:r>
        <w:rPr>
          <w:bCs/>
          <w:b/>
        </w:rPr>
        <w:t xml:space="preserve">Bay-wide</w:t>
      </w:r>
      <w:r>
        <w:rPr>
          <w:bCs/>
          <w:b/>
        </w:rPr>
        <w:t xml:space="preserve"> </w:t>
      </w:r>
      <w:r>
        <w:rPr>
          <w:bCs/>
          <w:b/>
        </w:rPr>
        <w:t xml:space="preserve">“</w:t>
      </w:r>
      <w:r>
        <w:rPr>
          <w:bCs/>
          <w:b/>
        </w:rPr>
        <w:t xml:space="preserve">% of nitrogen from septic.</w:t>
      </w:r>
      <w:r>
        <w:rPr>
          <w:bCs/>
          <w:b/>
        </w:rPr>
        <w:t xml:space="preserve">”</w:t>
      </w:r>
      <w:r>
        <w:t xml:space="preserve"> </w:t>
      </w:r>
      <w:r>
        <w:t xml:space="preserve">This figure is unstable across sources and model versions (CBF reports ~7.8M lb/yr; other sources ~12M lb/yr; percentages range ~3–6%). Our own Pathway 3a analysis concluded that the defensible ESVA story is that</w:t>
      </w:r>
      <w:r>
        <w:t xml:space="preserve"> </w:t>
      </w:r>
      <w:r>
        <w:rPr>
          <w:iCs/>
          <w:i/>
        </w:rPr>
        <w:t xml:space="preserve">local sub-basin</w:t>
      </w:r>
      <w:r>
        <w:t xml:space="preserve"> </w:t>
      </w:r>
      <w:r>
        <w:t xml:space="preserve">contributions far exceed any watershed average — which is what the poster says instead.</w:t>
      </w:r>
    </w:p>
    <w:p>
      <w:pPr>
        <w:numPr>
          <w:ilvl w:val="0"/>
          <w:numId w:val="1006"/>
        </w:numPr>
        <w:pStyle w:val="Compact"/>
      </w:pPr>
      <w:r>
        <w:rPr>
          <w:bCs/>
          <w:b/>
        </w:rPr>
        <w:t xml:space="preserve">Human health content</w:t>
      </w:r>
      <w:r>
        <w:t xml:space="preserve"> </w:t>
      </w:r>
      <w:r>
        <w:t xml:space="preserve">(nitrate–cancer, blue baby syndrome, PFAS). Covered in a separate outreach track; this poster is scoped to ecological effects.</w:t>
      </w:r>
    </w:p>
    <w:p>
      <w:pPr>
        <w:numPr>
          <w:ilvl w:val="0"/>
          <w:numId w:val="1006"/>
        </w:numPr>
        <w:pStyle w:val="Compact"/>
      </w:pPr>
      <w:r>
        <w:rPr>
          <w:bCs/>
          <w:b/>
        </w:rPr>
        <w:t xml:space="preserve">Speculative species links</w:t>
      </w:r>
      <w:r>
        <w:t xml:space="preserve"> </w:t>
      </w:r>
      <w:r>
        <w:t xml:space="preserve">(horseshoe crab, red knot, piping plover, Chincoteague ponies). Our synthesis labeled these SPECULATIVE; including them on a public poster would overclaim.</w:t>
      </w:r>
    </w:p>
    <w:p>
      <w:r>
        <w:pict>
          <v:rect style="width:0;height:1.5pt" o:hralign="center" o:hrstd="t" o:hr="t"/>
        </w:pict>
      </w:r>
    </w:p>
    <w:bookmarkEnd w:id="38"/>
    <w:bookmarkStart w:id="40" w:name="revision-log-v2-changes"/>
    <w:p>
      <w:pPr>
        <w:pStyle w:val="Heading2"/>
      </w:pPr>
      <w:r>
        <w:t xml:space="preserve">12. Revision log — v2 changes</w:t>
      </w:r>
    </w:p>
    <w:p>
      <w:pPr>
        <w:pStyle w:val="FirstParagraph"/>
      </w:pPr>
      <w:r>
        <w:t xml:space="preserve">Made in response to scientific review. Each addressed a real overstatement or an unexplained term.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Issue</w:t>
            </w:r>
          </w:p>
        </w:tc>
        <w:tc>
          <w:tcPr/>
          <w:p>
            <w:pPr>
              <w:pStyle w:val="Compact"/>
              <w:jc w:val="left"/>
            </w:pPr>
            <w:r>
              <w:t xml:space="preserve">Change</w:t>
            </w:r>
          </w:p>
        </w:tc>
      </w:tr>
      <w:tr>
        <w:tc>
          <w:tcPr/>
          <w:p>
            <w:pPr>
              <w:pStyle w:val="Compact"/>
              <w:jc w:val="left"/>
            </w:pPr>
            <w:r>
              <w:t xml:space="preserve">1</w:t>
            </w:r>
          </w:p>
        </w:tc>
        <w:tc>
          <w:tcPr/>
          <w:p>
            <w:pPr>
              <w:pStyle w:val="Compact"/>
              <w:jc w:val="left"/>
            </w:pPr>
            <w:r>
              <w:t xml:space="preserve">Poster said the sole-source aquifer was</w:t>
            </w:r>
            <w:r>
              <w:t xml:space="preserve"> </w:t>
            </w:r>
            <w:r>
              <w:t xml:space="preserve">“</w:t>
            </w:r>
            <w:r>
              <w:t xml:space="preserve">the shallow Columbia</w:t>
            </w:r>
            <w:r>
              <w:t xml:space="preserve">”</w:t>
            </w:r>
          </w:p>
        </w:tc>
        <w:tc>
          <w:tcPr/>
          <w:p>
            <w:pPr>
              <w:pStyle w:val="Compact"/>
              <w:jc w:val="left"/>
            </w:pPr>
            <w:r>
              <w:rPr>
                <w:bCs/>
                <w:b/>
              </w:rPr>
              <w:t xml:space="preserve">Corrected.</w:t>
            </w:r>
            <w:r>
              <w:t xml:space="preserve"> </w:t>
            </w:r>
            <w:r>
              <w:t xml:space="preserve">The 1997 designation covers</w:t>
            </w:r>
            <w:r>
              <w:t xml:space="preserve"> </w:t>
            </w:r>
            <w:r>
              <w:rPr>
                <w:bCs/>
                <w:b/>
              </w:rPr>
              <w:t xml:space="preserve">both</w:t>
            </w:r>
            <w:r>
              <w:t xml:space="preserve"> </w:t>
            </w:r>
            <w:r>
              <w:t xml:space="preserve">the Columbia and Yorktown–Eastover systems. Column 1 and the diagram now show both, which also carries the drinking-water story.</w:t>
            </w:r>
          </w:p>
        </w:tc>
      </w:tr>
      <w:tr>
        <w:tc>
          <w:tcPr/>
          <w:p>
            <w:pPr>
              <w:pStyle w:val="Compact"/>
              <w:jc w:val="left"/>
            </w:pPr>
            <w:r>
              <w:t xml:space="preserve">2</w:t>
            </w:r>
          </w:p>
        </w:tc>
        <w:tc>
          <w:tcPr/>
          <w:p>
            <w:pPr>
              <w:pStyle w:val="Compact"/>
              <w:jc w:val="left"/>
            </w:pPr>
            <w:r>
              <w:t xml:space="preserve">Human health not mentioned</w:t>
            </w:r>
          </w:p>
        </w:tc>
        <w:tc>
          <w:tcPr/>
          <w:p>
            <w:pPr>
              <w:pStyle w:val="Compact"/>
              <w:jc w:val="left"/>
            </w:pPr>
            <w:r>
              <w:rPr>
                <w:bCs/>
                <w:b/>
              </w:rPr>
              <w:t xml:space="preserve">Added</w:t>
            </w:r>
            <w:r>
              <w:t xml:space="preserve"> </w:t>
            </w:r>
            <w:r>
              <w:t xml:space="preserve">two sentences in Column 1 noting real risk to shallow private wells, with a pointer to companion project work.</w:t>
            </w:r>
          </w:p>
        </w:tc>
      </w:tr>
      <w:tr>
        <w:tc>
          <w:tcPr/>
          <w:p>
            <w:pPr>
              <w:pStyle w:val="Compact"/>
              <w:jc w:val="left"/>
            </w:pPr>
            <w:r>
              <w:t xml:space="preserve">3</w:t>
            </w:r>
          </w:p>
        </w:tc>
        <w:tc>
          <w:tcPr/>
          <w:p>
            <w:pPr>
              <w:pStyle w:val="Compact"/>
              <w:jc w:val="left"/>
            </w:pPr>
            <w:r>
              <w:t xml:space="preserve">“</w:t>
            </w:r>
            <w:r>
              <w:t xml:space="preserve">Nitrate behaves conservatively</w:t>
            </w:r>
            <w:r>
              <w:t xml:space="preserve">”</w:t>
            </w:r>
            <w:r>
              <w:t xml:space="preserve"> </w:t>
            </w:r>
            <w:r>
              <w:t xml:space="preserve">was unexplained jargon</w:t>
            </w:r>
          </w:p>
        </w:tc>
        <w:tc>
          <w:tcPr/>
          <w:p>
            <w:pPr>
              <w:pStyle w:val="Compact"/>
              <w:jc w:val="left"/>
            </w:pPr>
            <w:r>
              <w:rPr>
                <w:bCs/>
                <w:b/>
              </w:rPr>
              <w:t xml:space="preserve">Replaced</w:t>
            </w:r>
            <w:r>
              <w:t xml:space="preserve"> </w:t>
            </w:r>
            <w:r>
              <w:t xml:space="preserve">with a plain-language callout explaining that nitrate does not stick to sand and is barely consumed.</w:t>
            </w:r>
          </w:p>
        </w:tc>
      </w:tr>
      <w:tr>
        <w:tc>
          <w:tcPr/>
          <w:p>
            <w:pPr>
              <w:pStyle w:val="Compact"/>
              <w:jc w:val="left"/>
            </w:pPr>
            <w:r>
              <w:t xml:space="preserve">4</w:t>
            </w:r>
          </w:p>
        </w:tc>
        <w:tc>
          <w:tcPr/>
          <w:p>
            <w:pPr>
              <w:pStyle w:val="Compact"/>
              <w:jc w:val="left"/>
            </w:pPr>
            <w:r>
              <w:t xml:space="preserve">Phosphorus source and behavior unexplained</w:t>
            </w:r>
          </w:p>
        </w:tc>
        <w:tc>
          <w:tcPr/>
          <w:p>
            <w:pPr>
              <w:pStyle w:val="Compact"/>
              <w:jc w:val="left"/>
            </w:pPr>
            <w:r>
              <w:rPr>
                <w:bCs/>
                <w:b/>
              </w:rPr>
              <w:t xml:space="preserve">Added</w:t>
            </w:r>
            <w:r>
              <w:t xml:space="preserve"> </w:t>
            </w:r>
            <w:r>
              <w:t xml:space="preserve">to the new</w:t>
            </w:r>
            <w:r>
              <w:t xml:space="preserve"> </w:t>
            </w:r>
            <w:r>
              <w:t xml:space="preserve">“</w:t>
            </w:r>
            <w:r>
              <w:t xml:space="preserve">What the soil actually does</w:t>
            </w:r>
            <w:r>
              <w:t xml:space="preserve">”</w:t>
            </w:r>
            <w:r>
              <w:t xml:space="preserve"> </w:t>
            </w:r>
            <w:r>
              <w:t xml:space="preserve">table: P binds until soil saturates, then breaks through — an</w:t>
            </w:r>
            <w:r>
              <w:t xml:space="preserve"> </w:t>
            </w:r>
            <w:r>
              <w:rPr>
                <w:iCs/>
                <w:i/>
              </w:rPr>
              <w:t xml:space="preserve">aging</w:t>
            </w:r>
            <w:r>
              <w:t xml:space="preserve"> </w:t>
            </w:r>
            <w:r>
              <w:t xml:space="preserve">problem, not a failure problem.</w:t>
            </w:r>
          </w:p>
        </w:tc>
      </w:tr>
      <w:tr>
        <w:tc>
          <w:tcPr/>
          <w:p>
            <w:pPr>
              <w:pStyle w:val="Compact"/>
              <w:jc w:val="left"/>
            </w:pPr>
            <w:r>
              <w:t xml:space="preserve">5</w:t>
            </w:r>
          </w:p>
        </w:tc>
        <w:tc>
          <w:tcPr/>
          <w:p>
            <w:pPr>
              <w:pStyle w:val="Compact"/>
              <w:jc w:val="left"/>
            </w:pPr>
            <w:r>
              <w:t xml:space="preserve">Poster implied PFAS/pharmaceutical entry is a</w:t>
            </w:r>
            <w:r>
              <w:t xml:space="preserve"> </w:t>
            </w:r>
            <w:r>
              <w:rPr>
                <w:iCs/>
                <w:i/>
              </w:rPr>
              <w:t xml:space="preserve">failure</w:t>
            </w:r>
            <w:r>
              <w:t xml:space="preserve"> </w:t>
            </w:r>
            <w:r>
              <w:t xml:space="preserve">consequence</w:t>
            </w:r>
          </w:p>
        </w:tc>
        <w:tc>
          <w:tcPr/>
          <w:p>
            <w:pPr>
              <w:pStyle w:val="Compact"/>
              <w:jc w:val="left"/>
            </w:pPr>
            <w:r>
              <w:rPr>
                <w:bCs/>
                <w:b/>
              </w:rPr>
              <w:t xml:space="preserve">Corrected — this was the most significant error.</w:t>
            </w:r>
            <w:r>
              <w:t xml:space="preserve"> </w:t>
            </w:r>
            <w:r>
              <w:t xml:space="preserve">These compounds pass through working and failing systems alike. Now shown explicitly as</w:t>
            </w:r>
            <w:r>
              <w:t xml:space="preserve"> </w:t>
            </w:r>
            <w:r>
              <w:rPr>
                <w:bCs/>
                <w:b/>
              </w:rPr>
              <w:t xml:space="preserve">NO</w:t>
            </w:r>
            <w:r>
              <w:t xml:space="preserve"> </w:t>
            </w:r>
            <w:r>
              <w:t xml:space="preserve">in the failure-driven column, with a matching management implication: septic repair and mound systems do</w:t>
            </w:r>
            <w:r>
              <w:t xml:space="preserve"> </w:t>
            </w:r>
            <w:r>
              <w:rPr>
                <w:bCs/>
                <w:b/>
              </w:rPr>
              <w:t xml:space="preserve">not</w:t>
            </w:r>
            <w:r>
              <w:t xml:space="preserve"> </w:t>
            </w:r>
            <w:r>
              <w:t xml:space="preserve">address them.</w:t>
            </w:r>
          </w:p>
        </w:tc>
      </w:tr>
      <w:tr>
        <w:tc>
          <w:tcPr/>
          <w:p>
            <w:pPr>
              <w:pStyle w:val="Compact"/>
              <w:jc w:val="left"/>
            </w:pPr>
            <w:r>
              <w:t xml:space="preserve">6</w:t>
            </w:r>
          </w:p>
        </w:tc>
        <w:tc>
          <w:tcPr/>
          <w:p>
            <w:pPr>
              <w:pStyle w:val="Compact"/>
              <w:jc w:val="left"/>
            </w:pPr>
            <w:r>
              <w:t xml:space="preserve">“</w:t>
            </w:r>
            <w:r>
              <w:t xml:space="preserve">SAV</w:t>
            </w:r>
            <w:r>
              <w:t xml:space="preserve">”</w:t>
            </w:r>
            <w:r>
              <w:t xml:space="preserve"> </w:t>
            </w:r>
            <w:r>
              <w:t xml:space="preserve">unexplained</w:t>
            </w:r>
          </w:p>
        </w:tc>
        <w:tc>
          <w:tcPr/>
          <w:p>
            <w:pPr>
              <w:pStyle w:val="Compact"/>
              <w:jc w:val="left"/>
            </w:pPr>
            <w:r>
              <w:rPr>
                <w:bCs/>
                <w:b/>
              </w:rPr>
              <w:t xml:space="preserve">Replaced</w:t>
            </w:r>
            <w:r>
              <w:t xml:space="preserve"> </w:t>
            </w:r>
            <w:r>
              <w:t xml:space="preserve">throughout with</w:t>
            </w:r>
            <w:r>
              <w:t xml:space="preserve"> </w:t>
            </w:r>
            <w:r>
              <w:t xml:space="preserve">“</w:t>
            </w:r>
            <w:r>
              <w:t xml:space="preserve">underwater grasses.</w:t>
            </w:r>
            <w:r>
              <w:t xml:space="preserve">”</w:t>
            </w:r>
          </w:p>
        </w:tc>
      </w:tr>
      <w:tr>
        <w:tc>
          <w:tcPr/>
          <w:p>
            <w:pPr>
              <w:pStyle w:val="Compact"/>
              <w:jc w:val="left"/>
            </w:pPr>
            <w:r>
              <w:t xml:space="preserve">7</w:t>
            </w:r>
          </w:p>
        </w:tc>
        <w:tc>
          <w:tcPr/>
          <w:p>
            <w:pPr>
              <w:pStyle w:val="Compact"/>
              <w:jc w:val="left"/>
            </w:pPr>
            <w:r>
              <w:t xml:space="preserve">“</w:t>
            </w:r>
            <w:r>
              <w:t xml:space="preserve">Flushing-limited</w:t>
            </w:r>
            <w:r>
              <w:t xml:space="preserve">”</w:t>
            </w:r>
            <w:r>
              <w:t xml:space="preserve"> </w:t>
            </w:r>
            <w:r>
              <w:t xml:space="preserve">and</w:t>
            </w:r>
            <w:r>
              <w:t xml:space="preserve"> </w:t>
            </w:r>
            <w:r>
              <w:t xml:space="preserve">“</w:t>
            </w:r>
            <w:r>
              <w:t xml:space="preserve">nonlinear regime shifts at low N thresholds</w:t>
            </w:r>
            <w:r>
              <w:t xml:space="preserve">”</w:t>
            </w:r>
            <w:r>
              <w:t xml:space="preserve"> </w:t>
            </w:r>
            <w:r>
              <w:t xml:space="preserve">were jargon</w:t>
            </w:r>
          </w:p>
        </w:tc>
        <w:tc>
          <w:tcPr/>
          <w:p>
            <w:pPr>
              <w:pStyle w:val="Compact"/>
              <w:jc w:val="left"/>
            </w:pPr>
            <w:r>
              <w:rPr>
                <w:bCs/>
                <w:b/>
              </w:rPr>
              <w:t xml:space="preserve">Rewritten</w:t>
            </w:r>
            <w:r>
              <w:t xml:space="preserve"> </w:t>
            </w:r>
            <w:r>
              <w:t xml:space="preserve">in plain language: lagoons exchange water only through narrow inlets so nutrients accumulate; shallow bays don’t degrade gradually, they</w:t>
            </w:r>
            <w:r>
              <w:t xml:space="preserve"> </w:t>
            </w:r>
            <w:r>
              <w:rPr>
                <w:iCs/>
                <w:i/>
              </w:rPr>
              <w:t xml:space="preserve">flip</w:t>
            </w:r>
            <w:r>
              <w:t xml:space="preserve">; and</w:t>
            </w:r>
            <w:r>
              <w:t xml:space="preserve"> </w:t>
            </w:r>
            <w:r>
              <w:rPr>
                <w:bCs/>
                <w:b/>
              </w:rPr>
              <w:t xml:space="preserve">the flip is hard to undo</w:t>
            </w:r>
            <w:r>
              <w:t xml:space="preserve"> </w:t>
            </w:r>
            <w:r>
              <w:t xml:space="preserve">(new hysteresis point — the strongest argument for prevention).</w:t>
            </w:r>
          </w:p>
        </w:tc>
      </w:tr>
      <w:tr>
        <w:tc>
          <w:tcPr/>
          <w:p>
            <w:pPr>
              <w:pStyle w:val="Compact"/>
              <w:jc w:val="left"/>
            </w:pPr>
            <w:r>
              <w:t xml:space="preserve">8</w:t>
            </w:r>
          </w:p>
        </w:tc>
        <w:tc>
          <w:tcPr/>
          <w:p>
            <w:pPr>
              <w:pStyle w:val="Compact"/>
              <w:jc w:val="left"/>
            </w:pPr>
            <w:r>
              <w:t xml:space="preserve">Conventional systems implied to remove nitrogen</w:t>
            </w:r>
          </w:p>
        </w:tc>
        <w:tc>
          <w:tcPr/>
          <w:p>
            <w:pPr>
              <w:pStyle w:val="Compact"/>
              <w:jc w:val="left"/>
            </w:pPr>
            <w:r>
              <w:rPr>
                <w:bCs/>
                <w:b/>
              </w:rPr>
              <w:t xml:space="preserve">Corrected.</w:t>
            </w:r>
            <w:r>
              <w:t xml:space="preserve"> </w:t>
            </w:r>
            <w:r>
              <w:t xml:space="preserve">Drainfields</w:t>
            </w:r>
            <w:r>
              <w:t xml:space="preserve"> </w:t>
            </w:r>
            <w:r>
              <w:rPr>
                <w:iCs/>
                <w:i/>
              </w:rPr>
              <w:t xml:space="preserve">convert</w:t>
            </w:r>
            <w:r>
              <w:t xml:space="preserve"> </w:t>
            </w:r>
            <w:r>
              <w:t xml:space="preserve">ammonium to nitrate; they don’t remove nitrogen. Retention is only ~10–30%. Added as a management implication: nitrogen reduction needs advanced systems or sewer, not just repair.</w:t>
            </w:r>
          </w:p>
        </w:tc>
      </w:tr>
      <w:tr>
        <w:tc>
          <w:tcPr/>
          <w:p>
            <w:pPr>
              <w:pStyle w:val="Compact"/>
              <w:jc w:val="left"/>
            </w:pPr>
            <w:r>
              <w:t xml:space="preserve">9</w:t>
            </w:r>
          </w:p>
        </w:tc>
        <w:tc>
          <w:tcPr/>
          <w:p>
            <w:pPr>
              <w:pStyle w:val="Compact"/>
              <w:jc w:val="left"/>
            </w:pPr>
            <w:r>
              <w:t xml:space="preserve">Column 4 implied septic is currently threatening the seagrass and the aquaculture economy</w:t>
            </w:r>
          </w:p>
        </w:tc>
        <w:tc>
          <w:tcPr/>
          <w:p>
            <w:pPr>
              <w:pStyle w:val="Compact"/>
              <w:jc w:val="left"/>
            </w:pPr>
            <w:r>
              <w:rPr>
                <w:bCs/>
                <w:b/>
              </w:rPr>
              <w:t xml:space="preserve">Reframed.</w:t>
            </w:r>
            <w:r>
              <w:t xml:space="preserve"> </w:t>
            </w:r>
            <w:r>
              <w:t xml:space="preserve">Retitled</w:t>
            </w:r>
            <w:r>
              <w:t xml:space="preserve"> </w:t>
            </w:r>
            <w:r>
              <w:t xml:space="preserve">“</w:t>
            </w:r>
            <w:r>
              <w:t xml:space="preserve">What Sits Downstream.</w:t>
            </w:r>
            <w:r>
              <w:t xml:space="preserve">”</w:t>
            </w:r>
            <w:r>
              <w:t xml:space="preserve"> </w:t>
            </w:r>
            <w:r>
              <w:t xml:space="preserve">New</w:t>
            </w:r>
            <w:r>
              <w:t xml:space="preserve"> </w:t>
            </w:r>
            <w:r>
              <w:rPr>
                <w:bCs/>
                <w:b/>
              </w:rPr>
              <w:t xml:space="preserve">“</w:t>
            </w:r>
            <w:r>
              <w:rPr>
                <w:bCs/>
                <w:b/>
              </w:rPr>
              <w:t xml:space="preserve">What we cannot yet say</w:t>
            </w:r>
            <w:r>
              <w:rPr>
                <w:bCs/>
                <w:b/>
              </w:rPr>
              <w:t xml:space="preserve">”</w:t>
            </w:r>
            <w:r>
              <w:t xml:space="preserve"> </w:t>
            </w:r>
            <w:r>
              <w:t xml:space="preserve">box states that seaside nutrient levels remain low, the documented eelgrass threat has been</w:t>
            </w:r>
            <w:r>
              <w:t xml:space="preserve"> </w:t>
            </w:r>
            <w:r>
              <w:rPr>
                <w:iCs/>
                <w:i/>
              </w:rPr>
              <w:t xml:space="preserve">thermal</w:t>
            </w:r>
            <w:r>
              <w:t xml:space="preserve">, and no ESVA study has apportioned sources. The claim is now explicitly</w:t>
            </w:r>
            <w:r>
              <w:t xml:space="preserve"> </w:t>
            </w:r>
            <w:r>
              <w:rPr>
                <w:bCs/>
                <w:b/>
              </w:rPr>
              <w:t xml:space="preserve">precautionary, not diagnostic</w:t>
            </w:r>
            <w:r>
              <w:t xml:space="preserve">.</w:t>
            </w:r>
          </w:p>
        </w:tc>
      </w:tr>
      <w:tr>
        <w:tc>
          <w:tcPr/>
          <w:p>
            <w:pPr>
              <w:pStyle w:val="Compact"/>
              <w:jc w:val="left"/>
            </w:pPr>
            <w:r>
              <w:t xml:space="preserve">10</w:t>
            </w:r>
          </w:p>
        </w:tc>
        <w:tc>
          <w:tcPr/>
          <w:p>
            <w:pPr>
              <w:pStyle w:val="Compact"/>
              <w:jc w:val="left"/>
            </w:pPr>
            <w:r>
              <w:t xml:space="preserve">“</w:t>
            </w:r>
            <w:r>
              <w:t xml:space="preserve">The vulnerability is measurable</w:t>
            </w:r>
            <w:r>
              <w:t xml:space="preserve">”</w:t>
            </w:r>
            <w:r>
              <w:t xml:space="preserve"> </w:t>
            </w:r>
            <w:r>
              <w:t xml:space="preserve">implied septic causation</w:t>
            </w:r>
          </w:p>
        </w:tc>
        <w:tc>
          <w:tcPr/>
          <w:p>
            <w:pPr>
              <w:pStyle w:val="Compact"/>
              <w:jc w:val="left"/>
            </w:pPr>
            <w:r>
              <w:rPr>
                <w:bCs/>
                <w:b/>
              </w:rPr>
              <w:t xml:space="preserve">Retitled</w:t>
            </w:r>
            <w:r>
              <w:rPr>
                <w:bCs/>
                <w:b/>
              </w:rPr>
              <w:t xml:space="preserve"> </w:t>
            </w:r>
            <w:r>
              <w:rPr>
                <w:bCs/>
                <w:b/>
              </w:rPr>
              <w:t xml:space="preserve">“</w:t>
            </w:r>
            <w:r>
              <w:rPr>
                <w:bCs/>
                <w:b/>
              </w:rPr>
              <w:t xml:space="preserve">Why the margin is thin</w:t>
            </w:r>
            <w:r>
              <w:rPr>
                <w:bCs/>
                <w:b/>
              </w:rPr>
              <w:t xml:space="preserve">”</w:t>
            </w:r>
            <w:r>
              <w:t xml:space="preserve"> </w:t>
            </w:r>
            <w:r>
              <w:t xml:space="preserve">with an explicit lead sentence: these systems are not currently degraded by septic pollution, but they are demonstrably perturbable.</w:t>
            </w:r>
          </w:p>
        </w:tc>
      </w:tr>
    </w:tbl>
    <w:bookmarkStart w:id="39" w:name="on-whether-the-assets-are-at-risk"/>
    <w:p>
      <w:pPr>
        <w:pStyle w:val="Heading3"/>
      </w:pPr>
      <w:r>
        <w:t xml:space="preserve">On whether the assets are</w:t>
      </w:r>
      <w:r>
        <w:t xml:space="preserve"> </w:t>
      </w:r>
      <w:r>
        <w:t xml:space="preserve">“</w:t>
      </w:r>
      <w:r>
        <w:t xml:space="preserve">at risk</w:t>
      </w:r>
      <w:r>
        <w:t xml:space="preserve">”</w:t>
      </w:r>
    </w:p>
    <w:p>
      <w:pPr>
        <w:pStyle w:val="FirstParagraph"/>
      </w:pPr>
      <w:r>
        <w:t xml:space="preserve">The honest position, now reflected on the poster:</w:t>
      </w:r>
    </w:p>
    <w:p>
      <w:pPr>
        <w:numPr>
          <w:ilvl w:val="0"/>
          <w:numId w:val="1007"/>
        </w:numPr>
        <w:pStyle w:val="Compact"/>
      </w:pPr>
      <w:r>
        <w:rPr>
          <w:bCs/>
          <w:b/>
        </w:rPr>
        <w:t xml:space="preserve">Defensible:</w:t>
      </w:r>
      <w:r>
        <w:t xml:space="preserve"> </w:t>
      </w:r>
      <w:r>
        <w:t xml:space="preserve">the shellfish-closure link (mechanistically direct, spatially co-located); the inherent sensitivity of shallow lagoons; and the</w:t>
      </w:r>
      <w:r>
        <w:t xml:space="preserve"> </w:t>
      </w:r>
      <w:r>
        <w:rPr>
          <w:iCs/>
          <w:i/>
        </w:rPr>
        <w:t xml:space="preserve">rising trajectory</w:t>
      </w:r>
      <w:r>
        <w:t xml:space="preserve"> </w:t>
      </w:r>
      <w:r>
        <w:t xml:space="preserve">of septic failure under sea-level rise.</w:t>
      </w:r>
    </w:p>
    <w:p>
      <w:pPr>
        <w:numPr>
          <w:ilvl w:val="0"/>
          <w:numId w:val="1007"/>
        </w:numPr>
        <w:pStyle w:val="Compact"/>
      </w:pPr>
      <w:r>
        <w:rPr>
          <w:bCs/>
          <w:b/>
        </w:rPr>
        <w:t xml:space="preserve">Not defensible:</w:t>
      </w:r>
      <w:r>
        <w:t xml:space="preserve"> </w:t>
      </w:r>
      <w:r>
        <w:t xml:space="preserve">that septic-derived nitrogen is currently damaging the eelgrass restoration. Seaside nutrient concentrations are low by global standards; the documented threat has been thermal; seaside septic density is comparatively low; and agricultural nitrogen likely dominates many sub-basin budgets — unpartitioned.</w:t>
      </w:r>
    </w:p>
    <w:p>
      <w:pPr>
        <w:pStyle w:val="FirstParagraph"/>
      </w:pPr>
      <w:r>
        <w:t xml:space="preserve">For an agency audience this reframing is a</w:t>
      </w:r>
      <w:r>
        <w:t xml:space="preserve"> </w:t>
      </w:r>
      <w:r>
        <w:rPr>
          <w:bCs/>
          <w:b/>
        </w:rPr>
        <w:t xml:space="preserve">strength</w:t>
      </w:r>
      <w:r>
        <w:t xml:space="preserve">. It converts the poster from</w:t>
      </w:r>
      <w:r>
        <w:t xml:space="preserve"> </w:t>
      </w:r>
      <w:r>
        <w:t xml:space="preserve">“</w:t>
      </w:r>
      <w:r>
        <w:t xml:space="preserve">here is a problem</w:t>
      </w:r>
      <w:r>
        <w:t xml:space="preserve">”</w:t>
      </w:r>
      <w:r>
        <w:t xml:space="preserve"> </w:t>
      </w:r>
      <w:r>
        <w:t xml:space="preserve">into</w:t>
      </w:r>
      <w:r>
        <w:t xml:space="preserve"> </w:t>
      </w:r>
      <w:r>
        <w:t xml:space="preserve">“</w:t>
      </w:r>
      <w:r>
        <w:t xml:space="preserve">here is a specific, tractable, fundable question nobody has answered.</w:t>
      </w:r>
      <w:r>
        <w:t xml:space="preserve">”</w:t>
      </w:r>
    </w:p>
    <w:p>
      <w:r>
        <w:pict>
          <v:rect style="width:0;height:1.5pt" o:hralign="center" o:hrstd="t" o:hr="t"/>
        </w:pict>
      </w:r>
    </w:p>
    <w:bookmarkEnd w:id="39"/>
    <w:bookmarkEnd w:id="40"/>
    <w:bookmarkStart w:id="41" w:name="Xd29de46890c893cb2f1679a36f20912deaec5bc"/>
    <w:p>
      <w:pPr>
        <w:pStyle w:val="Heading2"/>
      </w:pPr>
      <w:r>
        <w:t xml:space="preserve">13. Correction made during poster preparation</w:t>
      </w:r>
    </w:p>
    <w:p>
      <w:pPr>
        <w:pStyle w:val="FirstParagraph"/>
      </w:pPr>
      <w:r>
        <w:t xml:space="preserve">Earlier drafts in this repository stated the seagrass restoration covered</w:t>
      </w:r>
      <w:r>
        <w:t xml:space="preserve"> </w:t>
      </w:r>
      <w:r>
        <w:t xml:space="preserve">“</w:t>
      </w:r>
      <w:r>
        <w:t xml:space="preserve">~4,000–4,800 ha (~10,000 acres) as of 2024–2025.</w:t>
      </w:r>
      <w:r>
        <w:t xml:space="preserve">”</w:t>
      </w:r>
      <w:r>
        <w:t xml:space="preserve"> </w:t>
      </w:r>
      <w:r>
        <w:t xml:space="preserve">That figure was an</w:t>
      </w:r>
      <w:r>
        <w:t xml:space="preserve"> </w:t>
      </w:r>
      <w:r>
        <w:rPr>
          <w:bCs/>
          <w:b/>
        </w:rPr>
        <w:t xml:space="preserve">unsourced extrapolation</w:t>
      </w:r>
      <w:r>
        <w:t xml:space="preserve"> </w:t>
      </w:r>
      <w:r>
        <w:t xml:space="preserve">and has been corrected throughout to the published</w:t>
      </w:r>
      <w:r>
        <w:t xml:space="preserve"> </w:t>
      </w:r>
      <w:r>
        <w:rPr>
          <w:bCs/>
          <w:b/>
        </w:rPr>
        <w:t xml:space="preserve">3,612 ha</w:t>
      </w:r>
      <w:r>
        <w:t xml:space="preserve"> </w:t>
      </w:r>
      <w:r>
        <w:t xml:space="preserve">from Orth et al. (2020), which reports the 2018 census. Extent has continued to expand since, but no peer-reviewed updated total was located — so the published figure is used.</w:t>
      </w:r>
    </w:p>
    <w:p>
      <w:pPr>
        <w:pStyle w:val="BodyText"/>
      </w:pPr>
      <w:r>
        <w:t xml:space="preserve">If you can obtain a current VIMS/TNC census figure before the symposium, it would strengthen the poster; contact the VIMS seagrass monitoring program or The Nature Conservancy Virginia Coast Reserve.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2026-07-27T19:28:25Z</dcterms:created>
  <dcterms:modified xsi:type="dcterms:W3CDTF">2026-07-27T19:28:25Z</dcterms:modified>
</cp:coreProperties>
</file>

<file path=docProps/custom.xml><?xml version="1.0" encoding="utf-8"?>
<Properties xmlns="http://schemas.openxmlformats.org/officeDocument/2006/custom-properties" xmlns:vt="http://schemas.openxmlformats.org/officeDocument/2006/docPropsVTypes"/>
</file>