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 (v7):</w:t>
      </w:r>
      <w:r>
        <w:t xml:space="preserve"> </w:t>
      </w:r>
      <w:r>
        <w:t xml:space="preserve">body text raised to</w:t>
      </w:r>
      <w:r>
        <w:t xml:space="preserve"> </w:t>
      </w:r>
      <w:r>
        <w:rPr>
          <w:bCs/>
          <w:b/>
        </w:rPr>
        <w:t xml:space="preserve">15 pt</w:t>
      </w:r>
      <w:r>
        <w:t xml:space="preserve"> </w:t>
      </w:r>
      <w:r>
        <w:t xml:space="preserve">after review flagged the poster as too dense. Do not go below 14 pt for body copy or 10 pt for references. Column 2 widened to 1.28fr so the cross-section reads as the dominant visual.</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Subhead: Three things compound it</w:t>
      </w:r>
    </w:p>
    <w:p>
      <w:pPr>
        <w:numPr>
          <w:ilvl w:val="0"/>
          <w:numId w:val="1001"/>
        </w:numPr>
        <w:pStyle w:val="Compact"/>
      </w:pPr>
      <w:r>
        <w:rPr>
          <w:bCs/>
          <w:b/>
        </w:rPr>
        <w:t xml:space="preserve">Age.</w:t>
      </w:r>
      <w:r>
        <w:t xml:space="preserve"> </w:t>
      </w:r>
      <w:r>
        <w:t xml:space="preserve">Many Shore systems date to the 1970s–80s. Installers report age and what gets flushed as the leading causes of failure they see.</w:t>
      </w:r>
    </w:p>
    <w:p>
      <w:pPr>
        <w:numPr>
          <w:ilvl w:val="0"/>
          <w:numId w:val="1001"/>
        </w:numPr>
        <w:pStyle w:val="Compact"/>
      </w:pPr>
      <w:r>
        <w:rPr>
          <w:bCs/>
          <w:b/>
        </w:rPr>
        <w:t xml:space="preserve">No reliable inventory.</w:t>
      </w:r>
      <w:r>
        <w:t xml:space="preserve"> </w:t>
      </w:r>
      <w:r>
        <w:t xml:space="preserve">Virginia has no complete record of where septic systems are, how old they are, or what condition they are in. State databases are sparsely populated for the Shore, so neither agencies nor owners can target maintenance.</w:t>
      </w:r>
    </w:p>
    <w:p>
      <w:pPr>
        <w:numPr>
          <w:ilvl w:val="0"/>
          <w:numId w:val="1001"/>
        </w:numPr>
        <w:pStyle w:val="Compact"/>
      </w:pPr>
      <w:r>
        <w:rPr>
          <w:bCs/>
          <w:b/>
        </w:rPr>
        <w:t xml:space="preserve">Information and cost barriers.</w:t>
      </w:r>
      <w:r>
        <w:t xml:space="preserve"> </w:t>
      </w:r>
      <w:r>
        <w:t xml:space="preserve">Nationally only</w:t>
      </w:r>
      <w:r>
        <w:t xml:space="preserve"> </w:t>
      </w:r>
      <w:r>
        <w:rPr>
          <w:bCs/>
          <w:b/>
        </w:rPr>
        <w:t xml:space="preserve">~32%</w:t>
      </w:r>
      <w:r>
        <w:t xml:space="preserve"> </w:t>
      </w:r>
      <w:r>
        <w:t xml:space="preserve">of owners meet recommended inspection intervals, and</w:t>
      </w:r>
      <w:r>
        <w:t xml:space="preserve"> </w:t>
      </w:r>
      <w:r>
        <w:rPr>
          <w:bCs/>
          <w:b/>
        </w:rPr>
        <w:t xml:space="preserve">~60%</w:t>
      </w:r>
      <w:r>
        <w:t xml:space="preserve"> </w:t>
      </w:r>
      <w:r>
        <w:t xml:space="preserve">of systems over 20 years old have</w:t>
      </w:r>
      <w:r>
        <w:t xml:space="preserve"> </w:t>
      </w:r>
      <w:r>
        <w:rPr>
          <w:bCs/>
          <w:b/>
        </w:rPr>
        <w:t xml:space="preserve">never been inspected</w:t>
      </w:r>
      <w:r>
        <w:t xml:space="preserve">. A pump-out runs $250–500 — a genuine barrier at Shore incomes, and assistance programs are under-used.</w:t>
      </w:r>
    </w:p>
    <w:p>
      <w:pPr>
        <w:pStyle w:val="FirstParagraph"/>
      </w:pPr>
      <w:r>
        <w:rPr>
          <w:bCs/>
          <w:b/>
        </w:rPr>
        <w:t xml:space="preserve">Caption:</w:t>
      </w:r>
      <w:r>
        <w:t xml:space="preserve"> </w:t>
      </w:r>
      <w:r>
        <w:t xml:space="preserve">Rising groundwater makes failure</w:t>
      </w:r>
      <w:r>
        <w:t xml:space="preserve"> </w:t>
      </w:r>
      <w:r>
        <w:rPr>
          <w:iCs/>
          <w:i/>
        </w:rPr>
        <w:t xml:space="preserve">progressive and unavoidable</w:t>
      </w:r>
      <w:r>
        <w:t xml:space="preserve">; age, records and maintenance determine</w:t>
      </w:r>
      <w:r>
        <w:t xml:space="preserve"> </w:t>
      </w:r>
      <w:r>
        <w:rPr>
          <w:iCs/>
          <w:i/>
        </w:rPr>
        <w:t xml:space="preserve">which systems fail first</w:t>
      </w:r>
      <w:r>
        <w:t xml:space="preserve">. Both are systemic, not individual, failings.</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~80%</w:t>
      </w:r>
      <w:r>
        <w:t xml:space="preserve"> </w:t>
      </w:r>
      <w:r>
        <w:t xml:space="preserve">&gt; of the water supplying</w:t>
      </w:r>
      <w:r>
        <w:t xml:space="preserve"> </w:t>
      </w:r>
      <w:r>
        <w:rPr>
          <w:bCs/>
          <w:b/>
        </w:rPr>
        <w:t xml:space="preserve">Accomack County’s 30 tidal creeks</w:t>
      </w:r>
      <w:r>
        <w:t xml:space="preserve"> </w:t>
      </w:r>
      <w:r>
        <w:t xml:space="preserve">comes from</w:t>
      </w:r>
      <w:r>
        <w:t xml:space="preserve"> </w:t>
      </w:r>
      <w:r>
        <w:rPr>
          <w:bCs/>
          <w:b/>
        </w:rPr>
        <w:t xml:space="preserve">groundwater discharge</w:t>
      </w:r>
      <w:r>
        <w:t xml:space="preserve"> </w:t>
      </w:r>
      <w:r>
        <w:t xml:space="preserve">(Accomack County Regional Water Supply Plan, 2010). Shore-wide there are no significant surface streams — a fact EPA cited in the sole-source designation.</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Source resolved in v4 — see §11.</w:t>
      </w:r>
      <w:r>
        <w:t xml:space="preserve"> </w:t>
      </w:r>
      <w:r>
        <w:t xml:space="preserve">The 80% figure traces to the</w:t>
      </w:r>
      <w:r>
        <w:t xml:space="preserve"> </w:t>
      </w:r>
      <w:r>
        <w:rPr>
          <w:iCs/>
          <w:i/>
        </w:rPr>
        <w:t xml:space="preserve">Accomack County Regional Water Supply Plan</w:t>
      </w:r>
      <w:r>
        <w:t xml:space="preserve"> </w:t>
      </w:r>
      <w:r>
        <w:t xml:space="preserve">(April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Two things changed from the earlier draft: the figure is now attributed to its actual primary source rather than to sources that were never checked, and it is described as a share of the creeks’</w:t>
      </w:r>
      <w:r>
        <w:t xml:space="preserve"> </w:t>
      </w:r>
      <w:r>
        <w:rPr>
          <w:bCs/>
          <w:b/>
        </w:rPr>
        <w:t xml:space="preserve">supply/flow</w:t>
      </w:r>
      <w:r>
        <w:t xml:space="preserve"> </w:t>
      </w:r>
      <w:r>
        <w:t xml:space="preserve">rather than of</w:t>
      </w:r>
      <w:r>
        <w:t xml:space="preserve"> </w:t>
      </w:r>
      <w:r>
        <w:rPr>
          <w:bCs/>
          <w:b/>
        </w:rPr>
        <w:t xml:space="preserve">baseflow</w:t>
      </w:r>
      <w:r>
        <w:t xml:space="preserve"> </w:t>
      </w:r>
      <w:r>
        <w:t xml:space="preserve">(the earlier phrasing was near-tautological).</w:t>
      </w:r>
      <w:r>
        <w:t xml:space="preserve"> </w:t>
      </w:r>
      <w:r>
        <w:rPr>
          <w:bCs/>
          <w:b/>
        </w:rPr>
        <w:t xml:space="preserve">Scope note: this is an Accomack County figure. Do not present it as Shore-wide.</w:t>
      </w:r>
      <w:r>
        <w:t xml:space="preserve"> </w:t>
      </w:r>
      <w:r>
        <w:t xml:space="preserve">Northampton’s hydrogeologic setting is broadly similar, but no equivalent published figure has been located for it.</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What increases it</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Hydraulic failure</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Always — worse on failure</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Held by the soil until</w:t>
            </w:r>
            <w:r>
              <w:t xml:space="preserve"> </w:t>
            </w:r>
            <w:r>
              <w:rPr>
                <w:iCs/>
                <w:i/>
              </w:rPr>
              <w:t xml:space="preserve">that system’s own</w:t>
            </w:r>
            <w:r>
              <w:t xml:space="preserve"> </w:t>
            </w:r>
            <w:r>
              <w:t xml:space="preserve">binding capacity is used up after years to decades of operation — then breaks through</w:t>
            </w:r>
          </w:p>
        </w:tc>
        <w:tc>
          <w:tcPr/>
          <w:p>
            <w:pPr>
              <w:pStyle w:val="Compact"/>
              <w:jc w:val="left"/>
            </w:pPr>
            <w:r>
              <w:rPr>
                <w:bCs/>
                <w:b/>
              </w:rPr>
              <w:t xml:space="preserve">System age; saturation can remobilise</w:t>
            </w:r>
            <w:r>
              <w:t xml:space="preserve"> </w:t>
            </w:r>
            <w:r>
              <w:t xml:space="preserve">(amber)</w:t>
            </w:r>
          </w:p>
        </w:tc>
      </w:tr>
      <w:tr>
        <w:tc>
          <w:tcPr/>
          <w:p>
            <w:pPr>
              <w:pStyle w:val="Compact"/>
              <w:jc w:val="left"/>
            </w:pPr>
            <w:r>
              <w:rPr>
                <w:bCs/>
                <w:b/>
              </w:rPr>
              <w:t xml:space="preserve">PFAS &amp; pharmaceuticals</w:t>
            </w:r>
          </w:p>
        </w:tc>
        <w:tc>
          <w:tcPr/>
          <w:p>
            <w:pPr>
              <w:pStyle w:val="Compact"/>
              <w:jc w:val="left"/>
            </w:pPr>
            <w:r>
              <w:t xml:space="preserve">Incompletely removed; mobility varies by compound. None measured beneath ESVA septic clusters</w:t>
            </w:r>
          </w:p>
        </w:tc>
        <w:tc>
          <w:tcPr/>
          <w:p>
            <w:pPr>
              <w:pStyle w:val="Compact"/>
              <w:jc w:val="left"/>
            </w:pPr>
            <w:r>
              <w:rPr>
                <w:bCs/>
                <w:b/>
              </w:rPr>
              <w:t xml:space="preserve">Always, regardless of condition</w:t>
            </w:r>
            <w:r>
              <w:t xml:space="preserve"> </w:t>
            </w:r>
            <w:r>
              <w:t xml:space="preserve">(gray)</w:t>
            </w:r>
          </w:p>
        </w:tc>
      </w:tr>
    </w:tbl>
    <w:p>
      <w:pPr>
        <w:pStyle w:val="BlockText"/>
      </w:pPr>
      <w:r>
        <w:rPr>
          <w:bCs/>
          <w:b/>
        </w:rPr>
        <w:t xml:space="preserve">v7 change.</w:t>
      </w:r>
      <w:r>
        <w:t xml:space="preserve"> </w:t>
      </w:r>
      <w:r>
        <w:t xml:space="preserve">The column header was a binary</w:t>
      </w:r>
      <w:r>
        <w:t xml:space="preserve"> </w:t>
      </w:r>
      <w:r>
        <w:t xml:space="preserve">“</w:t>
      </w:r>
      <w:r>
        <w:t xml:space="preserve">Failure-driven?</w:t>
      </w:r>
      <w:r>
        <w:t xml:space="preserve">”</w:t>
      </w:r>
      <w:r>
        <w:t xml:space="preserve">, which forced a yes/no onto processes that are not binary. Phosphorus in particular is use-driven but</w:t>
      </w:r>
      <w:r>
        <w:t xml:space="preserve"> </w:t>
      </w:r>
      <w:r>
        <w:rPr>
          <w:iCs/>
          <w:i/>
        </w:rPr>
        <w:t xml:space="preserve">can</w:t>
      </w:r>
      <w:r>
        <w:t xml:space="preserve"> </w:t>
      </w:r>
      <w:r>
        <w:t xml:space="preserve">be remobilised by saturation and reducing conditions. Reframing the column as</w:t>
      </w:r>
      <w:r>
        <w:t xml:space="preserve"> </w:t>
      </w:r>
      <w:r>
        <w:rPr>
          <w:bCs/>
          <w:b/>
        </w:rPr>
        <w:t xml:space="preserve">“</w:t>
      </w:r>
      <w:r>
        <w:rPr>
          <w:bCs/>
          <w:b/>
        </w:rPr>
        <w:t xml:space="preserve">What increases it</w:t>
      </w:r>
      <w:r>
        <w:rPr>
          <w:bCs/>
          <w:b/>
        </w:rPr>
        <w:t xml:space="preserve">”</w:t>
      </w:r>
      <w:r>
        <w:t xml:space="preserve"> </w:t>
      </w:r>
      <w:r>
        <w:t xml:space="preserve">resolves the tension between the two review comments without hedging the pathogens-vs-PFAS contrast that makes the table useful.</w:t>
      </w:r>
    </w:p>
    <w:p>
      <w:pPr>
        <w:pStyle w:val="FirstParagraph"/>
      </w:pPr>
      <w:r>
        <w:rPr>
          <w:bCs/>
          <w:b/>
        </w:rPr>
        <w:t xml:space="preserve">Caption under the table:</w:t>
      </w:r>
      <w:r>
        <w:t xml:space="preserve"> </w:t>
      </w:r>
      <w:r>
        <w:t xml:space="preserve">Phosphorus is the exception that proves the rule: it is limited by</w:t>
      </w:r>
      <w:r>
        <w:t xml:space="preserve"> </w:t>
      </w:r>
      <w:r>
        <w:rPr>
          <w:iCs/>
          <w:i/>
        </w:rPr>
        <w:t xml:space="preserve">cumulative use</w:t>
      </w:r>
      <w:r>
        <w:t xml:space="preserve">, not by condition. One failure link does exist — when a rising water table saturates the soil, iron oxides dissolve and can release phosphorus they had been holding for years.</w:t>
      </w:r>
    </w:p>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w:t>
            </w:r>
            <w:r>
              <w:t xml:space="preserve"> </w:t>
            </w:r>
            <w:r>
              <w:rPr>
                <w:bCs/>
                <w:b/>
              </w:rPr>
              <w:t xml:space="preserve">The aquifer is the delivery system</w:t>
            </w:r>
            <w:r>
              <w:t xml:space="preserve"> </w:t>
            </w:r>
            <w:r>
              <w:t xml:space="preserve">— what enters here arrives in the creeks, where nitrogen is the nutrient that drives coastal algal growth</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Algal mats; and — counter-intuitively —</w:t>
            </w:r>
            <w:r>
              <w:t xml:space="preserve"> </w:t>
            </w:r>
            <w:r>
              <w:rPr>
                <w:bCs/>
                <w:b/>
              </w:rPr>
              <w:t xml:space="preserve">marsh loss</w:t>
            </w:r>
            <w:r>
              <w:t xml:space="preserve">: enrichment grows more leaf but</w:t>
            </w:r>
            <w:r>
              <w:t xml:space="preserve"> </w:t>
            </w:r>
            <w:r>
              <w:rPr>
                <w:iCs/>
                <w:i/>
              </w:rPr>
              <w:t xml:space="preserve">fewer</w:t>
            </w:r>
            <w:r>
              <w:t xml:space="preserve"> </w:t>
            </w:r>
            <w:r>
              <w:t xml:space="preserve">bank-holding roots, so creek banks slump into the channel</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Subhead: Why marshes collapse when fertilised</w:t>
      </w:r>
    </w:p>
    <w:p>
      <w:pPr>
        <w:pStyle w:val="BodyText"/>
      </w:pPr>
      <w:r>
        <w:t xml:space="preserve">A creek bank is held together not by the stems you can see but by the dense mat of</w:t>
      </w:r>
      <w:r>
        <w:t xml:space="preserve"> </w:t>
      </w:r>
      <w:r>
        <w:rPr>
          <w:bCs/>
          <w:b/>
        </w:rPr>
        <w:t xml:space="preserve">roots and rhizomes</w:t>
      </w:r>
      <w:r>
        <w:t xml:space="preserve"> </w:t>
      </w:r>
      <w:r>
        <w:t xml:space="preserve">beneath it. Given abundant nitrogen, marsh grass stops investing in deep roots and puts growth into leaves instead — while the extra nitrogen also speeds microbial</w:t>
      </w:r>
      <w:r>
        <w:t xml:space="preserve"> </w:t>
      </w:r>
      <w:r>
        <w:rPr>
          <w:bCs/>
          <w:b/>
        </w:rPr>
        <w:t xml:space="preserve">decay of the peat</w:t>
      </w:r>
      <w:r>
        <w:t xml:space="preserve"> </w:t>
      </w:r>
      <w:r>
        <w:t xml:space="preserve">itself. The marsh looks greener above while losing its structure below, and banks crack and slump into the channel (Deegan et al. 2012).</w:t>
      </w:r>
    </w:p>
    <w:p>
      <w:pPr>
        <w:pStyle w:val="BodyText"/>
      </w:pPr>
      <w:r>
        <w:rPr>
          <w:iCs/>
          <w:i/>
        </w:rPr>
        <w:t xml:space="preserve">(Place this after the callout box below.)</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2"/>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2"/>
        </w:numPr>
        <w:pStyle w:val="Compact"/>
      </w:pPr>
      <w:r>
        <w:t xml:space="preserve">Warming</w:t>
      </w:r>
      <w:r>
        <w:t xml:space="preserve"> </w:t>
      </w:r>
      <w:r>
        <w:rPr>
          <w:bCs/>
          <w:b/>
        </w:rPr>
        <w:t xml:space="preserve">lowers eelgrass tolerance for nutrients</w:t>
      </w:r>
      <w:r>
        <w:t xml:space="preserve"> </w:t>
      </w:r>
      <w:r>
        <w:t xml:space="preserve">(Lefcheck et al. 2017). The link is</w:t>
      </w:r>
      <w:r>
        <w:t xml:space="preserve"> </w:t>
      </w:r>
      <w:r>
        <w:rPr>
          <w:bCs/>
          <w:b/>
        </w:rPr>
        <w:t xml:space="preserve">light</w:t>
      </w:r>
      <w:r>
        <w:t xml:space="preserve">: warm water forces the plant to respire faster, so it needs</w:t>
      </w:r>
      <w:r>
        <w:t xml:space="preserve"> </w:t>
      </w:r>
      <w:r>
        <w:rPr>
          <w:iCs/>
          <w:i/>
        </w:rPr>
        <w:t xml:space="preserve">more</w:t>
      </w:r>
      <w:r>
        <w:t xml:space="preserve"> </w:t>
      </w:r>
      <w:r>
        <w:t xml:space="preserve">light to break even — while nutrients feed a film of algae on the blades and in the water that delivers</w:t>
      </w:r>
      <w:r>
        <w:t xml:space="preserve"> </w:t>
      </w:r>
      <w:r>
        <w:rPr>
          <w:iCs/>
          <w:i/>
        </w:rPr>
        <w:t xml:space="preserve">less</w:t>
      </w:r>
      <w:r>
        <w:t xml:space="preserve">. The two stressors squeeze from opposite sides.</w:t>
      </w:r>
    </w:p>
    <w:p>
      <w:pPr>
        <w:numPr>
          <w:ilvl w:val="0"/>
          <w:numId w:val="1002"/>
        </w:numPr>
        <w:pStyle w:val="Compact"/>
      </w:pPr>
      <w:r>
        <w:t xml:space="preserve">Fecal-indicator exceedance in tidal waters rises from</w:t>
      </w:r>
      <w:r>
        <w:t xml:space="preserve"> </w:t>
      </w:r>
      <w:r>
        <w:rPr>
          <w:bCs/>
          <w:b/>
        </w:rPr>
        <w:t xml:space="preserve">~7% on dry days to ~37%</w:t>
      </w:r>
      <w:r>
        <w:t xml:space="preserve"> </w:t>
      </w:r>
      <w:r>
        <w:t xml:space="preserve">after ≥1 inch of rain (Leight &amp; Hood 2018).</w:t>
      </w:r>
    </w:p>
    <w:p>
      <w:pPr>
        <w:numPr>
          <w:ilvl w:val="0"/>
          <w:numId w:val="1002"/>
        </w:numPr>
        <w:pStyle w:val="Compact"/>
      </w:pPr>
      <w:r>
        <w:t xml:space="preserve">Sea-level-vulnerable septic systems concentrate in the low-lying shoreline parcels that sit</w:t>
      </w:r>
      <w:r>
        <w:t xml:space="preserve"> </w:t>
      </w:r>
      <w:r>
        <w:rPr>
          <w:bCs/>
          <w:b/>
        </w:rPr>
        <w:t xml:space="preserve">directly above classified shellfish waters</w:t>
      </w:r>
      <w:r>
        <w:t xml:space="preserve">. Oyster, Willis Wharf, Quinby, Wachapreague, Saxis, Chincoteague and Cape Charles are named as particularly exposed (Mitchell et al. 2021; Va. Wastewater Infrastructure Working Group, RD883, 2021).</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3"/>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3"/>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3"/>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3"/>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3"/>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3"/>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4"/>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4"/>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4"/>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4"/>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4"/>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4"/>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5"/>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5"/>
        </w:numPr>
        <w:pStyle w:val="Compact"/>
      </w:pPr>
      <w:r>
        <w:t xml:space="preserve">Press</w:t>
      </w:r>
      <w:r>
        <w:t xml:space="preserve"> </w:t>
      </w:r>
      <w:r>
        <w:rPr>
          <w:bCs/>
          <w:b/>
        </w:rPr>
        <w:t xml:space="preserve">Ctrl/Cmd + P</w:t>
      </w:r>
      <w:r>
        <w:t xml:space="preserve">.</w:t>
      </w:r>
    </w:p>
    <w:p>
      <w:pPr>
        <w:numPr>
          <w:ilvl w:val="0"/>
          <w:numId w:val="1005"/>
        </w:numPr>
        <w:pStyle w:val="Compact"/>
      </w:pPr>
      <w:r>
        <w:t xml:space="preserve">Destination:</w:t>
      </w:r>
      <w:r>
        <w:t xml:space="preserve"> </w:t>
      </w:r>
      <w:r>
        <w:rPr>
          <w:bCs/>
          <w:b/>
        </w:rPr>
        <w:t xml:space="preserve">Save as PDF</w:t>
      </w:r>
    </w:p>
    <w:p>
      <w:pPr>
        <w:numPr>
          <w:ilvl w:val="0"/>
          <w:numId w:val="1005"/>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5"/>
        </w:numPr>
        <w:pStyle w:val="Compact"/>
      </w:pPr>
      <w:r>
        <w:t xml:space="preserve">Margins:</w:t>
      </w:r>
      <w:r>
        <w:t xml:space="preserve"> </w:t>
      </w:r>
      <w:r>
        <w:rPr>
          <w:bCs/>
          <w:b/>
        </w:rPr>
        <w:t xml:space="preserve">None</w:t>
      </w:r>
    </w:p>
    <w:p>
      <w:pPr>
        <w:numPr>
          <w:ilvl w:val="0"/>
          <w:numId w:val="1005"/>
        </w:numPr>
        <w:pStyle w:val="Compact"/>
      </w:pPr>
      <w:r>
        <w:rPr>
          <w:bCs/>
          <w:b/>
        </w:rPr>
        <w:t xml:space="preserve">Background graphics: ON</w:t>
      </w:r>
      <w:r>
        <w:t xml:space="preserve"> </w:t>
      </w:r>
      <w:r>
        <w:t xml:space="preserve">← essential, or all color blocks disappear</w:t>
      </w:r>
    </w:p>
    <w:p>
      <w:pPr>
        <w:numPr>
          <w:ilvl w:val="0"/>
          <w:numId w:val="1005"/>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6"/>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6"/>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6"/>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6"/>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6"/>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6"/>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6"/>
        </w:numPr>
        <w:pStyle w:val="Compact"/>
      </w:pPr>
      <w:r>
        <w:t xml:space="preserve">☐ Proofread the pathway table — it is the densest text on the poster</w:t>
      </w:r>
    </w:p>
    <w:p>
      <w:pPr>
        <w:numPr>
          <w:ilvl w:val="0"/>
          <w:numId w:val="1006"/>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6"/>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Phosphorus is retarded by soil sorption until that system’s finite binding capacity is exhausted, then breaks through; plumes advance ~1 m/yr (retardation ≈20×) and can extend 70+ m from long-used systems in sandy soil; loading persists for years after decommissioning</w:t>
            </w:r>
          </w:p>
        </w:tc>
        <w:tc>
          <w:tcPr/>
          <w:p>
            <w:pPr>
              <w:pStyle w:val="Compact"/>
              <w:jc w:val="left"/>
            </w:pPr>
            <w:r>
              <w:t xml:space="preserve">✅ Verified</w:t>
            </w:r>
          </w:p>
        </w:tc>
        <w:tc>
          <w:tcPr/>
          <w:p>
            <w:pPr>
              <w:pStyle w:val="Compact"/>
              <w:jc w:val="left"/>
            </w:pPr>
            <w:r>
              <w:t xml:space="preserve">Robertson et al.,</w:t>
            </w:r>
            <w:r>
              <w:t xml:space="preserve"> </w:t>
            </w:r>
            <w:r>
              <w:rPr>
                <w:iCs/>
                <w:i/>
              </w:rPr>
              <w:t xml:space="preserve">Groundwater</w:t>
            </w:r>
            <w:r>
              <w:t xml:space="preserve"> </w:t>
            </w:r>
            <w:r>
              <w:t xml:space="preserve">(1999, 2008); review of P attenuation across 24 septic plumes,</w:t>
            </w:r>
            <w:r>
              <w:t xml:space="preserve"> </w:t>
            </w:r>
            <w:r>
              <w:rPr>
                <w:iCs/>
                <w:i/>
              </w:rPr>
              <w:t xml:space="preserve">Sci. Total Environ.</w:t>
            </w:r>
            <w:r>
              <w:t xml:space="preserve"> </w:t>
            </w:r>
            <w:r>
              <w:t xml:space="preserve">(2020)</w:t>
            </w:r>
          </w:p>
        </w:tc>
      </w:tr>
      <w:tr>
        <w:tc>
          <w:tcPr/>
          <w:p>
            <w:pPr>
              <w:pStyle w:val="Compact"/>
              <w:jc w:val="left"/>
            </w:pPr>
            <w:r>
              <w:t xml:space="preserve">Saturation/anoxia causes reductive dissolution of Fe-oxides, releasing bound phosphorus</w:t>
            </w:r>
          </w:p>
        </w:tc>
        <w:tc>
          <w:tcPr/>
          <w:p>
            <w:pPr>
              <w:pStyle w:val="Compact"/>
              <w:jc w:val="left"/>
            </w:pPr>
            <w:r>
              <w:t xml:space="preserve">✅ Mechanism verified —</w:t>
            </w:r>
            <w:r>
              <w:t xml:space="preserve"> </w:t>
            </w:r>
            <w:r>
              <w:rPr>
                <w:bCs/>
                <w:b/>
              </w:rPr>
              <w:t xml:space="preserve">note scope</w:t>
            </w:r>
          </w:p>
        </w:tc>
        <w:tc>
          <w:tcPr/>
          <w:p>
            <w:pPr>
              <w:pStyle w:val="Compact"/>
              <w:jc w:val="left"/>
            </w:pPr>
            <w:r>
              <w:t xml:space="preserve">Smith et al. 2021,</w:t>
            </w:r>
            <w:r>
              <w:t xml:space="preserve"> </w:t>
            </w:r>
            <w:r>
              <w:rPr>
                <w:iCs/>
                <w:i/>
              </w:rPr>
              <w:t xml:space="preserve">J. Environ. Qual.</w:t>
            </w:r>
            <w:r>
              <w:t xml:space="preserve"> </w:t>
            </w:r>
            <w:r>
              <w:t xml:space="preserve">50:1207. Demonstrated in</w:t>
            </w:r>
            <w:r>
              <w:t xml:space="preserve"> </w:t>
            </w:r>
            <w:r>
              <w:rPr>
                <w:bCs/>
                <w:b/>
              </w:rPr>
              <w:t xml:space="preserve">agricultural</w:t>
            </w:r>
            <w:r>
              <w:t xml:space="preserve"> </w:t>
            </w:r>
            <w:r>
              <w:t xml:space="preserve">soil profiles; extension to septic drainfields under rising water tables is a well-founded inference, not a directly cited septic study. Nitrate is a preferred electron acceptor over Fe, so nitrate-rich septic plumes may buffer the reaction.</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Leight &amp; Hood 2018,</w:t>
            </w:r>
            <w:r>
              <w:t xml:space="preserve"> </w:t>
            </w:r>
            <w:r>
              <w:rPr>
                <w:iCs/>
                <w:i/>
              </w:rPr>
              <w:t xml:space="preserve">Water Research</w:t>
            </w:r>
            <w:r>
              <w:t xml:space="preserve"> </w:t>
            </w:r>
            <w:r>
              <w:t xml:space="preserve">139:252–262</w:t>
            </w:r>
          </w:p>
        </w:tc>
      </w:tr>
    </w:tbl>
    <w:p>
      <w:pPr>
        <w:pStyle w:val="BodyText"/>
      </w:pPr>
      <w:r>
        <w:rPr>
          <w:bCs/>
          <w:b/>
        </w:rPr>
        <w:t xml:space="preserve">Added and verified in v5: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Nutrient enrichment increases above-ground leaf biomass,</w:t>
            </w:r>
            <w:r>
              <w:t xml:space="preserve"> </w:t>
            </w:r>
            <w:r>
              <w:rPr>
                <w:bCs/>
                <w:b/>
              </w:rPr>
              <w:t xml:space="preserve">decreases</w:t>
            </w:r>
            <w:r>
              <w:t xml:space="preserve"> </w:t>
            </w:r>
            <w:r>
              <w:t xml:space="preserve">below-ground bank-stabilising root biomass, and increases microbial decomposition — reducing geomorphic stability and causing creek-bank collapse</w:t>
            </w:r>
          </w:p>
        </w:tc>
        <w:tc>
          <w:tcPr/>
          <w:p>
            <w:pPr>
              <w:pStyle w:val="Compact"/>
              <w:jc w:val="left"/>
            </w:pPr>
            <w:r>
              <w:t xml:space="preserve">✅ Verified</w:t>
            </w:r>
          </w:p>
        </w:tc>
        <w:tc>
          <w:tcPr/>
          <w:p>
            <w:pPr>
              <w:pStyle w:val="Compact"/>
              <w:jc w:val="left"/>
            </w:pPr>
            <w:r>
              <w:t xml:space="preserve">Deegan et al. 2012,</w:t>
            </w:r>
            <w:r>
              <w:t xml:space="preserve"> </w:t>
            </w:r>
            <w:r>
              <w:rPr>
                <w:iCs/>
                <w:i/>
              </w:rPr>
              <w:t xml:space="preserve">Nature</w:t>
            </w:r>
            <w:r>
              <w:t xml:space="preserve"> </w:t>
            </w:r>
            <w:r>
              <w:t xml:space="preserve">490:388–392 (9-yr whole-ecosystem experiment).</w:t>
            </w:r>
            <w:r>
              <w:t xml:space="preserve"> </w:t>
            </w:r>
            <w:r>
              <w:rPr>
                <w:bCs/>
                <w:b/>
              </w:rPr>
              <w:t xml:space="preserve">Caveat retained:</w:t>
            </w:r>
            <w:r>
              <w:t xml:space="preserve"> </w:t>
            </w:r>
            <w:r>
              <w:t xml:space="preserve">loading was ~10× ambient; operation at current ESVA loading is PLAUSIBLE, not established.</w:t>
            </w:r>
          </w:p>
        </w:tc>
      </w:tr>
      <w:tr>
        <w:tc>
          <w:tcPr/>
          <w:p>
            <w:pPr>
              <w:pStyle w:val="Compact"/>
              <w:jc w:val="left"/>
            </w:pPr>
            <w:r>
              <w:t xml:space="preserve">Warming raises eelgrass light requirement (faster respiration → more light needed for positive carbon balance) while nutrients reduce light via epiphytes on the blades and water-column algae</w:t>
            </w:r>
          </w:p>
        </w:tc>
        <w:tc>
          <w:tcPr/>
          <w:p>
            <w:pPr>
              <w:pStyle w:val="Compact"/>
              <w:jc w:val="left"/>
            </w:pPr>
            <w:r>
              <w:t xml:space="preserve">✅ Verified</w:t>
            </w:r>
          </w:p>
        </w:tc>
        <w:tc>
          <w:tcPr/>
          <w:p>
            <w:pPr>
              <w:pStyle w:val="Compact"/>
              <w:jc w:val="left"/>
            </w:pPr>
            <w:r>
              <w:t xml:space="preserve">Lefcheck et al. 2017,</w:t>
            </w:r>
            <w:r>
              <w:t xml:space="preserve"> </w:t>
            </w:r>
            <w:r>
              <w:rPr>
                <w:iCs/>
                <w:i/>
              </w:rPr>
              <w:t xml:space="preserve">Glob. Change Biol.</w:t>
            </w:r>
            <w:r>
              <w:t xml:space="preserve"> </w:t>
            </w:r>
            <w:r>
              <w:t xml:space="preserve">23:3474–3483; corroborated by the seagrass–eutrophication literature (Burkholder et al. 2007). Mechanism is</w:t>
            </w:r>
            <w:r>
              <w:t xml:space="preserve"> </w:t>
            </w:r>
            <w:r>
              <w:rPr>
                <w:bCs/>
                <w:b/>
              </w:rPr>
              <w:t xml:space="preserve">light limitation</w:t>
            </w:r>
            <w:r>
              <w:t xml:space="preserve">, not direct nutrient toxicity.</w:t>
            </w:r>
          </w:p>
        </w:tc>
      </w:tr>
      <w:tr>
        <w:tc>
          <w:tcPr/>
          <w:p>
            <w:pPr>
              <w:pStyle w:val="Compact"/>
              <w:jc w:val="left"/>
            </w:pPr>
            <w:r>
              <w:t xml:space="preserve">~32% of owners meet recommended inspection intervals; ~60% of systems &gt;20 yrs old never inspected; pump-out $250–500</w:t>
            </w:r>
          </w:p>
        </w:tc>
        <w:tc>
          <w:tcPr/>
          <w:p>
            <w:pPr>
              <w:pStyle w:val="Compact"/>
              <w:jc w:val="left"/>
            </w:pPr>
            <w:r>
              <w:t xml:space="preserve">✅ Verified —</w:t>
            </w:r>
            <w:r>
              <w:t xml:space="preserve"> </w:t>
            </w:r>
            <w:r>
              <w:rPr>
                <w:bCs/>
                <w:b/>
              </w:rPr>
              <w:t xml:space="preserve">scope note</w:t>
            </w:r>
          </w:p>
        </w:tc>
        <w:tc>
          <w:tcPr/>
          <w:p>
            <w:pPr>
              <w:pStyle w:val="Compact"/>
              <w:jc w:val="left"/>
            </w:pPr>
            <w:r>
              <w:t xml:space="preserve">Center for Rural Pennsylvania homeowner survey; EPA guidance.</w:t>
            </w:r>
            <w:r>
              <w:t xml:space="preserve"> </w:t>
            </w:r>
            <w:r>
              <w:rPr>
                <w:bCs/>
                <w:b/>
              </w:rPr>
              <w:t xml:space="preserve">These are rural-analogue/national figures, not ESVA-specific.</w:t>
            </w:r>
            <w:r>
              <w:t xml:space="preserve"> </w:t>
            </w:r>
            <w:r>
              <w:t xml:space="preserve">Label them as such on the poster if challenged.</w:t>
            </w:r>
          </w:p>
        </w:tc>
      </w:tr>
      <w:tr>
        <w:tc>
          <w:tcPr/>
          <w:p>
            <w:pPr>
              <w:pStyle w:val="Compact"/>
              <w:jc w:val="left"/>
            </w:pPr>
            <w:r>
              <w:t xml:space="preserve">ESVA septic vulnerability concentrates in shoreline-proximal, low-elevation parcels above classified shellfish waters; Oyster, Willis Wharf, Quinby, Wachapreague, Saxis, Chincoteague, Cape Charles named as particularly exposed</w:t>
            </w:r>
          </w:p>
        </w:tc>
        <w:tc>
          <w:tcPr/>
          <w:p>
            <w:pPr>
              <w:pStyle w:val="Compact"/>
              <w:jc w:val="left"/>
            </w:pPr>
            <w:r>
              <w:t xml:space="preserve">✅ Verified —</w:t>
            </w:r>
            <w:r>
              <w:t xml:space="preserve"> </w:t>
            </w:r>
            <w:r>
              <w:rPr>
                <w:bCs/>
                <w:b/>
              </w:rPr>
              <w:t xml:space="preserve">phrasing tightened</w:t>
            </w:r>
          </w:p>
        </w:tc>
        <w:tc>
          <w:tcPr/>
          <w:p>
            <w:pPr>
              <w:pStyle w:val="Compact"/>
              <w:jc w:val="left"/>
            </w:pPr>
            <w:r>
              <w:t xml:space="preserve">Mitchell et al. 2021 (parcel-level vulnerability mapping); Va. Wastewater Infrastructure Policy Working Group, RD883 (2021) (town list).</w:t>
            </w:r>
            <w:r>
              <w:t xml:space="preserve"> </w:t>
            </w:r>
            <w:r>
              <w:rPr>
                <w:bCs/>
                <w:b/>
              </w:rPr>
              <w:t xml:space="preserve">An earlier draft said closure areas and septic clusters</w:t>
            </w:r>
            <w:r>
              <w:rPr>
                <w:bCs/>
                <w:b/>
              </w:rPr>
              <w:t xml:space="preserve"> </w:t>
            </w:r>
            <w:r>
              <w:rPr>
                <w:bCs/>
                <w:b/>
              </w:rPr>
              <w:t xml:space="preserve">“</w:t>
            </w:r>
            <w:r>
              <w:rPr>
                <w:bCs/>
                <w:b/>
              </w:rPr>
              <w:t xml:space="preserve">occupy the same ground.</w:t>
            </w:r>
            <w:r>
              <w:rPr>
                <w:bCs/>
                <w:b/>
              </w:rPr>
              <w:t xml:space="preserve">”</w:t>
            </w:r>
            <w:r>
              <w:t xml:space="preserve"> </w:t>
            </w:r>
            <w:r>
              <w:t xml:space="preserve">The sources support</w:t>
            </w:r>
            <w:r>
              <w:t xml:space="preserve"> </w:t>
            </w:r>
            <w:r>
              <w:rPr>
                <w:iCs/>
                <w:i/>
              </w:rPr>
              <w:t xml:space="preserve">vulnerability concentrating adjacent to classified shellfish waters</w:t>
            </w:r>
            <w:r>
              <w:t xml:space="preserve">; they do</w:t>
            </w:r>
            <w:r>
              <w:t xml:space="preserve"> </w:t>
            </w:r>
            <w:r>
              <w:rPr>
                <w:bCs/>
                <w:b/>
              </w:rPr>
              <w:t xml:space="preserve">not</w:t>
            </w:r>
            <w:r>
              <w:t xml:space="preserve"> </w:t>
            </w:r>
            <w:r>
              <w:t xml:space="preserve">publish a joint overlay of DSS closure areas against septic vulnerability. See the student-project note below.</w:t>
            </w:r>
          </w:p>
        </w:tc>
      </w:tr>
    </w:tbl>
    <w:p>
      <w:pPr>
        <w:pStyle w:val="BlockText"/>
      </w:pPr>
      <w:r>
        <w:rPr>
          <w:bCs/>
          <w:b/>
        </w:rPr>
        <w:t xml:space="preserve">★ Student project opportunity.</w:t>
      </w:r>
      <w:r>
        <w:t xml:space="preserve"> </w:t>
      </w:r>
      <w:r>
        <w:t xml:space="preserve">The stronger version of that last claim — an actual overlay of VDH Division of Shellfish Safety closure areas against Mitchell’s septic-vulnerability layer —</w:t>
      </w:r>
      <w:r>
        <w:t xml:space="preserve"> </w:t>
      </w:r>
      <w:r>
        <w:rPr>
          <w:bCs/>
          <w:b/>
        </w:rPr>
        <w:t xml:space="preserve">has not been published and both datasets are public.</w:t>
      </w:r>
      <w:r>
        <w:t xml:space="preserve"> </w:t>
      </w:r>
      <w:r>
        <w:t xml:space="preserve">Doing that overlay would (a) make the claim citable as</w:t>
      </w:r>
      <w:r>
        <w:t xml:space="preserve"> </w:t>
      </w:r>
      <w:r>
        <w:t xml:space="preserve">“</w:t>
      </w:r>
      <w:r>
        <w:t xml:space="preserve">this study,</w:t>
      </w:r>
      <w:r>
        <w:t xml:space="preserve">”</w:t>
      </w:r>
      <w:r>
        <w:t xml:space="preserve"> </w:t>
      </w:r>
      <w:r>
        <w:t xml:space="preserve">(b) produce a genuine figure for the poster, and (c) be a real, semester-scale contribution with the student as first author. This is the highest-value single addition available to this poster.</w:t>
      </w:r>
    </w:p>
    <w:p>
      <w:pPr>
        <w:pStyle w:val="FirstParagraph"/>
      </w:pPr>
      <w:r>
        <w:rPr>
          <w:bCs/>
          <w:b/>
        </w:rPr>
        <w:t xml:space="preserve">✅ RESOLVED in v4 — source located: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w:t>
            </w:r>
            <w:r>
              <w:t xml:space="preserve">~80% of the water supplying Accomack County’s 30 tidal creeks comes from groundwater discharge</w:t>
            </w:r>
            <w:r>
              <w:t xml:space="preserve">”</w:t>
            </w:r>
          </w:p>
        </w:tc>
        <w:tc>
          <w:tcPr/>
          <w:p>
            <w:pPr>
              <w:pStyle w:val="Compact"/>
              <w:jc w:val="left"/>
            </w:pPr>
            <w:r>
              <w:rPr>
                <w:bCs/>
                <w:b/>
              </w:rPr>
              <w:t xml:space="preserve">Verified.</w:t>
            </w:r>
            <w:r>
              <w:t xml:space="preserve"> </w:t>
            </w:r>
            <w:r>
              <w:rPr>
                <w:iCs/>
                <w:i/>
              </w:rPr>
              <w:t xml:space="preserve">Accomack County Regional Water Supply Plan</w:t>
            </w:r>
            <w:r>
              <w:t xml:space="preserve">, 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Available via A-NPDC (</w:t>
            </w:r>
            <w:r>
              <w:rPr>
                <w:rStyle w:val="VerbatimChar"/>
              </w:rPr>
              <w:t xml:space="preserve">a-npdc.org/groundwater/</w:t>
            </w:r>
            <w:r>
              <w:t xml:space="preserve">) and esvaplan.org.</w:t>
            </w:r>
            <w:r>
              <w:t xml:space="preserve"> </w:t>
            </w:r>
            <w:r>
              <w:rPr>
                <w:bCs/>
                <w:b/>
              </w:rPr>
              <w:t xml:space="preserve">Scope: Accomack County only</w:t>
            </w:r>
            <w:r>
              <w:t xml:space="preserve"> </w:t>
            </w:r>
            <w:r>
              <w:t xml:space="preserve">— do not extend to Northampton or present as Shore-wide.</w:t>
            </w:r>
            <w:r>
              <w:t xml:space="preserve"> </w:t>
            </w:r>
            <w:r>
              <w:rPr>
                <w:bCs/>
                <w:b/>
              </w:rPr>
              <w:t xml:space="preserve">Phrasing: a share of creek supply/flow, not of</w:t>
            </w:r>
            <w:r>
              <w:rPr>
                <w:bCs/>
                <w:b/>
              </w:rPr>
              <w:t xml:space="preserve"> </w:t>
            </w:r>
            <w:r>
              <w:rPr>
                <w:bCs/>
                <w:b/>
              </w:rPr>
              <w:t xml:space="preserve">“</w:t>
            </w:r>
            <w:r>
              <w:rPr>
                <w:bCs/>
                <w:b/>
              </w:rPr>
              <w:t xml:space="preserve">baseflow</w:t>
            </w:r>
            <w:r>
              <w:rPr>
                <w:bCs/>
                <w:b/>
              </w:rPr>
              <w:t xml:space="preserve">”</w:t>
            </w:r>
            <w:r>
              <w:t xml:space="preserve"> </w:t>
            </w:r>
            <w:r>
              <w:t xml:space="preserve">(baseflow is by definition the groundwater component, so the earlier wording was near-tautological).</w:t>
            </w:r>
          </w:p>
        </w:tc>
      </w:tr>
    </w:tbl>
    <w:p>
      <w:pPr>
        <w:pStyle w:val="BodyText"/>
      </w:pPr>
      <w:r>
        <w:rPr>
          <w:iCs/>
          <w:i/>
        </w:rPr>
        <w:t xml:space="preserve">History of this figure, kept as a caution:</w:t>
      </w:r>
      <w:r>
        <w:t xml:space="preserve"> </w:t>
      </w:r>
      <w:r>
        <w:t xml:space="preserve">it first entered the project via a web-search snippet from virginiaplaces.org (a secondary educational site) and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w:t>
      </w:r>
      <w:r>
        <w:t xml:space="preserve"> </w:t>
      </w:r>
      <w:r>
        <w:rPr>
          <w:bCs/>
          <w:b/>
        </w:rPr>
        <w:t xml:space="preserve">sources that were never checked and do not appear to be its origin.</w:t>
      </w:r>
      <w:r>
        <w:t xml:space="preserve"> </w:t>
      </w:r>
      <w:r>
        <w:t xml:space="preserve">The number was real all along; the failure was citing plausible-sounding sources instead of tracking down the actual one. Alex Foxworthy located the primary source. Treat this as the standard for every other quantitative claim in the repository.</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7"/>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7"/>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7"/>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23</w:t>
            </w:r>
          </w:p>
        </w:tc>
        <w:tc>
          <w:tcPr/>
          <w:p>
            <w:pPr>
              <w:pStyle w:val="Compact"/>
              <w:jc w:val="left"/>
            </w:pPr>
            <w:r>
              <w:rPr>
                <w:bCs/>
                <w:b/>
              </w:rPr>
              <w:t xml:space="preserve">Citation misattributed.</w:t>
            </w:r>
            <w:r>
              <w:t xml:space="preserve"> </w:t>
            </w:r>
            <w:r>
              <w:t xml:space="preserve">“</w:t>
            </w:r>
            <w:r>
              <w:t xml:space="preserve">7% → 37% fecal exceedance</w:t>
            </w:r>
            <w:r>
              <w:t xml:space="preserve">”</w:t>
            </w:r>
            <w:r>
              <w:t xml:space="preserve"> </w:t>
            </w:r>
            <w:r>
              <w:t xml:space="preserve">was credited to</w:t>
            </w:r>
            <w:r>
              <w:t xml:space="preserve"> </w:t>
            </w:r>
            <w:r>
              <w:rPr>
                <w:iCs/>
                <w:i/>
              </w:rPr>
              <w:t xml:space="preserve">Zimmer-Faust et al. 2018</w:t>
            </w:r>
          </w:p>
        </w:tc>
        <w:tc>
          <w:tcPr/>
          <w:p>
            <w:pPr>
              <w:pStyle w:val="Compact"/>
              <w:jc w:val="left"/>
            </w:pPr>
            <w:r>
              <w:rPr>
                <w:bCs/>
                <w:b/>
              </w:rPr>
              <w:t xml:space="preserve">Corrected (v8).</w:t>
            </w:r>
            <w:r>
              <w:t xml:space="preserve"> </w:t>
            </w:r>
            <w:r>
              <w:t xml:space="preserve">The paper is</w:t>
            </w:r>
            <w:r>
              <w:t xml:space="preserve"> </w:t>
            </w:r>
            <w:r>
              <w:rPr>
                <w:bCs/>
                <w:b/>
              </w:rPr>
              <w:t xml:space="preserve">Leight, A.K. &amp; R. Hood (2018)</w:t>
            </w:r>
            <w:r>
              <w:t xml:space="preserve">,</w:t>
            </w:r>
            <w:r>
              <w:t xml:space="preserve"> </w:t>
            </w:r>
            <w:r>
              <w:rPr>
                <w:iCs/>
                <w:i/>
              </w:rPr>
              <w:t xml:space="preserve">Water Research</w:t>
            </w:r>
            <w:r>
              <w:t xml:space="preserve"> </w:t>
            </w:r>
            <w:r>
              <w:t xml:space="preserve">139:252–262 — verified directly. Another constructed attribution from the sub-agent phase. Also reframed: it studied</w:t>
            </w:r>
            <w:r>
              <w:t xml:space="preserve"> </w:t>
            </w:r>
            <w:r>
              <w:rPr>
                <w:bCs/>
                <w:b/>
              </w:rPr>
              <w:t xml:space="preserve">Maryland</w:t>
            </w:r>
            <w:r>
              <w:t xml:space="preserve"> </w:t>
            </w:r>
            <w:r>
              <w:t xml:space="preserve">Chesapeake shellfish waters, did</w:t>
            </w:r>
            <w:r>
              <w:t xml:space="preserve"> </w:t>
            </w:r>
            <w:r>
              <w:rPr>
                <w:bCs/>
                <w:b/>
              </w:rPr>
              <w:t xml:space="preserve">not</w:t>
            </w:r>
            <w:r>
              <w:t xml:space="preserve"> </w:t>
            </w:r>
            <w:r>
              <w:t xml:space="preserve">apportion the fecal source, and has no ESVA equivalent. Fixed in the poster,</w:t>
            </w:r>
            <w:r>
              <w:t xml:space="preserve"> </w:t>
            </w:r>
            <w:r>
              <w:rPr>
                <w:rStyle w:val="VerbatimChar"/>
              </w:rPr>
              <w:t xml:space="preserve">pathway_4</w:t>
            </w:r>
            <w:r>
              <w:t xml:space="preserve">, the bibliography, the synthesis and the ESP article.</w:t>
            </w:r>
          </w:p>
        </w:tc>
      </w:tr>
      <w:tr>
        <w:tc>
          <w:tcPr/>
          <w:p>
            <w:pPr>
              <w:pStyle w:val="Compact"/>
              <w:jc w:val="left"/>
            </w:pPr>
            <w:r>
              <w:t xml:space="preserve">24</w:t>
            </w:r>
          </w:p>
        </w:tc>
        <w:tc>
          <w:tcPr/>
          <w:p>
            <w:pPr>
              <w:pStyle w:val="Compact"/>
              <w:jc w:val="left"/>
            </w:pPr>
            <w:r>
              <w:t xml:space="preserve">“</w:t>
            </w:r>
            <w:r>
              <w:t xml:space="preserve">Conventional drainfield needs ~3 ft of unsaturated soil</w:t>
            </w:r>
            <w:r>
              <w:t xml:space="preserve">”</w:t>
            </w:r>
          </w:p>
        </w:tc>
        <w:tc>
          <w:tcPr/>
          <w:p>
            <w:pPr>
              <w:pStyle w:val="Compact"/>
              <w:jc w:val="left"/>
            </w:pPr>
            <w:r>
              <w:rPr>
                <w:bCs/>
                <w:b/>
              </w:rPr>
              <w:t xml:space="preserve">Corrected.</w:t>
            </w:r>
            <w:r>
              <w:t xml:space="preserve"> </w:t>
            </w:r>
            <w:r>
              <w:t xml:space="preserve">Virginia requires the</w:t>
            </w:r>
            <w:r>
              <w:t xml:space="preserve"> </w:t>
            </w:r>
            <w:r>
              <w:rPr>
                <w:bCs/>
                <w:b/>
              </w:rPr>
              <w:t xml:space="preserve">18 inches immediately below the infiltrative surface</w:t>
            </w:r>
            <w:r>
              <w:t xml:space="preserve"> </w:t>
            </w:r>
            <w:r>
              <w:t xml:space="preserve">to be free of limiting factors</w:t>
            </w:r>
            <w:r>
              <w:t xml:space="preserve"> </w:t>
            </w:r>
            <w:r>
              <w:rPr>
                <w:iCs/>
                <w:i/>
              </w:rPr>
              <w:t xml:space="preserve">including</w:t>
            </w:r>
            <w:r>
              <w:t xml:space="preserve"> </w:t>
            </w:r>
            <w:r>
              <w:t xml:space="preserve">the seasonal or permanent water table (12VAC5-610-594) — verified against the regulation. The 3 ft figure is a vulnerability screen measured from</w:t>
            </w:r>
            <w:r>
              <w:t xml:space="preserve"> </w:t>
            </w:r>
            <w:r>
              <w:rPr>
                <w:bCs/>
                <w:b/>
              </w:rPr>
              <w:t xml:space="preserve">land surface</w:t>
            </w:r>
            <w:r>
              <w:t xml:space="preserve">, now labelled as such.</w:t>
            </w:r>
          </w:p>
        </w:tc>
      </w:tr>
      <w:tr>
        <w:tc>
          <w:tcPr/>
          <w:p>
            <w:pPr>
              <w:pStyle w:val="Compact"/>
              <w:jc w:val="left"/>
            </w:pPr>
            <w:r>
              <w:t xml:space="preserve">25</w:t>
            </w:r>
          </w:p>
        </w:tc>
        <w:tc>
          <w:tcPr/>
          <w:p>
            <w:pPr>
              <w:pStyle w:val="Compact"/>
              <w:jc w:val="left"/>
            </w:pPr>
            <w:r>
              <w:t xml:space="preserve">“</w:t>
            </w:r>
            <w:r>
              <w:t xml:space="preserve">Among the fastest rates on the U.S. East Coast</w:t>
            </w:r>
            <w:r>
              <w:t xml:space="preserve">”</w:t>
            </w:r>
            <w:r>
              <w:t xml:space="preserve"> </w:t>
            </w:r>
            <w:r>
              <w:t xml:space="preserve">was vague</w:t>
            </w:r>
          </w:p>
        </w:tc>
        <w:tc>
          <w:tcPr/>
          <w:p>
            <w:pPr>
              <w:pStyle w:val="Compact"/>
              <w:jc w:val="left"/>
            </w:pPr>
            <w:r>
              <w:rPr>
                <w:bCs/>
                <w:b/>
              </w:rPr>
              <w:t xml:space="preserve">Replaced with a local gauge:</w:t>
            </w:r>
            <w:r>
              <w:t xml:space="preserve"> </w:t>
            </w:r>
            <w:r>
              <w:t xml:space="preserve">NOAA station 8631044 (Wachapreague) records relative sea-level rise of</w:t>
            </w:r>
            <w:r>
              <w:t xml:space="preserve"> </w:t>
            </w:r>
            <w:r>
              <w:rPr>
                <w:bCs/>
                <w:b/>
              </w:rPr>
              <w:t xml:space="preserve">≈5.5 mm/yr</w:t>
            </w:r>
            <w:r>
              <w:t xml:space="preserve">.</w:t>
            </w:r>
          </w:p>
        </w:tc>
      </w:tr>
      <w:tr>
        <w:tc>
          <w:tcPr/>
          <w:p>
            <w:pPr>
              <w:pStyle w:val="Compact"/>
              <w:jc w:val="left"/>
            </w:pPr>
            <w:r>
              <w:t xml:space="preserve">26</w:t>
            </w:r>
          </w:p>
        </w:tc>
        <w:tc>
          <w:tcPr/>
          <w:p>
            <w:pPr>
              <w:pStyle w:val="Compact"/>
              <w:jc w:val="left"/>
            </w:pPr>
            <w:r>
              <w:t xml:space="preserve">Seagrass extent</w:t>
            </w:r>
          </w:p>
        </w:tc>
        <w:tc>
          <w:tcPr/>
          <w:p>
            <w:pPr>
              <w:pStyle w:val="Compact"/>
              <w:jc w:val="left"/>
            </w:pPr>
            <w:r>
              <w:rPr>
                <w:bCs/>
                <w:b/>
              </w:rPr>
              <w:t xml:space="preserve">Both figures now given.</w:t>
            </w:r>
            <w:r>
              <w:t xml:space="preserve"> </w:t>
            </w:r>
            <w:r>
              <w:t xml:space="preserve">Orth et al. 2020 published</w:t>
            </w:r>
            <w:r>
              <w:t xml:space="preserve"> </w:t>
            </w:r>
            <w:r>
              <w:rPr>
                <w:bCs/>
                <w:b/>
              </w:rPr>
              <w:t xml:space="preserve">3,612 ha (~8,900 acres)</w:t>
            </w:r>
            <w:r>
              <w:t xml:space="preserve"> </w:t>
            </w:r>
            <w:r>
              <w:t xml:space="preserve">at the 2018 census from 70+ million seeds; VIMS and TNC currently describe</w:t>
            </w:r>
            <w:r>
              <w:t xml:space="preserve"> </w:t>
            </w:r>
            <w:r>
              <w:rPr>
                <w:bCs/>
                <w:b/>
              </w:rPr>
              <w:t xml:space="preserve">nearly 10,000 acres</w:t>
            </w:r>
            <w:r>
              <w:t xml:space="preserve">. My earlier</w:t>
            </w:r>
            <w:r>
              <w:t xml:space="preserve"> </w:t>
            </w:r>
            <w:r>
              <w:t xml:space="preserve">“</w:t>
            </w:r>
            <w:r>
              <w:t xml:space="preserve">correction</w:t>
            </w:r>
            <w:r>
              <w:t xml:space="preserve">”</w:t>
            </w:r>
            <w:r>
              <w:t xml:space="preserve"> </w:t>
            </w:r>
            <w:r>
              <w:t xml:space="preserve">removed an unsourced number but understated current extent — both are true for different dates.</w:t>
            </w:r>
          </w:p>
        </w:tc>
      </w:tr>
      <w:tr>
        <w:tc>
          <w:tcPr/>
          <w:p>
            <w:pPr>
              <w:pStyle w:val="Compact"/>
              <w:jc w:val="left"/>
            </w:pPr>
            <w:r>
              <w:t xml:space="preserve">27</w:t>
            </w:r>
          </w:p>
        </w:tc>
        <w:tc>
          <w:tcPr/>
          <w:p>
            <w:pPr>
              <w:pStyle w:val="Compact"/>
              <w:jc w:val="left"/>
            </w:pPr>
            <w:r>
              <w:t xml:space="preserve">“</w:t>
            </w:r>
            <w:r>
              <w:t xml:space="preserve">2015 heatwave caused ~50% areal eelgrass loss in South and Hog Island Bays</w:t>
            </w:r>
            <w:r>
              <w:t xml:space="preserve">”</w:t>
            </w:r>
          </w:p>
        </w:tc>
        <w:tc>
          <w:tcPr/>
          <w:p>
            <w:pPr>
              <w:pStyle w:val="Compact"/>
              <w:jc w:val="left"/>
            </w:pPr>
            <w:r>
              <w:rPr>
                <w:bCs/>
                <w:b/>
              </w:rPr>
              <w:t xml:space="preserve">Could not be verified in that form.</w:t>
            </w:r>
            <w:r>
              <w:t xml:space="preserve"> </w:t>
            </w:r>
            <w:r>
              <w:t xml:space="preserve">Replaced with what sources support: severe,</w:t>
            </w:r>
            <w:r>
              <w:t xml:space="preserve"> </w:t>
            </w:r>
            <w:r>
              <w:rPr>
                <w:bCs/>
                <w:b/>
              </w:rPr>
              <w:t xml:space="preserve">spatially uneven</w:t>
            </w:r>
            <w:r>
              <w:t xml:space="preserve"> </w:t>
            </w:r>
            <w:r>
              <w:t xml:space="preserve">dieback in South Bay, some inner-meadow sites losing</w:t>
            </w:r>
            <w:r>
              <w:t xml:space="preserve"> </w:t>
            </w:r>
            <w:r>
              <w:rPr>
                <w:bCs/>
                <w:b/>
              </w:rPr>
              <w:t xml:space="preserve">~90% of shoot density</w:t>
            </w:r>
            <w:r>
              <w:t xml:space="preserve">, followed by partial recovery.</w:t>
            </w:r>
          </w:p>
        </w:tc>
      </w:tr>
      <w:tr>
        <w:tc>
          <w:tcPr/>
          <w:p>
            <w:pPr>
              <w:pStyle w:val="Compact"/>
              <w:jc w:val="left"/>
            </w:pPr>
            <w:r>
              <w:t xml:space="preserve">28</w:t>
            </w:r>
          </w:p>
        </w:tc>
        <w:tc>
          <w:tcPr/>
          <w:p>
            <w:pPr>
              <w:pStyle w:val="Compact"/>
              <w:jc w:val="left"/>
            </w:pPr>
            <w:r>
              <w:t xml:space="preserve">Named communities implied to sit above closure areas, cited to Mitchell et al.</w:t>
            </w:r>
          </w:p>
        </w:tc>
        <w:tc>
          <w:tcPr/>
          <w:p>
            <w:pPr>
              <w:pStyle w:val="Compact"/>
              <w:jc w:val="left"/>
            </w:pPr>
            <w:r>
              <w:rPr>
                <w:bCs/>
                <w:b/>
              </w:rPr>
              <w:t xml:space="preserve">Narrowed.</w:t>
            </w:r>
            <w:r>
              <w:t xml:space="preserve"> </w:t>
            </w:r>
            <w:r>
              <w:t xml:space="preserve">Mitchell et al. report only one clear hotspot/water-quality overlap Tidewater-wide and caution against causal reading. Town list now attributed to</w:t>
            </w:r>
            <w:r>
              <w:t xml:space="preserve"> </w:t>
            </w:r>
            <w:r>
              <w:rPr>
                <w:bCs/>
                <w:b/>
              </w:rPr>
              <w:t xml:space="preserve">RD883 (2021)</w:t>
            </w:r>
            <w:r>
              <w:t xml:space="preserve"> </w:t>
            </w:r>
            <w:r>
              <w:t xml:space="preserve">only, framed as monitoring priorities, with an explicit statement that no published analysis shows septic hotspots explain ESVA closures.</w:t>
            </w:r>
          </w:p>
        </w:tc>
      </w:tr>
      <w:tr>
        <w:tc>
          <w:tcPr/>
          <w:p>
            <w:pPr>
              <w:pStyle w:val="Compact"/>
              <w:jc w:val="left"/>
            </w:pPr>
            <w:r>
              <w:t xml:space="preserve">29</w:t>
            </w:r>
          </w:p>
        </w:tc>
        <w:tc>
          <w:tcPr/>
          <w:p>
            <w:pPr>
              <w:pStyle w:val="Compact"/>
              <w:jc w:val="left"/>
            </w:pPr>
            <w:r>
              <w:t xml:space="preserve">80% figure phrased as</w:t>
            </w:r>
            <w:r>
              <w:t xml:space="preserve"> </w:t>
            </w:r>
            <w:r>
              <w:t xml:space="preserve">“</w:t>
            </w:r>
            <w:r>
              <w:t xml:space="preserve">the water supplying the creeks</w:t>
            </w:r>
            <w:r>
              <w:t xml:space="preserve">”</w:t>
            </w:r>
          </w:p>
        </w:tc>
        <w:tc>
          <w:tcPr/>
          <w:p>
            <w:pPr>
              <w:pStyle w:val="Compact"/>
              <w:jc w:val="left"/>
            </w:pPr>
            <w:r>
              <w:rPr>
                <w:bCs/>
                <w:b/>
              </w:rPr>
              <w:t xml:space="preserve">Corrected to</w:t>
            </w:r>
            <w:r>
              <w:rPr>
                <w:bCs/>
                <w:b/>
              </w:rPr>
              <w:t xml:space="preserve"> </w:t>
            </w:r>
            <w:r>
              <w:rPr>
                <w:bCs/>
                <w:b/>
              </w:rPr>
              <w:t xml:space="preserve">“</w:t>
            </w:r>
            <w:r>
              <w:rPr>
                <w:bCs/>
                <w:b/>
              </w:rPr>
              <w:t xml:space="preserve">freshwater inflow.</w:t>
            </w:r>
            <w:r>
              <w:rPr>
                <w:bCs/>
                <w:b/>
              </w:rPr>
              <w:t xml:space="preserve">”</w:t>
            </w:r>
            <w:r>
              <w:t xml:space="preserve"> </w:t>
            </w:r>
            <w:r>
              <w:t xml:space="preserve">Tidal exchange supplies far greater total volume, so the original phrasing was misleading.</w:t>
            </w:r>
          </w:p>
        </w:tc>
      </w:tr>
      <w:tr>
        <w:tc>
          <w:tcPr/>
          <w:p>
            <w:pPr>
              <w:pStyle w:val="Compact"/>
              <w:jc w:val="left"/>
            </w:pPr>
            <w:r>
              <w:t xml:space="preserve">30</w:t>
            </w:r>
          </w:p>
        </w:tc>
        <w:tc>
          <w:tcPr/>
          <w:p>
            <w:pPr>
              <w:pStyle w:val="Compact"/>
              <w:jc w:val="left"/>
            </w:pPr>
            <w:r>
              <w:t xml:space="preserve">Aquaculture figures undated; scallop endpoint thin</w:t>
            </w:r>
          </w:p>
        </w:tc>
        <w:tc>
          <w:tcPr/>
          <w:p>
            <w:pPr>
              <w:pStyle w:val="Compact"/>
              <w:jc w:val="left"/>
            </w:pPr>
            <w:r>
              <w:rPr>
                <w:bCs/>
                <w:b/>
              </w:rPr>
              <w:t xml:space="preserve">$81M/700 jobs now explicitly labelled 2024 data</w:t>
            </w:r>
            <w:r>
              <w:t xml:space="preserve"> </w:t>
            </w:r>
            <w:r>
              <w:t xml:space="preserve">with a note that a newer survey year is reported. Added the current scallop density:</w:t>
            </w:r>
            <w:r>
              <w:t xml:space="preserve"> </w:t>
            </w:r>
            <w:r>
              <w:rPr>
                <w:bCs/>
                <w:b/>
              </w:rPr>
              <w:t xml:space="preserve">0.114 m⁻² (VIMS 2025), doubling in under 1.5 years.</w:t>
            </w:r>
          </w:p>
        </w:tc>
      </w:tr>
      <w:tr>
        <w:tc>
          <w:tcPr/>
          <w:p>
            <w:pPr>
              <w:pStyle w:val="Compact"/>
              <w:jc w:val="left"/>
            </w:pPr>
            <w:r>
              <w:t xml:space="preserve">17</w:t>
            </w:r>
          </w:p>
        </w:tc>
        <w:tc>
          <w:tcPr/>
          <w:p>
            <w:pPr>
              <w:pStyle w:val="Compact"/>
              <w:jc w:val="left"/>
            </w:pPr>
            <w:r>
              <w:t xml:space="preserve">External scientific review: evidence labels said</w:t>
            </w:r>
            <w:r>
              <w:t xml:space="preserve"> </w:t>
            </w:r>
            <w:r>
              <w:t xml:space="preserve">“</w:t>
            </w:r>
            <w:r>
              <w:t xml:space="preserve">STRONG</w:t>
            </w:r>
            <w:r>
              <w:t xml:space="preserve">”</w:t>
            </w:r>
            <w:r>
              <w:t xml:space="preserve"> </w:t>
            </w:r>
            <w:r>
              <w:t xml:space="preserve">for ESVA pathways while the same poster said no local apportionment exists</w:t>
            </w:r>
          </w:p>
        </w:tc>
        <w:tc>
          <w:tcPr/>
          <w:p>
            <w:pPr>
              <w:pStyle w:val="Compact"/>
              <w:jc w:val="left"/>
            </w:pPr>
            <w:r>
              <w:rPr>
                <w:bCs/>
                <w:b/>
              </w:rPr>
              <w:t xml:space="preserve">Fixed (v6) — this was the most important correction.</w:t>
            </w:r>
            <w:r>
              <w:t xml:space="preserve"> </w:t>
            </w:r>
            <w:r>
              <w:t xml:space="preserve">The pathway table now rates two axes separately:</w:t>
            </w:r>
            <w:r>
              <w:t xml:space="preserve"> </w:t>
            </w:r>
            <w:r>
              <w:rPr>
                <w:bCs/>
                <w:b/>
              </w:rPr>
              <w:t xml:space="preserve">mechanism</w:t>
            </w:r>
            <w:r>
              <w:t xml:space="preserve"> </w:t>
            </w:r>
            <w:r>
              <w:t xml:space="preserve">(general literature) and</w:t>
            </w:r>
            <w:r>
              <w:t xml:space="preserve"> </w:t>
            </w:r>
            <w:r>
              <w:rPr>
                <w:bCs/>
                <w:b/>
              </w:rPr>
              <w:t xml:space="preserve">ESVA septic attribution</w:t>
            </w:r>
            <w:r>
              <w:t xml:space="preserve">. Reads as</w:t>
            </w:r>
            <w:r>
              <w:t xml:space="preserve"> </w:t>
            </w:r>
            <w:r>
              <w:t xml:space="preserve">“</w:t>
            </w:r>
            <w:r>
              <w:t xml:space="preserve">established science, unmeasured locally.</w:t>
            </w:r>
            <w:r>
              <w:t xml:space="preserve">”</w:t>
            </w:r>
          </w:p>
        </w:tc>
      </w:tr>
      <w:tr>
        <w:tc>
          <w:tcPr/>
          <w:p>
            <w:pPr>
              <w:pStyle w:val="Compact"/>
              <w:jc w:val="left"/>
            </w:pPr>
            <w:r>
              <w:t xml:space="preserve">18</w:t>
            </w:r>
          </w:p>
        </w:tc>
        <w:tc>
          <w:tcPr/>
          <w:p>
            <w:pPr>
              <w:pStyle w:val="Compact"/>
              <w:jc w:val="left"/>
            </w:pPr>
            <w:r>
              <w:t xml:space="preserve">Conflated unsaturated soil beneath the trench with depth to groundwater from land surface</w:t>
            </w:r>
          </w:p>
        </w:tc>
        <w:tc>
          <w:tcPr/>
          <w:p>
            <w:pPr>
              <w:pStyle w:val="Compact"/>
              <w:jc w:val="left"/>
            </w:pPr>
            <w:r>
              <w:rPr>
                <w:bCs/>
                <w:b/>
              </w:rPr>
              <w:t xml:space="preserve">Fixed.</w:t>
            </w:r>
            <w:r>
              <w:t xml:space="preserve"> </w:t>
            </w:r>
            <w:r>
              <w:t xml:space="preserve">Virginia sets separation by system type and effluent quality (12VAC5-610 Tables 4.3/4.4); there is no flat 3 ft. The 7,800 figure is now labelled as parcels with</w:t>
            </w:r>
            <w:r>
              <w:t xml:space="preserve"> </w:t>
            </w:r>
            <w:r>
              <w:rPr>
                <w:iCs/>
                <w:i/>
              </w:rPr>
              <w:t xml:space="preserve">modelled</w:t>
            </w:r>
            <w:r>
              <w:t xml:space="preserve"> </w:t>
            </w:r>
            <w:r>
              <w:t xml:space="preserve">groundwater &lt;3 ft</w:t>
            </w:r>
            <w:r>
              <w:t xml:space="preserve"> </w:t>
            </w:r>
            <w:r>
              <w:rPr>
                <w:bCs/>
                <w:b/>
              </w:rPr>
              <w:t xml:space="preserve">below land surface</w:t>
            </w:r>
            <w:r>
              <w:t xml:space="preserve">.</w:t>
            </w:r>
          </w:p>
        </w:tc>
      </w:tr>
      <w:tr>
        <w:tc>
          <w:tcPr/>
          <w:p>
            <w:pPr>
              <w:pStyle w:val="Compact"/>
              <w:jc w:val="left"/>
            </w:pPr>
            <w:r>
              <w:t xml:space="preserve">19</w:t>
            </w:r>
          </w:p>
        </w:tc>
        <w:tc>
          <w:tcPr/>
          <w:p>
            <w:pPr>
              <w:pStyle w:val="Compact"/>
              <w:jc w:val="left"/>
            </w:pPr>
            <w:r>
              <w:t xml:space="preserve">“</w:t>
            </w:r>
            <w:r>
              <w:t xml:space="preserve">What enters the groundwater arrives at the creek</w:t>
            </w:r>
            <w:r>
              <w:t xml:space="preserve">”</w:t>
            </w:r>
            <w:r>
              <w:t xml:space="preserve">;</w:t>
            </w:r>
            <w:r>
              <w:t xml:space="preserve"> </w:t>
            </w:r>
            <w:r>
              <w:t xml:space="preserve">“</w:t>
            </w:r>
            <w:r>
              <w:t xml:space="preserve">not currently degraded by septic</w:t>
            </w:r>
            <w:r>
              <w:t xml:space="preserve">”</w:t>
            </w:r>
            <w:r>
              <w:t xml:space="preserve">; shellfish closures implied attributed to septic; PFAS</w:t>
            </w:r>
            <w:r>
              <w:t xml:space="preserve"> </w:t>
            </w:r>
            <w:r>
              <w:t xml:space="preserve">“</w:t>
            </w:r>
            <w:r>
              <w:t xml:space="preserve">pass through essentially unaltered</w:t>
            </w:r>
            <w:r>
              <w:t xml:space="preserve">”</w:t>
            </w:r>
            <w:r>
              <w:t xml:space="preserve">;</w:t>
            </w:r>
            <w:r>
              <w:t xml:space="preserve"> </w:t>
            </w:r>
            <w:r>
              <w:t xml:space="preserve">“</w:t>
            </w:r>
            <w:r>
              <w:t xml:space="preserve">progressive and unavoidable</w:t>
            </w:r>
            <w:r>
              <w:t xml:space="preserve">”</w:t>
            </w:r>
            <w:r>
              <w:t xml:space="preserve">;</w:t>
            </w:r>
            <w:r>
              <w:t xml:space="preserve"> </w:t>
            </w:r>
            <w:r>
              <w:t xml:space="preserve">“</w:t>
            </w:r>
            <w:r>
              <w:t xml:space="preserve">Nationally ~32%</w:t>
            </w:r>
            <w:r>
              <w:t xml:space="preserve">”</w:t>
            </w:r>
          </w:p>
        </w:tc>
        <w:tc>
          <w:tcPr/>
          <w:p>
            <w:pPr>
              <w:pStyle w:val="Compact"/>
              <w:jc w:val="left"/>
            </w:pPr>
            <w:r>
              <w:rPr>
                <w:bCs/>
                <w:b/>
              </w:rPr>
              <w:t xml:space="preserve">All softened to match the evidence.</w:t>
            </w:r>
            <w:r>
              <w:t xml:space="preserve"> </w:t>
            </w:r>
            <w:r>
              <w:t xml:space="preserve">Notably</w:t>
            </w:r>
            <w:r>
              <w:t xml:space="preserve"> </w:t>
            </w:r>
            <w:r>
              <w:t xml:space="preserve">“</w:t>
            </w:r>
            <w:r>
              <w:t xml:space="preserve">not currently degraded</w:t>
            </w:r>
            <w:r>
              <w:t xml:space="preserve">”</w:t>
            </w:r>
            <w:r>
              <w:t xml:space="preserve"> </w:t>
            </w:r>
            <w:r>
              <w:t xml:space="preserve">was absence-of-evidence stated as evidence-of-absence.</w:t>
            </w:r>
          </w:p>
        </w:tc>
      </w:tr>
      <w:tr>
        <w:tc>
          <w:tcPr/>
          <w:p>
            <w:pPr>
              <w:pStyle w:val="Compact"/>
              <w:jc w:val="left"/>
            </w:pPr>
            <w:r>
              <w:t xml:space="preserve">20</w:t>
            </w:r>
          </w:p>
        </w:tc>
        <w:tc>
          <w:tcPr/>
          <w:p>
            <w:pPr>
              <w:pStyle w:val="Compact"/>
              <w:jc w:val="left"/>
            </w:pPr>
            <w:r>
              <w:t xml:space="preserve">Lagoon flushing claim too categorical</w:t>
            </w:r>
          </w:p>
        </w:tc>
        <w:tc>
          <w:tcPr/>
          <w:p>
            <w:pPr>
              <w:pStyle w:val="Compact"/>
              <w:jc w:val="left"/>
            </w:pPr>
            <w:r>
              <w:rPr>
                <w:bCs/>
                <w:b/>
              </w:rPr>
              <w:t xml:space="preserve">Fixed, and strengthened.</w:t>
            </w:r>
            <w:r>
              <w:t xml:space="preserve"> </w:t>
            </w:r>
            <w:r>
              <w:t xml:space="preserve">Residence is days–weeks in open interiors (Safak et al. 2015). Replaced with the better point the reviewer missed:</w:t>
            </w:r>
            <w:r>
              <w:t xml:space="preserve"> </w:t>
            </w:r>
            <w:r>
              <w:rPr>
                <w:bCs/>
                <w:b/>
              </w:rPr>
              <w:t xml:space="preserve">nitrogen is retained longer than water</w:t>
            </w:r>
            <w:r>
              <w:t xml:space="preserve">, via drift-algal DON uptake and release (Tyler, McGlathery &amp; Anderson 2001, 2003).</w:t>
            </w:r>
          </w:p>
        </w:tc>
      </w:tr>
      <w:tr>
        <w:tc>
          <w:tcPr/>
          <w:p>
            <w:pPr>
              <w:pStyle w:val="Compact"/>
              <w:jc w:val="left"/>
            </w:pPr>
            <w:r>
              <w:t xml:space="preserve">21</w:t>
            </w:r>
          </w:p>
        </w:tc>
        <w:tc>
          <w:tcPr/>
          <w:p>
            <w:pPr>
              <w:pStyle w:val="Compact"/>
              <w:jc w:val="left"/>
            </w:pPr>
            <w:r>
              <w:t xml:space="preserve">“</w:t>
            </w:r>
            <w:r>
              <w:t xml:space="preserve">The single measurement that would convert this argument from precautionary to quantitative</w:t>
            </w:r>
            <w:r>
              <w:t xml:space="preserve">”</w:t>
            </w:r>
          </w:p>
        </w:tc>
        <w:tc>
          <w:tcPr/>
          <w:p>
            <w:pPr>
              <w:pStyle w:val="Compact"/>
              <w:jc w:val="left"/>
            </w:pPr>
            <w:r>
              <w:rPr>
                <w:bCs/>
                <w:b/>
              </w:rPr>
              <w:t xml:space="preserve">Fixed.</w:t>
            </w:r>
            <w:r>
              <w:t xml:space="preserve"> </w:t>
            </w:r>
            <w:r>
              <w:t xml:space="preserve">Septic and manure nitrate isotopes overlap and caffeine degrades. Reframed as one</w:t>
            </w:r>
            <w:r>
              <w:t xml:space="preserve"> </w:t>
            </w:r>
            <w:r>
              <w:rPr>
                <w:bCs/>
                <w:b/>
              </w:rPr>
              <w:t xml:space="preserve">integrated attribution programme</w:t>
            </w:r>
            <w:r>
              <w:t xml:space="preserve">: isotopes + conservative human-wastewater tracers + groundwater age/flow paths + HF183/crAssphage + seasonal/post-rain sampling + Bayesian apportionment.</w:t>
            </w:r>
          </w:p>
        </w:tc>
      </w:tr>
      <w:tr>
        <w:tc>
          <w:tcPr/>
          <w:p>
            <w:pPr>
              <w:pStyle w:val="Compact"/>
              <w:jc w:val="left"/>
            </w:pPr>
            <w:r>
              <w:t xml:space="preserve">22</w:t>
            </w:r>
          </w:p>
        </w:tc>
        <w:tc>
          <w:tcPr/>
          <w:p>
            <w:pPr>
              <w:pStyle w:val="Compact"/>
              <w:jc w:val="left"/>
            </w:pPr>
            <w:r>
              <w:t xml:space="preserve">Poster too dense for 36×24</w:t>
            </w:r>
          </w:p>
        </w:tc>
        <w:tc>
          <w:tcPr/>
          <w:p>
            <w:pPr>
              <w:pStyle w:val="Compact"/>
              <w:jc w:val="left"/>
            </w:pPr>
            <w:r>
              <w:rPr>
                <w:bCs/>
                <w:b/>
              </w:rPr>
              <w:t xml:space="preserve">Trimmed (v7).</w:t>
            </w:r>
            <w:r>
              <w:t xml:space="preserve"> </w:t>
            </w:r>
            <w:r>
              <w:t xml:space="preserve">Body 13.5→15 pt, tables and captions up, column 2 widened for the cross-section. Dropped the drainfield-footprint pathway row and its data gap (weakest link), three partnership tags, two references, and ~15% of prose.</w:t>
            </w:r>
          </w:p>
        </w:tc>
      </w:tr>
      <w:tr>
        <w:tc>
          <w:tcPr/>
          <w:p>
            <w:pPr>
              <w:pStyle w:val="Compact"/>
              <w:jc w:val="left"/>
            </w:pPr>
            <w:r>
              <w:t xml:space="preserve">12</w:t>
            </w:r>
          </w:p>
        </w:tc>
        <w:tc>
          <w:tcPr/>
          <w:p>
            <w:pPr>
              <w:pStyle w:val="Compact"/>
              <w:jc w:val="left"/>
            </w:pPr>
            <w:r>
              <w:t xml:space="preserve">Failure framed as driven solely by the rising water table</w:t>
            </w:r>
          </w:p>
        </w:tc>
        <w:tc>
          <w:tcPr/>
          <w:p>
            <w:pPr>
              <w:pStyle w:val="Compact"/>
              <w:jc w:val="left"/>
            </w:pPr>
            <w:r>
              <w:rPr>
                <w:bCs/>
                <w:b/>
              </w:rPr>
              <w:t xml:space="preserve">Broadened (v5).</w:t>
            </w:r>
            <w:r>
              <w:t xml:space="preserve"> </w:t>
            </w:r>
            <w:r>
              <w:t xml:space="preserve">Added</w:t>
            </w:r>
            <w:r>
              <w:t xml:space="preserve"> </w:t>
            </w:r>
            <w:r>
              <w:t xml:space="preserve">“</w:t>
            </w:r>
            <w:r>
              <w:t xml:space="preserve">Three things compound it</w:t>
            </w:r>
            <w:r>
              <w:t xml:space="preserve">”</w:t>
            </w:r>
            <w:r>
              <w:t xml:space="preserve">: age, absence of any reliable septic inventory, and information/cost barriers (~32% meet inspection intervals; ~60% of 20-yr-old systems never inspected). Framed as</w:t>
            </w:r>
            <w:r>
              <w:t xml:space="preserve"> </w:t>
            </w:r>
            <w:r>
              <w:rPr>
                <w:iCs/>
                <w:i/>
              </w:rPr>
              <w:t xml:space="preserve">systemic</w:t>
            </w:r>
            <w:r>
              <w:t xml:space="preserve">, not individual, failings so the</w:t>
            </w:r>
            <w:r>
              <w:t xml:space="preserve"> </w:t>
            </w:r>
            <w:r>
              <w:t xml:space="preserve">“</w:t>
            </w:r>
            <w:r>
              <w:t xml:space="preserve">not your fault</w:t>
            </w:r>
            <w:r>
              <w:t xml:space="preserve">”</w:t>
            </w:r>
            <w:r>
              <w:t xml:space="preserve"> </w:t>
            </w:r>
            <w:r>
              <w:t xml:space="preserve">message survives.</w:t>
            </w:r>
          </w:p>
        </w:tc>
      </w:tr>
      <w:tr>
        <w:tc>
          <w:tcPr/>
          <w:p>
            <w:pPr>
              <w:pStyle w:val="Compact"/>
              <w:jc w:val="left"/>
            </w:pPr>
            <w:r>
              <w:t xml:space="preserve">13</w:t>
            </w:r>
          </w:p>
        </w:tc>
        <w:tc>
          <w:tcPr/>
          <w:p>
            <w:pPr>
              <w:pStyle w:val="Compact"/>
              <w:jc w:val="left"/>
            </w:pPr>
            <w:r>
              <w:t xml:space="preserve">Pathway 1 gave mechanism but never said why it matters</w:t>
            </w:r>
          </w:p>
        </w:tc>
        <w:tc>
          <w:tcPr/>
          <w:p>
            <w:pPr>
              <w:pStyle w:val="Compact"/>
              <w:jc w:val="left"/>
            </w:pPr>
            <w:r>
              <w:rPr>
                <w:bCs/>
                <w:b/>
              </w:rPr>
              <w:t xml:space="preserve">Fixed.</w:t>
            </w:r>
            <w:r>
              <w:t xml:space="preserve"> </w:t>
            </w:r>
            <w:r>
              <w:t xml:space="preserve">Now:</w:t>
            </w:r>
            <w:r>
              <w:t xml:space="preserve"> </w:t>
            </w:r>
            <w:r>
              <w:t xml:space="preserve">“</w:t>
            </w:r>
            <w:r>
              <w:t xml:space="preserve">The aquifer is the delivery system — what enters here arrives in the creeks, where nitrogen is the nutrient that drives coastal algal growth.</w:t>
            </w:r>
            <w:r>
              <w:t xml:space="preserve">”</w:t>
            </w:r>
          </w:p>
        </w:tc>
      </w:tr>
      <w:tr>
        <w:tc>
          <w:tcPr/>
          <w:p>
            <w:pPr>
              <w:pStyle w:val="Compact"/>
              <w:jc w:val="left"/>
            </w:pPr>
            <w:r>
              <w:t xml:space="preserve">14</w:t>
            </w:r>
          </w:p>
        </w:tc>
        <w:tc>
          <w:tcPr/>
          <w:p>
            <w:pPr>
              <w:pStyle w:val="Compact"/>
              <w:jc w:val="left"/>
            </w:pPr>
            <w:r>
              <w:t xml:space="preserve">“</w:t>
            </w:r>
            <w:r>
              <w:t xml:space="preserve">Marsh peat breakdown and creek-bank collapse</w:t>
            </w:r>
            <w:r>
              <w:t xml:space="preserve">”</w:t>
            </w:r>
            <w:r>
              <w:t xml:space="preserve"> </w:t>
            </w:r>
            <w:r>
              <w:t xml:space="preserve">was opaque</w:t>
            </w:r>
          </w:p>
        </w:tc>
        <w:tc>
          <w:tcPr/>
          <w:p>
            <w:pPr>
              <w:pStyle w:val="Compact"/>
              <w:jc w:val="left"/>
            </w:pPr>
            <w:r>
              <w:rPr>
                <w:bCs/>
                <w:b/>
              </w:rPr>
              <w:t xml:space="preserve">Explained.</w:t>
            </w:r>
            <w:r>
              <w:t xml:space="preserve"> </w:t>
            </w:r>
            <w:r>
              <w:t xml:space="preserve">New Column 3 block: banks are held by the below-ground root/rhizome mat, not visible stems; nitrogen shifts growth to leaves and speeds peat decay, so the marsh looks greener above while losing structure below. This is exactly the intuition Deegan et al. 2012 overturned.</w:t>
            </w:r>
          </w:p>
        </w:tc>
      </w:tr>
      <w:tr>
        <w:tc>
          <w:tcPr/>
          <w:p>
            <w:pPr>
              <w:pStyle w:val="Compact"/>
              <w:jc w:val="left"/>
            </w:pPr>
            <w:r>
              <w:t xml:space="preserve">15</w:t>
            </w:r>
          </w:p>
        </w:tc>
        <w:tc>
          <w:tcPr/>
          <w:p>
            <w:pPr>
              <w:pStyle w:val="Compact"/>
              <w:jc w:val="left"/>
            </w:pPr>
            <w:r>
              <w:t xml:space="preserve">“</w:t>
            </w:r>
            <w:r>
              <w:t xml:space="preserve">Warming lowers eelgrass tolerance for nutrients</w:t>
            </w:r>
            <w:r>
              <w:t xml:space="preserve">”</w:t>
            </w:r>
            <w:r>
              <w:t xml:space="preserve"> </w:t>
            </w:r>
            <w:r>
              <w:t xml:space="preserve">unexplained</w:t>
            </w:r>
          </w:p>
        </w:tc>
        <w:tc>
          <w:tcPr/>
          <w:p>
            <w:pPr>
              <w:pStyle w:val="Compact"/>
              <w:jc w:val="left"/>
            </w:pPr>
            <w:r>
              <w:rPr>
                <w:bCs/>
                <w:b/>
              </w:rPr>
              <w:t xml:space="preserve">Explained.</w:t>
            </w:r>
            <w:r>
              <w:t xml:space="preserve"> </w:t>
            </w:r>
            <w:r>
              <w:t xml:space="preserve">The mechanism is</w:t>
            </w:r>
            <w:r>
              <w:t xml:space="preserve"> </w:t>
            </w:r>
            <w:r>
              <w:rPr>
                <w:bCs/>
                <w:b/>
              </w:rPr>
              <w:t xml:space="preserve">light</w:t>
            </w:r>
            <w:r>
              <w:t xml:space="preserve">, not toxicity or resource competition: warming raises the light requirement; nutrients grow algae on the blades and in the water that lower light delivered.</w:t>
            </w:r>
          </w:p>
        </w:tc>
      </w:tr>
      <w:tr>
        <w:tc>
          <w:tcPr/>
          <w:p>
            <w:pPr>
              <w:pStyle w:val="Compact"/>
              <w:jc w:val="left"/>
            </w:pPr>
            <w:r>
              <w:t xml:space="preserve">16</w:t>
            </w:r>
          </w:p>
        </w:tc>
        <w:tc>
          <w:tcPr/>
          <w:p>
            <w:pPr>
              <w:pStyle w:val="Compact"/>
              <w:jc w:val="left"/>
            </w:pPr>
            <w:r>
              <w:t xml:space="preserve">Shellfish/septic overlap had no citation</w:t>
            </w:r>
          </w:p>
        </w:tc>
        <w:tc>
          <w:tcPr/>
          <w:p>
            <w:pPr>
              <w:pStyle w:val="Compact"/>
              <w:jc w:val="left"/>
            </w:pPr>
            <w:r>
              <w:rPr>
                <w:bCs/>
                <w:b/>
              </w:rPr>
              <w:t xml:space="preserve">Cited and tightened</w:t>
            </w:r>
            <w:r>
              <w:t xml:space="preserve"> </w:t>
            </w:r>
            <w:r>
              <w:t xml:space="preserve">(Mitchell et al. 2021; RD883 2021), with the claim narrowed to what those sources actually support. Flagged as a student-project opportunity.</w:t>
            </w:r>
          </w:p>
        </w:tc>
      </w:tr>
      <w:tr>
        <w:tc>
          <w:tcPr/>
          <w:p>
            <w:pPr>
              <w:pStyle w:val="Compact"/>
              <w:jc w:val="left"/>
            </w:pPr>
            <w:r>
              <w:t xml:space="preserve">11</w:t>
            </w:r>
          </w:p>
        </w:tc>
        <w:tc>
          <w:tcPr/>
          <w:p>
            <w:pPr>
              <w:pStyle w:val="Compact"/>
              <w:jc w:val="left"/>
            </w:pPr>
            <w:r>
              <w:t xml:space="preserve">The ~80% groundwater figure was removed in v3 as unverifiable</w:t>
            </w:r>
          </w:p>
        </w:tc>
        <w:tc>
          <w:tcPr/>
          <w:p>
            <w:pPr>
              <w:pStyle w:val="Compact"/>
              <w:jc w:val="left"/>
            </w:pPr>
            <w:r>
              <w:rPr>
                <w:bCs/>
                <w:b/>
              </w:rPr>
              <w:t xml:space="preserve">Restored in v4</w:t>
            </w:r>
            <w:r>
              <w:t xml:space="preserve"> </w:t>
            </w:r>
            <w:r>
              <w:t xml:space="preserve">with its true source —</w:t>
            </w:r>
            <w:r>
              <w:t xml:space="preserve"> </w:t>
            </w:r>
            <w:r>
              <w:rPr>
                <w:iCs/>
                <w:i/>
              </w:rPr>
              <w:t xml:space="preserve">Accomack County Regional Water Supply Plan</w:t>
            </w:r>
            <w:r>
              <w:t xml:space="preserve"> </w:t>
            </w:r>
            <w:r>
              <w:t xml:space="preserve">(April 2010) — corrected phrasing (share of creek</w:t>
            </w:r>
            <w:r>
              <w:t xml:space="preserve"> </w:t>
            </w:r>
            <w:r>
              <w:rPr>
                <w:bCs/>
                <w:b/>
              </w:rPr>
              <w:t xml:space="preserve">supply</w:t>
            </w:r>
            <w:r>
              <w:t xml:space="preserve">, not baseflow), and an explicit</w:t>
            </w:r>
            <w:r>
              <w:t xml:space="preserve"> </w:t>
            </w:r>
            <w:r>
              <w:rPr>
                <w:bCs/>
                <w:b/>
              </w:rPr>
              <w:t xml:space="preserve">Accomack-only</w:t>
            </w:r>
            <w:r>
              <w:t xml:space="preserve"> </w:t>
            </w:r>
            <w:r>
              <w:t xml:space="preserve">scope note.</w:t>
            </w:r>
          </w:p>
        </w:tc>
      </w:tr>
      <w:tr>
        <w:tc>
          <w:tcPr/>
          <w:p>
            <w:pPr>
              <w:pStyle w:val="Compact"/>
              <w:jc w:val="left"/>
            </w:pPr>
            <w:r>
              <w:t xml:space="preserve">10a</w:t>
            </w:r>
          </w:p>
        </w:tc>
        <w:tc>
          <w:tcPr/>
          <w:p>
            <w:pPr>
              <w:pStyle w:val="Compact"/>
              <w:jc w:val="left"/>
            </w:pPr>
            <w:r>
              <w:t xml:space="preserve">Phosphorus was labelled</w:t>
            </w:r>
            <w:r>
              <w:t xml:space="preserve"> </w:t>
            </w:r>
            <w:r>
              <w:rPr>
                <w:bCs/>
                <w:b/>
              </w:rPr>
              <w:t xml:space="preserve">AGE-DRIVEN</w:t>
            </w:r>
            <w:r>
              <w:t xml:space="preserve"> </w:t>
            </w:r>
            <w:r>
              <w:t xml:space="preserve">in a column headed</w:t>
            </w:r>
            <w:r>
              <w:t xml:space="preserve"> </w:t>
            </w:r>
            <w:r>
              <w:t xml:space="preserve">“</w:t>
            </w:r>
            <w:r>
              <w:t xml:space="preserve">Failure-driven?</w:t>
            </w:r>
            <w:r>
              <w:t xml:space="preserve">”</w:t>
            </w:r>
            <w:r>
              <w:t xml:space="preserve">, and Column 3 said P</w:t>
            </w:r>
            <w:r>
              <w:t xml:space="preserve"> </w:t>
            </w:r>
            <w:r>
              <w:t xml:space="preserve">“</w:t>
            </w:r>
            <w:r>
              <w:t xml:space="preserve">breaks through as soils age</w:t>
            </w:r>
            <w:r>
              <w:t xml:space="preserve">”</w:t>
            </w:r>
          </w:p>
        </w:tc>
        <w:tc>
          <w:tcPr/>
          <w:p>
            <w:pPr>
              <w:pStyle w:val="Compact"/>
              <w:jc w:val="left"/>
            </w:pPr>
            <w:r>
              <w:rPr>
                <w:bCs/>
                <w:b/>
              </w:rPr>
              <w:t xml:space="preserve">Corrected (v3).</w:t>
            </w:r>
            <w:r>
              <w:t xml:space="preserve"> </w:t>
            </w:r>
            <w:r>
              <w:t xml:space="preserve">“</w:t>
            </w:r>
            <w:r>
              <w:t xml:space="preserve">Age</w:t>
            </w:r>
            <w:r>
              <w:t xml:space="preserve">”</w:t>
            </w:r>
            <w:r>
              <w:t xml:space="preserve"> </w:t>
            </w:r>
            <w:r>
              <w:t xml:space="preserve">meant the</w:t>
            </w:r>
            <w:r>
              <w:t xml:space="preserve"> </w:t>
            </w:r>
            <w:r>
              <w:rPr>
                <w:iCs/>
                <w:i/>
              </w:rPr>
              <w:t xml:space="preserve">septic system’s</w:t>
            </w:r>
            <w:r>
              <w:t xml:space="preserve"> </w:t>
            </w:r>
            <w:r>
              <w:t xml:space="preserve">cumulative operating time, not the geological age of the soil — the original wording implied a process unrelated to septic systems. P is now labelled</w:t>
            </w:r>
            <w:r>
              <w:t xml:space="preserve"> </w:t>
            </w:r>
            <w:r>
              <w:rPr>
                <w:bCs/>
                <w:b/>
              </w:rPr>
              <w:t xml:space="preserve">NO — use-driven</w:t>
            </w:r>
            <w:r>
              <w:t xml:space="preserve">, with the description clarifying it is</w:t>
            </w:r>
            <w:r>
              <w:t xml:space="preserve"> </w:t>
            </w:r>
            <w:r>
              <w:rPr>
                <w:iCs/>
                <w:i/>
              </w:rPr>
              <w:t xml:space="preserve">that system’s own</w:t>
            </w:r>
            <w:r>
              <w:t xml:space="preserve"> </w:t>
            </w:r>
            <w:r>
              <w:t xml:space="preserve">binding capacity being exhausted. A note records the one genuine failure link: reductive dissolution of iron oxides under a risen water table can remobilise legacy phosphorus (Smith et al. 2021,</w:t>
            </w:r>
            <w:r>
              <w:t xml:space="preserve"> </w:t>
            </w:r>
            <w:r>
              <w:rPr>
                <w:iCs/>
                <w:i/>
              </w:rPr>
              <w:t xml:space="preserve">J. Environ. Qual.</w:t>
            </w:r>
            <w:r>
              <w:t xml:space="preserve">, mechanism established in soils generally; nitrate-rich septic plumes may delay it, since nitrate is the preferred electron acceptor).</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8"/>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8"/>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2026-07-28T15:02:34Z</dcterms:created>
  <dcterms:modified xsi:type="dcterms:W3CDTF">2026-07-28T15:02:34Z</dcterms:modified>
</cp:coreProperties>
</file>

<file path=docProps/custom.xml><?xml version="1.0" encoding="utf-8"?>
<Properties xmlns="http://schemas.openxmlformats.org/officeDocument/2006/custom-properties" xmlns:vt="http://schemas.openxmlformats.org/officeDocument/2006/docPropsVTypes"/>
</file>