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14.5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w:t>
      </w:r>
      <w:r>
        <w:t xml:space="preserve"> </w:t>
      </w:r>
      <w:r>
        <w:t xml:space="preserve">body text at 14.5 pt on a 36 in poster is readable at roughly 4–5 ft. Do not go below 14 pt for body copy or 10 pt for references.</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 directly above the groundwater that supplies every well on the Shore.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1997</w:t>
      </w:r>
      <w:r>
        <w:t xml:space="preserve"> </w:t>
      </w:r>
      <w:r>
        <w:t xml:space="preserve">&gt; EPA designated the Shore’s groundwater a</w:t>
      </w:r>
      <w:r>
        <w:t xml:space="preserve"> </w:t>
      </w:r>
      <w:r>
        <w:rPr>
          <w:bCs/>
          <w:b/>
        </w:rPr>
        <w:t xml:space="preserve">sole-source aquifer</w:t>
      </w:r>
      <w:r>
        <w:t xml:space="preserve"> </w:t>
      </w:r>
      <w:r>
        <w:t xml:space="preserve">— the</w:t>
      </w:r>
      <w:r>
        <w:t xml:space="preserve"> </w:t>
      </w:r>
      <w:r>
        <w:rPr>
          <w:bCs/>
          <w:b/>
        </w:rPr>
        <w:t xml:space="preserve">Columbia</w:t>
      </w:r>
      <w:r>
        <w:t xml:space="preserve"> </w:t>
      </w:r>
      <w:r>
        <w:t xml:space="preserve">(shallow, unconfined) and</w:t>
      </w:r>
      <w:r>
        <w:t xml:space="preserve"> </w:t>
      </w:r>
      <w:r>
        <w:rPr>
          <w:bCs/>
          <w:b/>
        </w:rPr>
        <w:t xml:space="preserve">Yorktown–Eastover</w:t>
      </w:r>
      <w:r>
        <w:t xml:space="preserve"> </w:t>
      </w:r>
      <w:r>
        <w:t xml:space="preserve">(deeper, confined) systems together. There is no alternative supply.</w:t>
      </w:r>
    </w:p>
    <w:p>
      <w:pPr>
        <w:pStyle w:val="BodyText"/>
      </w:pPr>
      <w:r>
        <w:rPr>
          <w:bCs/>
          <w:b/>
        </w:rPr>
        <w:t xml:space="preserve">Paragraph (with health mention, rust emphasis on final sentence):</w:t>
      </w:r>
      <w:r>
        <w:t xml:space="preserve"> </w:t>
      </w:r>
      <w:r>
        <w:t xml:space="preserve">&gt;</w:t>
      </w:r>
      <w:r>
        <w:t xml:space="preserve"> </w:t>
      </w:r>
      <w:r>
        <w:rPr>
          <w:bCs/>
          <w:b/>
        </w:rPr>
        <w:t xml:space="preserve">Septic effluent enters the shallow Columbia</w:t>
      </w:r>
      <w:r>
        <w:t xml:space="preserve"> </w:t>
      </w:r>
      <w:r>
        <w:t xml:space="preserve">— the same layer that feeds tidal creeks</w:t>
      </w:r>
      <w:r>
        <w:t xml:space="preserve"> </w:t>
      </w:r>
      <w:r>
        <w:rPr>
          <w:iCs/>
          <w:i/>
        </w:rPr>
        <w:t xml:space="preserve">and</w:t>
      </w:r>
      <w:r>
        <w:t xml:space="preserve"> </w:t>
      </w:r>
      <w:r>
        <w:t xml:space="preserve">many older private wells. Most public-supply wells draw from the deeper, better-protected Yorktown–Eastover.</w:t>
      </w:r>
      <w:r>
        <w:t xml:space="preserve"> </w:t>
      </w:r>
      <w:r>
        <w:rPr>
          <w:bCs/>
          <w:b/>
        </w:rPr>
        <w:t xml:space="preserve">Human health risk from nitrate and pathogens in shallow private wells is real and is addressed in companion project work; this poster follows the ecological pathway.</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Subhead: Three things compound it</w:t>
      </w:r>
    </w:p>
    <w:p>
      <w:pPr>
        <w:numPr>
          <w:ilvl w:val="0"/>
          <w:numId w:val="1001"/>
        </w:numPr>
        <w:pStyle w:val="Compact"/>
      </w:pPr>
      <w:r>
        <w:rPr>
          <w:bCs/>
          <w:b/>
        </w:rPr>
        <w:t xml:space="preserve">Age.</w:t>
      </w:r>
      <w:r>
        <w:t xml:space="preserve"> </w:t>
      </w:r>
      <w:r>
        <w:t xml:space="preserve">Many Shore systems date to the 1970s–80s. Installers report age and what gets flushed as the leading causes of failure they see.</w:t>
      </w:r>
    </w:p>
    <w:p>
      <w:pPr>
        <w:numPr>
          <w:ilvl w:val="0"/>
          <w:numId w:val="1001"/>
        </w:numPr>
        <w:pStyle w:val="Compact"/>
      </w:pPr>
      <w:r>
        <w:rPr>
          <w:bCs/>
          <w:b/>
        </w:rPr>
        <w:t xml:space="preserve">No reliable inventory.</w:t>
      </w:r>
      <w:r>
        <w:t xml:space="preserve"> </w:t>
      </w:r>
      <w:r>
        <w:t xml:space="preserve">Virginia has no complete record of where septic systems are, how old they are, or what condition they are in. State databases are sparsely populated for the Shore, so neither agencies nor owners can target maintenance.</w:t>
      </w:r>
    </w:p>
    <w:p>
      <w:pPr>
        <w:numPr>
          <w:ilvl w:val="0"/>
          <w:numId w:val="1001"/>
        </w:numPr>
        <w:pStyle w:val="Compact"/>
      </w:pPr>
      <w:r>
        <w:rPr>
          <w:bCs/>
          <w:b/>
        </w:rPr>
        <w:t xml:space="preserve">Information and cost barriers.</w:t>
      </w:r>
      <w:r>
        <w:t xml:space="preserve"> </w:t>
      </w:r>
      <w:r>
        <w:t xml:space="preserve">Nationally only</w:t>
      </w:r>
      <w:r>
        <w:t xml:space="preserve"> </w:t>
      </w:r>
      <w:r>
        <w:rPr>
          <w:bCs/>
          <w:b/>
        </w:rPr>
        <w:t xml:space="preserve">~32%</w:t>
      </w:r>
      <w:r>
        <w:t xml:space="preserve"> </w:t>
      </w:r>
      <w:r>
        <w:t xml:space="preserve">of owners meet recommended inspection intervals, and</w:t>
      </w:r>
      <w:r>
        <w:t xml:space="preserve"> </w:t>
      </w:r>
      <w:r>
        <w:rPr>
          <w:bCs/>
          <w:b/>
        </w:rPr>
        <w:t xml:space="preserve">~60%</w:t>
      </w:r>
      <w:r>
        <w:t xml:space="preserve"> </w:t>
      </w:r>
      <w:r>
        <w:t xml:space="preserve">of systems over 20 years old have</w:t>
      </w:r>
      <w:r>
        <w:t xml:space="preserve"> </w:t>
      </w:r>
      <w:r>
        <w:rPr>
          <w:bCs/>
          <w:b/>
        </w:rPr>
        <w:t xml:space="preserve">never been inspected</w:t>
      </w:r>
      <w:r>
        <w:t xml:space="preserve">. A pump-out runs $250–500 — a genuine barrier at Shore incomes, and assistance programs are under-used.</w:t>
      </w:r>
    </w:p>
    <w:p>
      <w:pPr>
        <w:pStyle w:val="FirstParagraph"/>
      </w:pPr>
      <w:r>
        <w:rPr>
          <w:bCs/>
          <w:b/>
        </w:rPr>
        <w:t xml:space="preserve">Caption:</w:t>
      </w:r>
      <w:r>
        <w:t xml:space="preserve"> </w:t>
      </w:r>
      <w:r>
        <w:t xml:space="preserve">Rising groundwater makes failure</w:t>
      </w:r>
      <w:r>
        <w:t xml:space="preserve"> </w:t>
      </w:r>
      <w:r>
        <w:rPr>
          <w:iCs/>
          <w:i/>
        </w:rPr>
        <w:t xml:space="preserve">progressive and unavoidable</w:t>
      </w:r>
      <w:r>
        <w:t xml:space="preserve">; age, records and maintenance determine</w:t>
      </w:r>
      <w:r>
        <w:t xml:space="preserve"> </w:t>
      </w:r>
      <w:r>
        <w:rPr>
          <w:iCs/>
          <w:i/>
        </w:rPr>
        <w:t xml:space="preserve">which systems fail first</w:t>
      </w:r>
      <w:r>
        <w:t xml:space="preserve">. Both are systemic, not individual, failings.</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Septic effluent is released</w:t>
      </w:r>
      <w:r>
        <w:t xml:space="preserve"> </w:t>
      </w:r>
      <w:r>
        <w:rPr>
          <w:iCs/>
          <w:i/>
        </w:rPr>
        <w:t xml:space="preserve">below</w:t>
      </w:r>
      <w:r>
        <w:t xml:space="preserve"> </w:t>
      </w:r>
      <w:r>
        <w:t xml:space="preserve">ground. It therefore enters the</w:t>
      </w:r>
      <w:r>
        <w:t xml:space="preserve"> </w:t>
      </w:r>
      <w:r>
        <w:rPr>
          <w:bCs/>
          <w:b/>
        </w:rPr>
        <w:t xml:space="preserve">groundwater</w:t>
      </w:r>
      <w:r>
        <w:t xml:space="preserve"> </w:t>
      </w:r>
      <w:r>
        <w:t xml:space="preserve">system, not the surface-water system — and on the Shore, the groundwater essentially</w:t>
      </w:r>
      <w:r>
        <w:t xml:space="preserve"> </w:t>
      </w:r>
      <w:r>
        <w:rPr>
          <w:iCs/>
          <w:i/>
        </w:rPr>
        <w:t xml:space="preserve">is</w:t>
      </w:r>
      <w:r>
        <w:t xml:space="preserve"> </w:t>
      </w:r>
      <w:r>
        <w:t xml:space="preserve">the creek water.</w:t>
      </w:r>
    </w:p>
    <w:p>
      <w:pPr>
        <w:pStyle w:val="BodyText"/>
      </w:pPr>
      <w:r>
        <w:rPr>
          <w:bCs/>
          <w:b/>
        </w:rPr>
        <w:t xml:space="preserve">Stat block (blue):</w:t>
      </w:r>
      <w:r>
        <w:t xml:space="preserve"> </w:t>
      </w:r>
      <w:r>
        <w:t xml:space="preserve">&gt;</w:t>
      </w:r>
      <w:r>
        <w:t xml:space="preserve"> </w:t>
      </w:r>
      <w:r>
        <w:rPr>
          <w:bCs/>
          <w:b/>
        </w:rPr>
        <w:t xml:space="preserve">~80%</w:t>
      </w:r>
      <w:r>
        <w:t xml:space="preserve"> </w:t>
      </w:r>
      <w:r>
        <w:t xml:space="preserve">&gt; of the water supplying</w:t>
      </w:r>
      <w:r>
        <w:t xml:space="preserve"> </w:t>
      </w:r>
      <w:r>
        <w:rPr>
          <w:bCs/>
          <w:b/>
        </w:rPr>
        <w:t xml:space="preserve">Accomack County’s 30 tidal creeks</w:t>
      </w:r>
      <w:r>
        <w:t xml:space="preserve"> </w:t>
      </w:r>
      <w:r>
        <w:t xml:space="preserve">comes from</w:t>
      </w:r>
      <w:r>
        <w:t xml:space="preserve"> </w:t>
      </w:r>
      <w:r>
        <w:rPr>
          <w:bCs/>
          <w:b/>
        </w:rPr>
        <w:t xml:space="preserve">groundwater discharge</w:t>
      </w:r>
      <w:r>
        <w:t xml:space="preserve"> </w:t>
      </w:r>
      <w:r>
        <w:t xml:space="preserve">(Accomack County Regional Water Supply Plan, 2010). Shore-wide there are no significant surface streams — a fact EPA cited in the sole-source designation.</w:t>
      </w:r>
    </w:p>
    <w:p>
      <w:pPr>
        <w:pStyle w:val="BodyText"/>
      </w:pPr>
      <w:r>
        <w:rPr>
          <w:bCs/>
          <w:b/>
        </w:rPr>
        <w:t xml:space="preserve">Paragraph:</w:t>
      </w:r>
      <w:r>
        <w:t xml:space="preserve"> </w:t>
      </w:r>
      <w:r>
        <w:t xml:space="preserve">If these creeks were fed mainly by rain running over the land, septic effluent would have no route into them. Because they are groundwater-fed, subsurface disposal becomes a surface-water problem — and agricultural runoff is</w:t>
      </w:r>
      <w:r>
        <w:t xml:space="preserve"> </w:t>
      </w:r>
      <w:r>
        <w:rPr>
          <w:iCs/>
          <w:i/>
        </w:rPr>
        <w:t xml:space="preserve">not</w:t>
      </w:r>
      <w:r>
        <w:t xml:space="preserve"> </w:t>
      </w:r>
      <w:r>
        <w:t xml:space="preserve">the only thing reaching the water.</w:t>
      </w:r>
    </w:p>
    <w:p>
      <w:pPr>
        <w:pStyle w:val="BlockText"/>
      </w:pPr>
      <w:r>
        <w:rPr>
          <w:bCs/>
          <w:b/>
        </w:rPr>
        <w:t xml:space="preserve">✅ Source resolved in v4 — see §11.</w:t>
      </w:r>
      <w:r>
        <w:t xml:space="preserve"> </w:t>
      </w:r>
      <w:r>
        <w:t xml:space="preserve">The 80% figure traces to the</w:t>
      </w:r>
      <w:r>
        <w:t xml:space="preserve"> </w:t>
      </w:r>
      <w:r>
        <w:rPr>
          <w:iCs/>
          <w:i/>
        </w:rPr>
        <w:t xml:space="preserve">Accomack County Regional Water Supply Plan</w:t>
      </w:r>
      <w:r>
        <w:t xml:space="preserve"> </w:t>
      </w:r>
      <w:r>
        <w:t xml:space="preserve">(April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Two things changed from the earlier draft: the figure is now attributed to its actual primary source rather than to sources that were never checked, and it is described as a share of the creeks’</w:t>
      </w:r>
      <w:r>
        <w:t xml:space="preserve"> </w:t>
      </w:r>
      <w:r>
        <w:rPr>
          <w:bCs/>
          <w:b/>
        </w:rPr>
        <w:t xml:space="preserve">supply/flow</w:t>
      </w:r>
      <w:r>
        <w:t xml:space="preserve"> </w:t>
      </w:r>
      <w:r>
        <w:t xml:space="preserve">rather than of</w:t>
      </w:r>
      <w:r>
        <w:t xml:space="preserve"> </w:t>
      </w:r>
      <w:r>
        <w:rPr>
          <w:bCs/>
          <w:b/>
        </w:rPr>
        <w:t xml:space="preserve">baseflow</w:t>
      </w:r>
      <w:r>
        <w:t xml:space="preserve"> </w:t>
      </w:r>
      <w:r>
        <w:t xml:space="preserve">(the earlier phrasing was near-tautological).</w:t>
      </w:r>
      <w:r>
        <w:t xml:space="preserve"> </w:t>
      </w:r>
      <w:r>
        <w:rPr>
          <w:bCs/>
          <w:b/>
        </w:rPr>
        <w:t xml:space="preserve">Scope note: this is an Accomack County figure. Do not present it as Shore-wide.</w:t>
      </w:r>
      <w:r>
        <w:t xml:space="preserve"> </w:t>
      </w:r>
      <w:r>
        <w:t xml:space="preserve">Northampton’s hydrogeologic setting is broadly similar, but no equivalent published figure has been located for it.</w:t>
      </w:r>
    </w:p>
    <w:p>
      <w:pPr>
        <w:pStyle w:val="FirstParagraph"/>
      </w:pPr>
      <w:r>
        <w:rPr>
          <w:bCs/>
          <w:b/>
        </w:rPr>
        <w:t xml:space="preserve">DIAGRAM</w:t>
      </w:r>
      <w:r>
        <w:t xml:space="preserve"> </w:t>
      </w:r>
      <w:r>
        <w:t xml:space="preserve">(see Section 8)</w:t>
      </w:r>
    </w:p>
    <w:p>
      <w:pPr>
        <w:pStyle w:val="BodyText"/>
      </w:pPr>
      <w:r>
        <w:rPr>
          <w:bCs/>
          <w:b/>
        </w:rPr>
        <w:t xml:space="preserve">Caption:</w:t>
      </w:r>
      <w:r>
        <w:t xml:space="preserve"> </w:t>
      </w:r>
      <w:r>
        <w:t xml:space="preserve">Effluent meets a rising water table and travels laterally to tidal water. The confining clay gives the deeper aquifer real protection; the shallow Columbia has none.</w:t>
      </w:r>
    </w:p>
    <w:p>
      <w:pPr>
        <w:pStyle w:val="BodyText"/>
      </w:pPr>
      <w:r>
        <w:rPr>
          <w:bCs/>
          <w:b/>
        </w:rPr>
        <w:t xml:space="preserve">Subhead: What the soil actually does — and doesn’t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Constituent</w:t>
            </w:r>
          </w:p>
        </w:tc>
        <w:tc>
          <w:tcPr/>
          <w:p>
            <w:pPr>
              <w:pStyle w:val="Compact"/>
              <w:jc w:val="left"/>
            </w:pPr>
            <w:r>
              <w:t xml:space="preserve">Fate in a working drainfield</w:t>
            </w:r>
          </w:p>
        </w:tc>
        <w:tc>
          <w:tcPr/>
          <w:p>
            <w:pPr>
              <w:pStyle w:val="Compact"/>
              <w:jc w:val="left"/>
            </w:pPr>
            <w:r>
              <w:t xml:space="preserve">Failure-driven?</w:t>
            </w:r>
          </w:p>
        </w:tc>
      </w:tr>
      <w:tr>
        <w:tc>
          <w:tcPr/>
          <w:p>
            <w:pPr>
              <w:pStyle w:val="Compact"/>
              <w:jc w:val="left"/>
            </w:pPr>
            <w:r>
              <w:rPr>
                <w:bCs/>
                <w:b/>
              </w:rPr>
              <w:t xml:space="preserve">Pathogens</w:t>
            </w:r>
            <w:r>
              <w:t xml:space="preserve"> </w:t>
            </w:r>
            <w:r>
              <w:t xml:space="preserve">(bacteria, viruses)</w:t>
            </w:r>
          </w:p>
        </w:tc>
        <w:tc>
          <w:tcPr/>
          <w:p>
            <w:pPr>
              <w:pStyle w:val="Compact"/>
              <w:jc w:val="left"/>
            </w:pPr>
            <w:r>
              <w:t xml:space="preserve">Removed by filtration, adsorption and die-off in unsaturated soil</w:t>
            </w:r>
          </w:p>
        </w:tc>
        <w:tc>
          <w:tcPr/>
          <w:p>
            <w:pPr>
              <w:pStyle w:val="Compact"/>
              <w:jc w:val="left"/>
            </w:pPr>
            <w:r>
              <w:rPr>
                <w:bCs/>
                <w:b/>
              </w:rPr>
              <w:t xml:space="preserve">YES</w:t>
            </w:r>
            <w:r>
              <w:t xml:space="preserve"> </w:t>
            </w:r>
            <w:r>
              <w:t xml:space="preserve">(rust)</w:t>
            </w:r>
          </w:p>
        </w:tc>
      </w:tr>
      <w:tr>
        <w:tc>
          <w:tcPr/>
          <w:p>
            <w:pPr>
              <w:pStyle w:val="Compact"/>
              <w:jc w:val="left"/>
            </w:pPr>
            <w:r>
              <w:rPr>
                <w:bCs/>
                <w:b/>
              </w:rPr>
              <w:t xml:space="preserve">Nitrogen</w:t>
            </w:r>
          </w:p>
        </w:tc>
        <w:tc>
          <w:tcPr/>
          <w:p>
            <w:pPr>
              <w:pStyle w:val="Compact"/>
              <w:jc w:val="left"/>
            </w:pPr>
            <w:r>
              <w:rPr>
                <w:iCs/>
                <w:i/>
              </w:rPr>
              <w:t xml:space="preserve">Converted</w:t>
            </w:r>
            <w:r>
              <w:t xml:space="preserve"> </w:t>
            </w:r>
            <w:r>
              <w:t xml:space="preserve">to nitrate, not removed — conventional systems retain only ~10–30%</w:t>
            </w:r>
          </w:p>
        </w:tc>
        <w:tc>
          <w:tcPr/>
          <w:p>
            <w:pPr>
              <w:pStyle w:val="Compact"/>
              <w:jc w:val="left"/>
            </w:pPr>
            <w:r>
              <w:rPr>
                <w:bCs/>
                <w:b/>
              </w:rPr>
              <w:t xml:space="preserve">PARTLY</w:t>
            </w:r>
            <w:r>
              <w:t xml:space="preserve"> </w:t>
            </w:r>
            <w:r>
              <w:t xml:space="preserve">(amber)</w:t>
            </w:r>
          </w:p>
        </w:tc>
      </w:tr>
      <w:tr>
        <w:tc>
          <w:tcPr/>
          <w:p>
            <w:pPr>
              <w:pStyle w:val="Compact"/>
              <w:jc w:val="left"/>
            </w:pPr>
            <w:r>
              <w:rPr>
                <w:bCs/>
                <w:b/>
              </w:rPr>
              <w:t xml:space="preserve">Phosphorus</w:t>
            </w:r>
          </w:p>
        </w:tc>
        <w:tc>
          <w:tcPr/>
          <w:p>
            <w:pPr>
              <w:pStyle w:val="Compact"/>
              <w:jc w:val="left"/>
            </w:pPr>
            <w:r>
              <w:t xml:space="preserve">Held by the soil until</w:t>
            </w:r>
            <w:r>
              <w:t xml:space="preserve"> </w:t>
            </w:r>
            <w:r>
              <w:rPr>
                <w:iCs/>
                <w:i/>
              </w:rPr>
              <w:t xml:space="preserve">that system’s own</w:t>
            </w:r>
            <w:r>
              <w:t xml:space="preserve"> </w:t>
            </w:r>
            <w:r>
              <w:t xml:space="preserve">binding capacity is used up after years to decades of operation — then breaks through</w:t>
            </w:r>
          </w:p>
        </w:tc>
        <w:tc>
          <w:tcPr/>
          <w:p>
            <w:pPr>
              <w:pStyle w:val="Compact"/>
              <w:jc w:val="left"/>
            </w:pPr>
            <w:r>
              <w:rPr>
                <w:bCs/>
                <w:b/>
              </w:rPr>
              <w:t xml:space="preserve">NO</w:t>
            </w:r>
            <w:r>
              <w:t xml:space="preserve"> </w:t>
            </w:r>
            <w:r>
              <w:t xml:space="preserve">(gray)</w:t>
            </w:r>
          </w:p>
        </w:tc>
      </w:tr>
      <w:tr>
        <w:tc>
          <w:tcPr/>
          <w:p>
            <w:pPr>
              <w:pStyle w:val="Compact"/>
              <w:jc w:val="left"/>
            </w:pPr>
            <w:r>
              <w:rPr>
                <w:bCs/>
                <w:b/>
              </w:rPr>
              <w:t xml:space="preserve">PFAS &amp; pharmaceuticals</w:t>
            </w:r>
          </w:p>
        </w:tc>
        <w:tc>
          <w:tcPr/>
          <w:p>
            <w:pPr>
              <w:pStyle w:val="Compact"/>
              <w:jc w:val="left"/>
            </w:pPr>
            <w:r>
              <w:t xml:space="preserve">Pass through essentially unaltered</w:t>
            </w:r>
          </w:p>
        </w:tc>
        <w:tc>
          <w:tcPr/>
          <w:p>
            <w:pPr>
              <w:pStyle w:val="Compact"/>
              <w:jc w:val="left"/>
            </w:pPr>
            <w:r>
              <w:rPr>
                <w:bCs/>
                <w:b/>
              </w:rPr>
              <w:t xml:space="preserve">NO</w:t>
            </w:r>
            <w:r>
              <w:t xml:space="preserve"> </w:t>
            </w:r>
            <w:r>
              <w:t xml:space="preserve">(gray)</w:t>
            </w:r>
          </w:p>
        </w:tc>
      </w:tr>
    </w:tbl>
    <w:p>
      <w:pPr>
        <w:pStyle w:val="BodyText"/>
      </w:pPr>
      <w:r>
        <w:rPr>
          <w:bCs/>
          <w:b/>
        </w:rPr>
        <w:t xml:space="preserve">Caption under the table:</w:t>
      </w:r>
      <w:r>
        <w:t xml:space="preserve"> </w:t>
      </w:r>
      <w:r>
        <w:t xml:space="preserve">Phosphorus is the exception that proves the rule: it is limited by</w:t>
      </w:r>
      <w:r>
        <w:t xml:space="preserve"> </w:t>
      </w:r>
      <w:r>
        <w:rPr>
          <w:iCs/>
          <w:i/>
        </w:rPr>
        <w:t xml:space="preserve">cumulative use</w:t>
      </w:r>
      <w:r>
        <w:t xml:space="preserve">, not by condition. One failure link does exist — when a rising water table saturates the soil, iron oxides dissolve and can release phosphorus they had been holding for years.</w:t>
      </w:r>
    </w:p>
    <w:p>
      <w:pPr>
        <w:pStyle w:val="BodyText"/>
      </w:pPr>
      <w:r>
        <w:rPr>
          <w:bCs/>
          <w:b/>
        </w:rPr>
        <w:t xml:space="preserve">Callout box (deep blue, white text):</w:t>
      </w:r>
      <w:r>
        <w:t xml:space="preserve"> </w:t>
      </w:r>
      <w:r>
        <w:t xml:space="preserve">&gt;</w:t>
      </w:r>
      <w:r>
        <w:t xml:space="preserve"> </w:t>
      </w:r>
      <w:r>
        <w:rPr>
          <w:bCs/>
          <w:b/>
        </w:rPr>
        <w:t xml:space="preserve">Nitrate travels</w:t>
      </w:r>
      <w:r>
        <w:rPr>
          <w:bCs/>
          <w:b/>
        </w:rPr>
        <w:t xml:space="preserve"> </w:t>
      </w:r>
      <w:r>
        <w:rPr>
          <w:bCs/>
          <w:b/>
        </w:rPr>
        <w:t xml:space="preserve">“</w:t>
      </w:r>
      <w:r>
        <w:rPr>
          <w:bCs/>
          <w:b/>
        </w:rPr>
        <w:t xml:space="preserve">conservatively</w:t>
      </w:r>
      <w:r>
        <w:rPr>
          <w:bCs/>
          <w:b/>
        </w:rPr>
        <w:t xml:space="preserve">”</w:t>
      </w:r>
      <w:r>
        <w:t xml:space="preserve"> </w:t>
      </w:r>
      <w:r>
        <w:t xml:space="preserve">— it does not stick to sand and is barely consumed, because denitrifying bacteria need low oxygen and a carbon source that these oxygen-rich, carbon-poor sands do not provide. What enters the groundwater arrives at the creek.</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reaches the shallow aquifer largely untreated.</w:t>
            </w:r>
            <w:r>
              <w:t xml:space="preserve"> </w:t>
            </w:r>
            <w:r>
              <w:rPr>
                <w:bCs/>
                <w:b/>
              </w:rPr>
              <w:t xml:space="preserve">The aquifer is the delivery system</w:t>
            </w:r>
            <w:r>
              <w:t xml:space="preserve"> </w:t>
            </w:r>
            <w:r>
              <w:t xml:space="preserve">— what enters here arrives in the creeks, where nitrogen is the nutrient that drives coastal algal growth</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Algal mats; and — counter-intuitively —</w:t>
            </w:r>
            <w:r>
              <w:t xml:space="preserve"> </w:t>
            </w:r>
            <w:r>
              <w:rPr>
                <w:bCs/>
                <w:b/>
              </w:rPr>
              <w:t xml:space="preserve">marsh loss</w:t>
            </w:r>
            <w:r>
              <w:t xml:space="preserve">: enrichment grows more leaf but</w:t>
            </w:r>
            <w:r>
              <w:t xml:space="preserve"> </w:t>
            </w:r>
            <w:r>
              <w:rPr>
                <w:iCs/>
                <w:i/>
              </w:rPr>
              <w:t xml:space="preserve">fewer</w:t>
            </w:r>
            <w:r>
              <w:t xml:space="preserve"> </w:t>
            </w:r>
            <w:r>
              <w:t xml:space="preserve">bank-holding roots, so creek banks slump into the channel</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Adds to Bay-wide nutrient enrichment, low-oxygen zones and underwater-grass loss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bays behind the barrier islands are slow to exchange water, so nutrients accumulate rather than disperse</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Bacteria and viruses from failing systems trigger harvest closures</w:t>
            </w:r>
          </w:p>
        </w:tc>
        <w:tc>
          <w:tcPr/>
          <w:p>
            <w:pPr>
              <w:pStyle w:val="Compact"/>
              <w:jc w:val="left"/>
            </w:pPr>
            <w:r>
              <w:t xml:space="preserve">STRONGLY SUPPORTED</w:t>
            </w:r>
          </w:p>
        </w:tc>
      </w:tr>
      <w:tr>
        <w:tc>
          <w:tcPr/>
          <w:p>
            <w:pPr>
              <w:pStyle w:val="Compact"/>
              <w:jc w:val="left"/>
            </w:pPr>
            <w:r>
              <w:rPr>
                <w:bCs/>
                <w:b/>
              </w:rPr>
              <w:t xml:space="preserve">5 · Species &amp; habitat</w:t>
            </w:r>
          </w:p>
        </w:tc>
        <w:tc>
          <w:tcPr/>
          <w:p>
            <w:pPr>
              <w:pStyle w:val="Compact"/>
              <w:jc w:val="left"/>
            </w:pPr>
            <w:r>
              <w:t xml:space="preserve">Bay scallop, blue crab, terrapin — indirect effects through loss of grass and marsh habitat</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Waterlogged soils, vegetation die-off,</w:t>
            </w:r>
            <w:r>
              <w:t xml:space="preserve"> </w:t>
            </w:r>
            <w:r>
              <w:rPr>
                <w:iCs/>
                <w:i/>
              </w:rPr>
              <w:t xml:space="preserve">Phragmites</w:t>
            </w:r>
            <w:r>
              <w:t xml:space="preserve"> </w:t>
            </w:r>
            <w:r>
              <w:t xml:space="preserve">spread,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describe</w:t>
      </w:r>
      <w:r>
        <w:t xml:space="preserve"> </w:t>
      </w:r>
      <w:r>
        <w:rPr>
          <w:iCs/>
          <w:i/>
        </w:rPr>
        <w:t xml:space="preserve">ESVA-specific attribution</w:t>
      </w:r>
      <w:r>
        <w:t xml:space="preserve">, not whether the mechanism is real. Nearly all of these mechanisms are firmly established in the general literature.</w:t>
      </w:r>
    </w:p>
    <w:p>
      <w:pPr>
        <w:pStyle w:val="BodyText"/>
      </w:pPr>
      <w:r>
        <w:rPr>
          <w:bCs/>
          <w:b/>
        </w:rPr>
        <w:t xml:space="preserve">Note:</w:t>
      </w:r>
      <w:r>
        <w:t xml:space="preserve"> </w:t>
      </w:r>
      <w:r>
        <w:t xml:space="preserve">“</w:t>
      </w:r>
      <w:r>
        <w:t xml:space="preserve">SAV</w:t>
      </w:r>
      <w:r>
        <w:t xml:space="preserve">”</w:t>
      </w:r>
      <w:r>
        <w:t xml:space="preserve"> </w:t>
      </w:r>
      <w:r>
        <w:t xml:space="preserve">(submerged aquatic vegetation) has been replaced throughout with plain-language</w:t>
      </w:r>
      <w:r>
        <w:t xml:space="preserve"> </w:t>
      </w:r>
      <w:r>
        <w:rPr>
          <w:bCs/>
          <w:b/>
        </w:rPr>
        <w:t xml:space="preserve">“</w:t>
      </w:r>
      <w:r>
        <w:rPr>
          <w:bCs/>
          <w:b/>
        </w:rPr>
        <w:t xml:space="preserve">underwater grasses</w:t>
      </w:r>
      <w:r>
        <w:rPr>
          <w:bCs/>
          <w:b/>
        </w:rPr>
        <w:t xml:space="preserve">”</w:t>
      </w:r>
      <w:r>
        <w:t xml:space="preserve"> </w:t>
      </w:r>
      <w:r>
        <w:t xml:space="preserve">— the term the Chesapeake Bay Program itself uses for public communication.</w:t>
      </w:r>
    </w:p>
    <w:p>
      <w:pPr>
        <w:pStyle w:val="BodyText"/>
      </w:pPr>
      <w:r>
        <w:rPr>
          <w:bCs/>
          <w:b/>
        </w:rPr>
        <w:t xml:space="preserve">Subhead: Why the seaside lagoons are the sensitive case</w:t>
      </w:r>
    </w:p>
    <w:p>
      <w:pPr>
        <w:pStyle w:val="BodyText"/>
      </w:pPr>
      <w:r>
        <w:t xml:space="preserve">The Bay is large, deep and exchanges water freely, so added nutrients disperse. The seaside lagoons sit behind barrier islands and exchange water only through narrow inlets, so</w:t>
      </w:r>
      <w:r>
        <w:t xml:space="preserve"> </w:t>
      </w:r>
      <w:r>
        <w:rPr>
          <w:bCs/>
          <w:b/>
        </w:rPr>
        <w:t xml:space="preserve">nutrients accumulate</w:t>
      </w:r>
      <w:r>
        <w:t xml:space="preserve">. The same pound of nitrogen does more there.</w:t>
      </w:r>
    </w:p>
    <w:p>
      <w:pPr>
        <w:pStyle w:val="BodyText"/>
      </w:pPr>
      <w:r>
        <w:t xml:space="preserve">Shallow bays like these do not degrade gradually. They absorb nutrients for years with little visible change, then</w:t>
      </w:r>
      <w:r>
        <w:t xml:space="preserve"> </w:t>
      </w:r>
      <w:r>
        <w:rPr>
          <w:bCs/>
          <w:b/>
        </w:rPr>
        <w:t xml:space="preserve">flip</w:t>
      </w:r>
      <w:r>
        <w:t xml:space="preserve"> </w:t>
      </w:r>
      <w:r>
        <w:t xml:space="preserve">— from clear water with grass on the bottom to cloudy water dominated by algae.</w:t>
      </w:r>
    </w:p>
    <w:p>
      <w:pPr>
        <w:pStyle w:val="BodyText"/>
      </w:pPr>
      <w:r>
        <w:rPr>
          <w:bCs/>
          <w:b/>
        </w:rPr>
        <w:t xml:space="preserve">Subhead: Why marshes collapse when fertilised</w:t>
      </w:r>
    </w:p>
    <w:p>
      <w:pPr>
        <w:pStyle w:val="BodyText"/>
      </w:pPr>
      <w:r>
        <w:t xml:space="preserve">A creek bank is held together not by the stems you can see but by the dense mat of</w:t>
      </w:r>
      <w:r>
        <w:t xml:space="preserve"> </w:t>
      </w:r>
      <w:r>
        <w:rPr>
          <w:bCs/>
          <w:b/>
        </w:rPr>
        <w:t xml:space="preserve">roots and rhizomes</w:t>
      </w:r>
      <w:r>
        <w:t xml:space="preserve"> </w:t>
      </w:r>
      <w:r>
        <w:t xml:space="preserve">beneath it. Given abundant nitrogen, marsh grass stops investing in deep roots and puts growth into leaves instead — while the extra nitrogen also speeds microbial</w:t>
      </w:r>
      <w:r>
        <w:t xml:space="preserve"> </w:t>
      </w:r>
      <w:r>
        <w:rPr>
          <w:bCs/>
          <w:b/>
        </w:rPr>
        <w:t xml:space="preserve">decay of the peat</w:t>
      </w:r>
      <w:r>
        <w:t xml:space="preserve"> </w:t>
      </w:r>
      <w:r>
        <w:t xml:space="preserve">itself. The marsh looks greener above while losing its structure below, and banks crack and slump into the channel (Deegan et al. 2012).</w:t>
      </w:r>
    </w:p>
    <w:p>
      <w:pPr>
        <w:pStyle w:val="BodyText"/>
      </w:pPr>
      <w:r>
        <w:rPr>
          <w:iCs/>
          <w:i/>
        </w:rPr>
        <w:t xml:space="preserve">(Place this after the callout box below.)</w:t>
      </w:r>
    </w:p>
    <w:p>
      <w:pPr>
        <w:pStyle w:val="BodyText"/>
      </w:pPr>
      <w:r>
        <w:rPr>
          <w:bCs/>
          <w:b/>
        </w:rPr>
        <w:t xml:space="preserve">Callout box (deep blue, white text):</w:t>
      </w:r>
      <w:r>
        <w:t xml:space="preserve"> </w:t>
      </w:r>
      <w:r>
        <w:t xml:space="preserve">&gt;</w:t>
      </w:r>
      <w:r>
        <w:t xml:space="preserve"> </w:t>
      </w:r>
      <w:r>
        <w:rPr>
          <w:bCs/>
          <w:b/>
        </w:rPr>
        <w:t xml:space="preserve">And the flip is hard to undo.</w:t>
      </w:r>
      <w:r>
        <w:t xml:space="preserve"> </w:t>
      </w:r>
      <w:r>
        <w:t xml:space="preserve">Once the grass is gone the water stays cloudy, so light cannot reach the bottom, so grass cannot re-establish — even if nutrients fall back to where they started. That is the argument for</w:t>
      </w:r>
      <w:r>
        <w:t xml:space="preserve"> </w:t>
      </w:r>
      <w:r>
        <w:rPr>
          <w:iCs/>
          <w:i/>
        </w:rPr>
        <w:t xml:space="preserve">prevention</w:t>
      </w:r>
      <w:r>
        <w:t xml:space="preserve"> </w:t>
      </w:r>
      <w:r>
        <w:t xml:space="preserve">over restoration.</w:t>
      </w:r>
    </w:p>
    <w:p>
      <w:r>
        <w:pict>
          <v:rect style="width:0;height:1.5pt" o:hralign="center" o:hrstd="t" o:hr="t"/>
        </w:pict>
      </w:r>
    </w:p>
    <w:bookmarkEnd w:id="28"/>
    <w:bookmarkEnd w:id="29"/>
    <w:bookmarkStart w:id="30" w:name="column-4-what-sits-downstream"/>
    <w:p>
      <w:pPr>
        <w:pStyle w:val="Heading2"/>
      </w:pPr>
      <w:r>
        <w:t xml:space="preserve">6. Column 4 — What Sits Downstream</w:t>
      </w:r>
    </w:p>
    <w:p>
      <w:pPr>
        <w:pStyle w:val="FirstParagraph"/>
      </w:pPr>
      <w:r>
        <w:rPr>
          <w:iCs/>
          <w:i/>
        </w:rPr>
        <w:t xml:space="preserve">Accent color: marsh green</w:t>
      </w:r>
      <w:r>
        <w:rPr>
          <w:iCs/>
          <w:i/>
        </w:rPr>
        <w:t xml:space="preserve"> </w:t>
      </w:r>
      <w:r>
        <w:rPr>
          <w:rStyle w:val="VerbatimChar"/>
          <w:iCs/>
          <w:i/>
        </w:rPr>
        <w:t xml:space="preserve">#4a7c4e</w:t>
      </w:r>
    </w:p>
    <w:p>
      <w:pPr>
        <w:pStyle w:val="BlockText"/>
      </w:pPr>
      <w:r>
        <w:rPr>
          <w:bCs/>
          <w:b/>
        </w:rPr>
        <w:t xml:space="preserve">Reframed from the first draft.</w:t>
      </w:r>
      <w:r>
        <w:t xml:space="preserve"> </w:t>
      </w:r>
      <w:r>
        <w:t xml:space="preserve">The original version implied that failing septic systems are currently threatening the seagrass restoration and the aquaculture economy. That overstates the evidence. This version presents the assets, establishes that the system has limited buffer capacity, and states plainly what has not been measured.</w:t>
      </w:r>
    </w:p>
    <w:p>
      <w:pPr>
        <w:pStyle w:val="FirstParagraph"/>
      </w:pPr>
      <w:r>
        <w:rPr>
          <w:bCs/>
          <w:b/>
        </w:rPr>
        <w:t xml:space="preserve">Intro:</w:t>
      </w:r>
      <w:r>
        <w:t xml:space="preserve"> </w:t>
      </w:r>
      <w:r>
        <w:t xml:space="preserve">The Shore has recovered ecological assets that most of the Atlantic coast lost permanently. They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that restored meadow — the only recovery of its kind</w:t>
      </w:r>
    </w:p>
    <w:p>
      <w:pPr>
        <w:pStyle w:val="BodyText"/>
      </w:pPr>
      <w:r>
        <w:rPr>
          <w:bCs/>
          <w:b/>
        </w:rPr>
        <w:t xml:space="preserve">Paired stat blocks (green):</w:t>
      </w:r>
      <w:r>
        <w:t xml:space="preserve"> </w:t>
      </w:r>
      <w:r>
        <w:t xml:space="preserve">&gt;</w:t>
      </w:r>
      <w:r>
        <w:t xml:space="preserve"> </w:t>
      </w: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t xml:space="preserve">&gt;</w:t>
      </w:r>
      <w:r>
        <w:t xml:space="preserve"> </w:t>
      </w:r>
      <w:r>
        <w:rPr>
          <w:bCs/>
          <w:b/>
        </w:rPr>
        <w:t xml:space="preserve">700+</w:t>
      </w:r>
      <w:r>
        <w:t xml:space="preserve"> </w:t>
      </w:r>
      <w:r>
        <w:t xml:space="preserve">— industry jobs, up from ~480 in 2018 (Hudson/VIMS 2025)</w:t>
      </w:r>
    </w:p>
    <w:p>
      <w:pPr>
        <w:pStyle w:val="BodyText"/>
      </w:pPr>
      <w:r>
        <w:rPr>
          <w:bCs/>
          <w:b/>
        </w:rPr>
        <w:t xml:space="preserve">Subhead: Why the margin is thin</w:t>
      </w:r>
    </w:p>
    <w:p>
      <w:pPr>
        <w:pStyle w:val="BodyText"/>
      </w:pPr>
      <w:r>
        <w:t xml:space="preserve">These systems are not currently degraded by septic pollution. They are, however, demonstrably</w:t>
      </w:r>
      <w:r>
        <w:t xml:space="preserve"> </w:t>
      </w:r>
      <w:r>
        <w:rPr>
          <w:iCs/>
          <w:i/>
        </w:rPr>
        <w:t xml:space="preserve">perturbable</w:t>
      </w:r>
      <w:r>
        <w:t xml:space="preserve"> </w:t>
      </w:r>
      <w:r>
        <w:t xml:space="preserve">— which is what makes an additional and growing stressor consequential.</w:t>
      </w:r>
    </w:p>
    <w:p>
      <w:pPr>
        <w:numPr>
          <w:ilvl w:val="0"/>
          <w:numId w:val="1002"/>
        </w:numPr>
        <w:pStyle w:val="Compact"/>
      </w:pPr>
      <w:r>
        <w:t xml:space="preserve">The 2015 marine heat wave caused</w:t>
      </w:r>
      <w:r>
        <w:t xml:space="preserve"> </w:t>
      </w:r>
      <w:r>
        <w:rPr>
          <w:bCs/>
          <w:b/>
        </w:rPr>
        <w:t xml:space="preserve">~50% areal eelgrass loss</w:t>
      </w:r>
      <w:r>
        <w:t xml:space="preserve"> </w:t>
      </w:r>
      <w:r>
        <w:t xml:space="preserve">in South and Hog Island Bays; recovery is still incomplete.</w:t>
      </w:r>
    </w:p>
    <w:p>
      <w:pPr>
        <w:numPr>
          <w:ilvl w:val="0"/>
          <w:numId w:val="1002"/>
        </w:numPr>
        <w:pStyle w:val="Compact"/>
      </w:pPr>
      <w:r>
        <w:t xml:space="preserve">Warming</w:t>
      </w:r>
      <w:r>
        <w:t xml:space="preserve"> </w:t>
      </w:r>
      <w:r>
        <w:rPr>
          <w:bCs/>
          <w:b/>
        </w:rPr>
        <w:t xml:space="preserve">lowers eelgrass tolerance for nutrients</w:t>
      </w:r>
      <w:r>
        <w:t xml:space="preserve"> </w:t>
      </w:r>
      <w:r>
        <w:t xml:space="preserve">(Lefcheck et al. 2017). The link is</w:t>
      </w:r>
      <w:r>
        <w:t xml:space="preserve"> </w:t>
      </w:r>
      <w:r>
        <w:rPr>
          <w:bCs/>
          <w:b/>
        </w:rPr>
        <w:t xml:space="preserve">light</w:t>
      </w:r>
      <w:r>
        <w:t xml:space="preserve">: warm water forces the plant to respire faster, so it needs</w:t>
      </w:r>
      <w:r>
        <w:t xml:space="preserve"> </w:t>
      </w:r>
      <w:r>
        <w:rPr>
          <w:iCs/>
          <w:i/>
        </w:rPr>
        <w:t xml:space="preserve">more</w:t>
      </w:r>
      <w:r>
        <w:t xml:space="preserve"> </w:t>
      </w:r>
      <w:r>
        <w:t xml:space="preserve">light to break even — while nutrients feed a film of algae on the blades and in the water that delivers</w:t>
      </w:r>
      <w:r>
        <w:t xml:space="preserve"> </w:t>
      </w:r>
      <w:r>
        <w:rPr>
          <w:iCs/>
          <w:i/>
        </w:rPr>
        <w:t xml:space="preserve">less</w:t>
      </w:r>
      <w:r>
        <w:t xml:space="preserve">. The two stressors squeeze from opposite sides.</w:t>
      </w:r>
    </w:p>
    <w:p>
      <w:pPr>
        <w:numPr>
          <w:ilvl w:val="0"/>
          <w:numId w:val="1002"/>
        </w:numPr>
        <w:pStyle w:val="Compact"/>
      </w:pPr>
      <w:r>
        <w:t xml:space="preserve">Fecal-indicator exceedance in tidal waters rises from</w:t>
      </w:r>
      <w:r>
        <w:t xml:space="preserve"> </w:t>
      </w:r>
      <w:r>
        <w:rPr>
          <w:bCs/>
          <w:b/>
        </w:rPr>
        <w:t xml:space="preserve">~7% on dry days to ~37%</w:t>
      </w:r>
      <w:r>
        <w:t xml:space="preserve"> </w:t>
      </w:r>
      <w:r>
        <w:t xml:space="preserve">after ≥1 inch of rain (Zimmer-Faust et al. 2018).</w:t>
      </w:r>
    </w:p>
    <w:p>
      <w:pPr>
        <w:numPr>
          <w:ilvl w:val="0"/>
          <w:numId w:val="1002"/>
        </w:numPr>
        <w:pStyle w:val="Compact"/>
      </w:pPr>
      <w:r>
        <w:t xml:space="preserve">Sea-level-vulnerable septic systems concentrate in the low-lying shoreline parcels that sit</w:t>
      </w:r>
      <w:r>
        <w:t xml:space="preserve"> </w:t>
      </w:r>
      <w:r>
        <w:rPr>
          <w:bCs/>
          <w:b/>
        </w:rPr>
        <w:t xml:space="preserve">directly above classified shellfish waters</w:t>
      </w:r>
      <w:r>
        <w:t xml:space="preserve">. Oyster, Willis Wharf, Quinby, Wachapreague, Saxis, Chincoteague and Cape Charles are named as particularly exposed (Mitchell et al. 2021; Va. Wastewater Infrastructure Working Group, RD883, 2021).</w:t>
      </w:r>
    </w:p>
    <w:p>
      <w:pPr>
        <w:pStyle w:val="FirstParagraph"/>
      </w:pPr>
      <w:r>
        <w:rPr>
          <w:bCs/>
          <w:b/>
        </w:rPr>
        <w:t xml:space="preserve">Limits box (light blue fill, dashed blue border) —</w:t>
      </w:r>
      <w:r>
        <w:rPr>
          <w:bCs/>
          <w:b/>
        </w:rPr>
        <w:t xml:space="preserve"> </w:t>
      </w:r>
      <w:r>
        <w:rPr>
          <w:bCs/>
          <w:b/>
        </w:rPr>
        <w:t xml:space="preserve">“</w:t>
      </w:r>
      <w:r>
        <w:rPr>
          <w:bCs/>
          <w:b/>
        </w:rPr>
        <w:t xml:space="preserve">What we cannot yet say</w:t>
      </w:r>
      <w:r>
        <w:rPr>
          <w:bCs/>
          <w:b/>
        </w:rPr>
        <w:t xml:space="preserve">”</w:t>
      </w:r>
      <w:r>
        <w:rPr>
          <w:bCs/>
          <w:b/>
        </w:rPr>
        <w:t xml:space="preserve">:</w:t>
      </w:r>
      <w:r>
        <w:t xml:space="preserve"> </w:t>
      </w:r>
      <w:r>
        <w:t xml:space="preserve">- No ESVA study has apportioned creek or lagoon nitrogen among</w:t>
      </w:r>
      <w:r>
        <w:t xml:space="preserve"> </w:t>
      </w:r>
      <w:r>
        <w:rPr>
          <w:bCs/>
          <w:b/>
        </w:rPr>
        <w:t xml:space="preserve">septic, agriculture and atmospheric</w:t>
      </w:r>
      <w:r>
        <w:t xml:space="preserve"> </w:t>
      </w:r>
      <w:r>
        <w:t xml:space="preserve">sources.</w:t>
      </w:r>
      <w:r>
        <w:t xml:space="preserve"> </w:t>
      </w:r>
      <w:r>
        <w:t xml:space="preserve">- No ESVA study has traced shellfish closures to</w:t>
      </w:r>
      <w:r>
        <w:t xml:space="preserve"> </w:t>
      </w:r>
      <w:r>
        <w:rPr>
          <w:bCs/>
          <w:b/>
        </w:rPr>
        <w:t xml:space="preserve">human</w:t>
      </w:r>
      <w:r>
        <w:t xml:space="preserve"> </w:t>
      </w:r>
      <w:r>
        <w:t xml:space="preserve">versus wildlife or livestock sources.</w:t>
      </w:r>
      <w:r>
        <w:t xml:space="preserve"> </w:t>
      </w:r>
      <w:r>
        <w:t xml:space="preserve">- Seaside nutrient concentrations remain</w:t>
      </w:r>
      <w:r>
        <w:t xml:space="preserve"> </w:t>
      </w:r>
      <w:r>
        <w:rPr>
          <w:bCs/>
          <w:b/>
        </w:rPr>
        <w:t xml:space="preserve">low</w:t>
      </w:r>
      <w:r>
        <w:t xml:space="preserve"> </w:t>
      </w:r>
      <w:r>
        <w:t xml:space="preserve">by global standards; the documented eelgrass threat to date has been</w:t>
      </w:r>
      <w:r>
        <w:t xml:space="preserve"> </w:t>
      </w:r>
      <w:r>
        <w:rPr>
          <w:bCs/>
          <w:b/>
        </w:rPr>
        <w:t xml:space="preserve">thermal</w:t>
      </w:r>
      <w:r>
        <w:t xml:space="preserve">, not nutrient.</w:t>
      </w:r>
    </w:p>
    <w:p>
      <w:pPr>
        <w:pStyle w:val="BlockText"/>
      </w:pPr>
      <w:r>
        <w:rPr>
          <w:bCs/>
          <w:b/>
        </w:rPr>
        <w:t xml:space="preserve">The defensible claim is precautionary, not diagnostic:</w:t>
      </w:r>
      <w:r>
        <w:t xml:space="preserve"> </w:t>
      </w:r>
      <w:r>
        <w:t xml:space="preserve">a globally significant, inherently sensitive, hard-to-restore system sits downstream of a stressor that is</w:t>
      </w:r>
      <w:r>
        <w:t xml:space="preserve"> </w:t>
      </w:r>
      <w:r>
        <w:rPr>
          <w:iCs/>
          <w:i/>
        </w:rPr>
        <w:t xml:space="preserve">growing</w:t>
      </w:r>
      <w:r>
        <w:t xml:space="preserve"> </w:t>
      </w:r>
      <w:r>
        <w:t xml:space="preserve">— and nobody has measured its contribution.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3"/>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 — and it is the single measurement that would convert this poster’s argument from precautionary to quantitative.</w:t>
      </w:r>
    </w:p>
    <w:p>
      <w:pPr>
        <w:numPr>
          <w:ilvl w:val="0"/>
          <w:numId w:val="1003"/>
        </w:numPr>
        <w:pStyle w:val="Compact"/>
      </w:pPr>
      <w:r>
        <w:rPr>
          <w:bCs/>
          <w:b/>
        </w:rPr>
        <w:t xml:space="preserve">Microbial source tracking for shellfish closures.</w:t>
      </w:r>
      <w:r>
        <w:t xml:space="preserve"> </w:t>
      </w:r>
      <w:r>
        <w:t xml:space="preserve">HF183, crAssphage and enteric-virus panels to apportion closure days among human, wildlife, livestock and stormwater sources — never quantitatively closed for ESVA.</w:t>
      </w:r>
    </w:p>
    <w:p>
      <w:pPr>
        <w:numPr>
          <w:ilvl w:val="0"/>
          <w:numId w:val="1003"/>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3"/>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3"/>
        </w:numPr>
        <w:pStyle w:val="Compact"/>
      </w:pPr>
      <w:r>
        <w:rPr>
          <w:bCs/>
          <w:b/>
        </w:rPr>
        <w:t xml:space="preserve">Nutrient safety-margin modeling</w:t>
      </w:r>
      <w:r>
        <w:t xml:space="preserve"> </w:t>
      </w:r>
      <w:r>
        <w:t xml:space="preserve">coupling groundwater nitrogen delivery to eelgrass condition and bay scallop recruitment under warming.</w:t>
      </w:r>
    </w:p>
    <w:p>
      <w:pPr>
        <w:numPr>
          <w:ilvl w:val="0"/>
          <w:numId w:val="1003"/>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4"/>
        </w:numPr>
        <w:pStyle w:val="Compact"/>
      </w:pPr>
      <w:r>
        <w:t xml:space="preserve">Failure risk is</w:t>
      </w:r>
      <w:r>
        <w:t xml:space="preserve"> </w:t>
      </w:r>
      <w:r>
        <w:rPr>
          <w:bCs/>
          <w:b/>
        </w:rPr>
        <w:t xml:space="preserve">climate-driven and progressive</w:t>
      </w:r>
      <w:r>
        <w:t xml:space="preserve"> </w:t>
      </w:r>
      <w:r>
        <w:t xml:space="preserve">— sustained infrastructure investment, not a one-time retrofit.</w:t>
      </w:r>
    </w:p>
    <w:p>
      <w:pPr>
        <w:numPr>
          <w:ilvl w:val="0"/>
          <w:numId w:val="1004"/>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4"/>
        </w:numPr>
        <w:pStyle w:val="Compact"/>
      </w:pPr>
      <w:r>
        <w:t xml:space="preserve">Conventional systems remove little nitrogen even when working —</w:t>
      </w:r>
      <w:r>
        <w:t xml:space="preserve"> </w:t>
      </w:r>
      <w:r>
        <w:rPr>
          <w:bCs/>
          <w:b/>
        </w:rPr>
        <w:t xml:space="preserve">nitrogen reduction requires advanced systems or sewer</w:t>
      </w:r>
      <w:r>
        <w:t xml:space="preserve">, not just repair.</w:t>
      </w:r>
    </w:p>
    <w:p>
      <w:pPr>
        <w:numPr>
          <w:ilvl w:val="0"/>
          <w:numId w:val="1004"/>
        </w:numPr>
        <w:pStyle w:val="Compact"/>
      </w:pPr>
      <w:r>
        <w:t xml:space="preserve">PFAS and pharmaceutical loading is</w:t>
      </w:r>
      <w:r>
        <w:t xml:space="preserve"> </w:t>
      </w:r>
      <w:r>
        <w:rPr>
          <w:bCs/>
          <w:b/>
        </w:rPr>
        <w:t xml:space="preserve">not</w:t>
      </w:r>
      <w:r>
        <w:t xml:space="preserve"> </w:t>
      </w:r>
      <w:r>
        <w:t xml:space="preserve">addressed by septic repair or mound systems.</w:t>
      </w:r>
    </w:p>
    <w:p>
      <w:pPr>
        <w:numPr>
          <w:ilvl w:val="0"/>
          <w:numId w:val="1004"/>
        </w:numPr>
        <w:pStyle w:val="Compact"/>
      </w:pPr>
      <w:r>
        <w:t xml:space="preserve">Target cost-share to</w:t>
      </w:r>
      <w:r>
        <w:t xml:space="preserve"> </w:t>
      </w:r>
      <w:r>
        <w:rPr>
          <w:bCs/>
          <w:b/>
        </w:rPr>
        <w:t xml:space="preserve">sub-basins</w:t>
      </w:r>
      <w:r>
        <w:t xml:space="preserve"> </w:t>
      </w:r>
      <w:r>
        <w:t xml:space="preserve">where septic density and shellfish closures overlap.</w:t>
      </w:r>
    </w:p>
    <w:p>
      <w:pPr>
        <w:numPr>
          <w:ilvl w:val="0"/>
          <w:numId w:val="1004"/>
        </w:numPr>
        <w:pStyle w:val="Compact"/>
      </w:pPr>
      <w:r>
        <w:t xml:space="preserve">Cross-reference</w:t>
      </w:r>
      <w:r>
        <w:t xml:space="preserve"> </w:t>
      </w:r>
      <w:r>
        <w:rPr>
          <w:bCs/>
          <w:b/>
        </w:rPr>
        <w:t xml:space="preserve">new subdivision approvals</w:t>
      </w:r>
      <w:r>
        <w:t xml:space="preserve"> </w:t>
      </w:r>
      <w:r>
        <w:t xml:space="preserve">against projected 2040 groundwater depth.</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top to bottom:</w:t>
      </w:r>
      <w:r>
        <w:t xml:space="preserve"> </w:t>
      </w:r>
      <w:r>
        <w:t xml:space="preserve">1.</w:t>
      </w:r>
      <w:r>
        <w:t xml:space="preserve"> </w:t>
      </w:r>
      <w:r>
        <w:rPr>
          <w:bCs/>
          <w:b/>
        </w:rPr>
        <w:t xml:space="preserve">Sky band</w:t>
      </w:r>
      <w:r>
        <w:t xml:space="preserve"> </w:t>
      </w:r>
      <w:r>
        <w:t xml:space="preserve">—</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w:t>
      </w:r>
      <w:r>
        <w:t xml:space="preserve"> </w:t>
      </w:r>
      <w:r>
        <w:rPr>
          <w:rStyle w:val="VerbatimChar"/>
        </w:rPr>
        <w:t xml:space="preserve">#e0cfa8</w:t>
      </w:r>
      <w:r>
        <w:t xml:space="preserve"> </w:t>
      </w:r>
      <w:r>
        <w:t xml:space="preserve">3.</w:t>
      </w:r>
      <w:r>
        <w:t xml:space="preserve"> </w:t>
      </w:r>
      <w:r>
        <w:rPr>
          <w:bCs/>
          <w:b/>
        </w:rPr>
        <w:t xml:space="preserve">Columbia aquifer</w:t>
      </w:r>
      <w:r>
        <w:t xml:space="preserve"> </w:t>
      </w:r>
      <w:r>
        <w:t xml:space="preserve">(saturated, shallow) —</w:t>
      </w:r>
      <w:r>
        <w:t xml:space="preserve"> </w:t>
      </w:r>
      <w:r>
        <w:rPr>
          <w:rStyle w:val="VerbatimChar"/>
        </w:rPr>
        <w:t xml:space="preserve">#8fc3d8</w:t>
      </w:r>
      <w:r>
        <w:t xml:space="preserve"> </w:t>
      </w:r>
      <w:r>
        <w:t xml:space="preserve">— label</w:t>
      </w:r>
      <w:r>
        <w:t xml:space="preserve"> </w:t>
      </w:r>
      <w:r>
        <w:rPr>
          <w:iCs/>
          <w:i/>
        </w:rPr>
        <w:t xml:space="preserve">COLUMBIA aquifer (shallow, unconfined)</w:t>
      </w:r>
      <w:r>
        <w:t xml:space="preserve"> </w:t>
      </w:r>
      <w:r>
        <w:t xml:space="preserve">4.</w:t>
      </w:r>
      <w:r>
        <w:t xml:space="preserve"> </w:t>
      </w:r>
      <w:r>
        <w:rPr>
          <w:bCs/>
          <w:b/>
        </w:rPr>
        <w:t xml:space="preserve">Confining clay</w:t>
      </w:r>
      <w:r>
        <w:t xml:space="preserve"> </w:t>
      </w:r>
      <w:r>
        <w:t xml:space="preserve">(thin band) —</w:t>
      </w:r>
      <w:r>
        <w:t xml:space="preserve"> </w:t>
      </w:r>
      <w:r>
        <w:rPr>
          <w:rStyle w:val="VerbatimChar"/>
        </w:rPr>
        <w:t xml:space="preserve">#9c8f7a</w:t>
      </w:r>
      <w:r>
        <w:t xml:space="preserve"> </w:t>
      </w:r>
      <w:r>
        <w:t xml:space="preserve">— label</w:t>
      </w:r>
      <w:r>
        <w:t xml:space="preserve"> </w:t>
      </w:r>
      <w:r>
        <w:rPr>
          <w:iCs/>
          <w:i/>
        </w:rPr>
        <w:t xml:space="preserve">confining clay</w:t>
      </w:r>
      <w:r>
        <w:t xml:space="preserve"> </w:t>
      </w:r>
      <w:r>
        <w:t xml:space="preserve">5.</w:t>
      </w:r>
      <w:r>
        <w:t xml:space="preserve"> </w:t>
      </w:r>
      <w:r>
        <w:rPr>
          <w:bCs/>
          <w:b/>
        </w:rPr>
        <w:t xml:space="preserve">Yorktown–Eastover aquifer</w:t>
      </w:r>
      <w:r>
        <w:t xml:space="preserve"> </w:t>
      </w:r>
      <w:r>
        <w:t xml:space="preserve">(deeper) —</w:t>
      </w:r>
      <w:r>
        <w:t xml:space="preserve"> </w:t>
      </w:r>
      <w:r>
        <w:rPr>
          <w:rStyle w:val="VerbatimChar"/>
        </w:rPr>
        <w:t xml:space="preserve">#6fa8c4</w:t>
      </w:r>
      <w:r>
        <w:t xml:space="preserve"> </w:t>
      </w:r>
      <w:r>
        <w:t xml:space="preserve">— label</w:t>
      </w:r>
      <w:r>
        <w:t xml:space="preserve"> </w:t>
      </w:r>
      <w:r>
        <w:rPr>
          <w:iCs/>
          <w:i/>
        </w:rPr>
        <w:t xml:space="preserve">YORKTOWN–EASTOVER (deeper, confined — most public supply)</w:t>
      </w:r>
      <w:r>
        <w:t xml:space="preserve"> </w:t>
      </w:r>
      <w:r>
        <w:t xml:space="preserve">6.</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wavy top edge</w:t>
      </w:r>
    </w:p>
    <w:p>
      <w:pPr>
        <w:pStyle w:val="BlockText"/>
      </w:pPr>
      <w:r>
        <w:t xml:space="preserve">The two-aquifer stack is a</w:t>
      </w:r>
      <w:r>
        <w:t xml:space="preserve"> </w:t>
      </w:r>
      <w:r>
        <w:rPr>
          <w:bCs/>
          <w:b/>
        </w:rPr>
        <w:t xml:space="preserve">deliberate addition</w:t>
      </w:r>
      <w:r>
        <w:t xml:space="preserve"> </w:t>
      </w:r>
      <w:r>
        <w:t xml:space="preserve">in v2. It shows why septic contamination is primarily a</w:t>
      </w:r>
      <w:r>
        <w:t xml:space="preserve"> </w:t>
      </w:r>
      <w:r>
        <w:rPr>
          <w:iCs/>
          <w:i/>
        </w:rPr>
        <w:t xml:space="preserve">shallow</w:t>
      </w:r>
      <w:r>
        <w:t xml:space="preserve"> </w:t>
      </w:r>
      <w:r>
        <w:t xml:space="preserve">aquifer problem, why shallow private wells are more exposed than deep public-supply wells, and why the confining clay matters. It carries the drinking-water point without needing extra text.</w:t>
      </w:r>
    </w:p>
    <w:p>
      <w:pPr>
        <w:pStyle w:val="FirstParagraph"/>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pathogens move with the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5"/>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5"/>
        </w:numPr>
        <w:pStyle w:val="Compact"/>
      </w:pPr>
      <w:r>
        <w:t xml:space="preserve">Press</w:t>
      </w:r>
      <w:r>
        <w:t xml:space="preserve"> </w:t>
      </w:r>
      <w:r>
        <w:rPr>
          <w:bCs/>
          <w:b/>
        </w:rPr>
        <w:t xml:space="preserve">Ctrl/Cmd + P</w:t>
      </w:r>
      <w:r>
        <w:t xml:space="preserve">.</w:t>
      </w:r>
    </w:p>
    <w:p>
      <w:pPr>
        <w:numPr>
          <w:ilvl w:val="0"/>
          <w:numId w:val="1005"/>
        </w:numPr>
        <w:pStyle w:val="Compact"/>
      </w:pPr>
      <w:r>
        <w:t xml:space="preserve">Destination:</w:t>
      </w:r>
      <w:r>
        <w:t xml:space="preserve"> </w:t>
      </w:r>
      <w:r>
        <w:rPr>
          <w:bCs/>
          <w:b/>
        </w:rPr>
        <w:t xml:space="preserve">Save as PDF</w:t>
      </w:r>
    </w:p>
    <w:p>
      <w:pPr>
        <w:numPr>
          <w:ilvl w:val="0"/>
          <w:numId w:val="1005"/>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5"/>
        </w:numPr>
        <w:pStyle w:val="Compact"/>
      </w:pPr>
      <w:r>
        <w:t xml:space="preserve">Margins:</w:t>
      </w:r>
      <w:r>
        <w:t xml:space="preserve"> </w:t>
      </w:r>
      <w:r>
        <w:rPr>
          <w:bCs/>
          <w:b/>
        </w:rPr>
        <w:t xml:space="preserve">None</w:t>
      </w:r>
    </w:p>
    <w:p>
      <w:pPr>
        <w:numPr>
          <w:ilvl w:val="0"/>
          <w:numId w:val="1005"/>
        </w:numPr>
        <w:pStyle w:val="Compact"/>
      </w:pPr>
      <w:r>
        <w:rPr>
          <w:bCs/>
          <w:b/>
        </w:rPr>
        <w:t xml:space="preserve">Background graphics: ON</w:t>
      </w:r>
      <w:r>
        <w:t xml:space="preserve"> </w:t>
      </w:r>
      <w:r>
        <w:t xml:space="preserve">← essential, or all color blocks disappear</w:t>
      </w:r>
    </w:p>
    <w:p>
      <w:pPr>
        <w:numPr>
          <w:ilvl w:val="0"/>
          <w:numId w:val="1005"/>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6"/>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6"/>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6"/>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6"/>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6"/>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6"/>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6"/>
        </w:numPr>
        <w:pStyle w:val="Compact"/>
      </w:pPr>
      <w:r>
        <w:t xml:space="preserve">☐ Proofread the pathway table — it is the densest text on the poster</w:t>
      </w:r>
    </w:p>
    <w:p>
      <w:pPr>
        <w:numPr>
          <w:ilvl w:val="0"/>
          <w:numId w:val="1006"/>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6"/>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 covering</w:t>
            </w:r>
            <w:r>
              <w:t xml:space="preserve"> </w:t>
            </w:r>
            <w:r>
              <w:rPr>
                <w:bCs/>
                <w:b/>
              </w:rPr>
              <w:t xml:space="preserve">both</w:t>
            </w:r>
            <w:r>
              <w:t xml:space="preserve"> </w:t>
            </w:r>
            <w:r>
              <w:t xml:space="preserve">the Columbia</w:t>
            </w:r>
            <w:r>
              <w:t xml:space="preserve"> </w:t>
            </w:r>
            <w:r>
              <w:rPr>
                <w:bCs/>
                <w:b/>
              </w:rPr>
              <w:t xml:space="preserve">and</w:t>
            </w:r>
            <w:r>
              <w:t xml:space="preserve"> </w:t>
            </w:r>
            <w:r>
              <w:t xml:space="preserve">Yorktown–Eastover aquifer systems (excluding Chincoteague and Tangier islands)</w:t>
            </w:r>
          </w:p>
        </w:tc>
        <w:tc>
          <w:tcPr/>
          <w:p>
            <w:pPr>
              <w:pStyle w:val="Compact"/>
              <w:jc w:val="left"/>
            </w:pPr>
            <w:r>
              <w:t xml:space="preserve">✅ Verified —</w:t>
            </w:r>
            <w:r>
              <w:t xml:space="preserve"> </w:t>
            </w:r>
            <w:r>
              <w:rPr>
                <w:bCs/>
                <w:b/>
              </w:rPr>
              <w:t xml:space="preserve">corrected in v2</w:t>
            </w:r>
          </w:p>
        </w:tc>
        <w:tc>
          <w:tcPr/>
          <w:p>
            <w:pPr>
              <w:pStyle w:val="Compact"/>
              <w:jc w:val="left"/>
            </w:pPr>
            <w:r>
              <w:rPr>
                <w:iCs/>
                <w:i/>
              </w:rPr>
              <w:t xml:space="preserve">Federal Register</w:t>
            </w:r>
            <w:r>
              <w:t xml:space="preserve"> </w:t>
            </w:r>
            <w:r>
              <w:t xml:space="preserve">62(68), April 9, 1997</w:t>
            </w:r>
          </w:p>
        </w:tc>
      </w:tr>
      <w:tr>
        <w:tc>
          <w:tcPr/>
          <w:p>
            <w:pPr>
              <w:pStyle w:val="Compact"/>
              <w:jc w:val="left"/>
            </w:pPr>
            <w:r>
              <w:t xml:space="preserve">Conventional septic systems remove only ~10–30% of nitrogen; drainfields nitrify rather than denitrify</w:t>
            </w:r>
          </w:p>
        </w:tc>
        <w:tc>
          <w:tcPr/>
          <w:p>
            <w:pPr>
              <w:pStyle w:val="Compact"/>
              <w:jc w:val="left"/>
            </w:pPr>
            <w:r>
              <w:t xml:space="preserve">✅ Verified</w:t>
            </w:r>
          </w:p>
        </w:tc>
        <w:tc>
          <w:tcPr/>
          <w:p>
            <w:pPr>
              <w:pStyle w:val="Compact"/>
              <w:jc w:val="left"/>
            </w:pPr>
            <w:r>
              <w:t xml:space="preserve">Standard onsite-wastewater engineering literature</w:t>
            </w:r>
          </w:p>
        </w:tc>
      </w:tr>
      <w:tr>
        <w:tc>
          <w:tcPr/>
          <w:p>
            <w:pPr>
              <w:pStyle w:val="Compact"/>
              <w:jc w:val="left"/>
            </w:pPr>
            <w:r>
              <w:t xml:space="preserve">PFAS and pharmaceuticals pass through septic soil treatment essentially unaltered</w:t>
            </w:r>
          </w:p>
        </w:tc>
        <w:tc>
          <w:tcPr/>
          <w:p>
            <w:pPr>
              <w:pStyle w:val="Compact"/>
              <w:jc w:val="left"/>
            </w:pPr>
            <w:r>
              <w:t xml:space="preserve">✅ Verified</w:t>
            </w:r>
          </w:p>
        </w:tc>
        <w:tc>
          <w:tcPr/>
          <w:p>
            <w:pPr>
              <w:pStyle w:val="Compact"/>
              <w:jc w:val="left"/>
            </w:pPr>
            <w:r>
              <w:t xml:space="preserve">Consistent across the septic-contaminant literature; also stated in this project’s earlier synthesis</w:t>
            </w:r>
          </w:p>
        </w:tc>
      </w:tr>
      <w:tr>
        <w:tc>
          <w:tcPr/>
          <w:p>
            <w:pPr>
              <w:pStyle w:val="Compact"/>
              <w:jc w:val="left"/>
            </w:pPr>
            <w:r>
              <w:t xml:space="preserve">Phosphorus is retarded by soil sorption until that system’s finite binding capacity is exhausted, then breaks through; plumes advance ~1 m/yr (retardation ≈20×) and can extend 70+ m from long-used systems in sandy soil; loading persists for years after decommissioning</w:t>
            </w:r>
          </w:p>
        </w:tc>
        <w:tc>
          <w:tcPr/>
          <w:p>
            <w:pPr>
              <w:pStyle w:val="Compact"/>
              <w:jc w:val="left"/>
            </w:pPr>
            <w:r>
              <w:t xml:space="preserve">✅ Verified</w:t>
            </w:r>
          </w:p>
        </w:tc>
        <w:tc>
          <w:tcPr/>
          <w:p>
            <w:pPr>
              <w:pStyle w:val="Compact"/>
              <w:jc w:val="left"/>
            </w:pPr>
            <w:r>
              <w:t xml:space="preserve">Robertson et al.,</w:t>
            </w:r>
            <w:r>
              <w:t xml:space="preserve"> </w:t>
            </w:r>
            <w:r>
              <w:rPr>
                <w:iCs/>
                <w:i/>
              </w:rPr>
              <w:t xml:space="preserve">Groundwater</w:t>
            </w:r>
            <w:r>
              <w:t xml:space="preserve"> </w:t>
            </w:r>
            <w:r>
              <w:t xml:space="preserve">(1999, 2008); review of P attenuation across 24 septic plumes,</w:t>
            </w:r>
            <w:r>
              <w:t xml:space="preserve"> </w:t>
            </w:r>
            <w:r>
              <w:rPr>
                <w:iCs/>
                <w:i/>
              </w:rPr>
              <w:t xml:space="preserve">Sci. Total Environ.</w:t>
            </w:r>
            <w:r>
              <w:t xml:space="preserve"> </w:t>
            </w:r>
            <w:r>
              <w:t xml:space="preserve">(2020)</w:t>
            </w:r>
          </w:p>
        </w:tc>
      </w:tr>
      <w:tr>
        <w:tc>
          <w:tcPr/>
          <w:p>
            <w:pPr>
              <w:pStyle w:val="Compact"/>
              <w:jc w:val="left"/>
            </w:pPr>
            <w:r>
              <w:t xml:space="preserve">Saturation/anoxia causes reductive dissolution of Fe-oxides, releasing bound phosphorus</w:t>
            </w:r>
          </w:p>
        </w:tc>
        <w:tc>
          <w:tcPr/>
          <w:p>
            <w:pPr>
              <w:pStyle w:val="Compact"/>
              <w:jc w:val="left"/>
            </w:pPr>
            <w:r>
              <w:t xml:space="preserve">✅ Mechanism verified —</w:t>
            </w:r>
            <w:r>
              <w:t xml:space="preserve"> </w:t>
            </w:r>
            <w:r>
              <w:rPr>
                <w:bCs/>
                <w:b/>
              </w:rPr>
              <w:t xml:space="preserve">note scope</w:t>
            </w:r>
          </w:p>
        </w:tc>
        <w:tc>
          <w:tcPr/>
          <w:p>
            <w:pPr>
              <w:pStyle w:val="Compact"/>
              <w:jc w:val="left"/>
            </w:pPr>
            <w:r>
              <w:t xml:space="preserve">Smith et al. 2021,</w:t>
            </w:r>
            <w:r>
              <w:t xml:space="preserve"> </w:t>
            </w:r>
            <w:r>
              <w:rPr>
                <w:iCs/>
                <w:i/>
              </w:rPr>
              <w:t xml:space="preserve">J. Environ. Qual.</w:t>
            </w:r>
            <w:r>
              <w:t xml:space="preserve"> </w:t>
            </w:r>
            <w:r>
              <w:t xml:space="preserve">50:1207. Demonstrated in</w:t>
            </w:r>
            <w:r>
              <w:t xml:space="preserve"> </w:t>
            </w:r>
            <w:r>
              <w:rPr>
                <w:bCs/>
                <w:b/>
              </w:rPr>
              <w:t xml:space="preserve">agricultural</w:t>
            </w:r>
            <w:r>
              <w:t xml:space="preserve"> </w:t>
            </w:r>
            <w:r>
              <w:t xml:space="preserve">soil profiles; extension to septic drainfields under rising water tables is a well-founded inference, not a directly cited septic study. Nitrate is a preferred electron acceptor over Fe, so nitrate-rich septic plumes may buffer the reaction.</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Zimmer-Faust et al. 2018,</w:t>
            </w:r>
            <w:r>
              <w:t xml:space="preserve"> </w:t>
            </w:r>
            <w:r>
              <w:rPr>
                <w:iCs/>
                <w:i/>
              </w:rPr>
              <w:t xml:space="preserve">Water Research</w:t>
            </w:r>
            <w:r>
              <w:t xml:space="preserve"> </w:t>
            </w:r>
            <w:r>
              <w:t xml:space="preserve">139:252–262</w:t>
            </w:r>
          </w:p>
        </w:tc>
      </w:tr>
    </w:tbl>
    <w:p>
      <w:pPr>
        <w:pStyle w:val="BodyText"/>
      </w:pPr>
      <w:r>
        <w:rPr>
          <w:bCs/>
          <w:b/>
        </w:rPr>
        <w:t xml:space="preserve">Added and verified in v5: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Nutrient enrichment increases above-ground leaf biomass,</w:t>
            </w:r>
            <w:r>
              <w:t xml:space="preserve"> </w:t>
            </w:r>
            <w:r>
              <w:rPr>
                <w:bCs/>
                <w:b/>
              </w:rPr>
              <w:t xml:space="preserve">decreases</w:t>
            </w:r>
            <w:r>
              <w:t xml:space="preserve"> </w:t>
            </w:r>
            <w:r>
              <w:t xml:space="preserve">below-ground bank-stabilising root biomass, and increases microbial decomposition — reducing geomorphic stability and causing creek-bank collapse</w:t>
            </w:r>
          </w:p>
        </w:tc>
        <w:tc>
          <w:tcPr/>
          <w:p>
            <w:pPr>
              <w:pStyle w:val="Compact"/>
              <w:jc w:val="left"/>
            </w:pPr>
            <w:r>
              <w:t xml:space="preserve">✅ Verified</w:t>
            </w:r>
          </w:p>
        </w:tc>
        <w:tc>
          <w:tcPr/>
          <w:p>
            <w:pPr>
              <w:pStyle w:val="Compact"/>
              <w:jc w:val="left"/>
            </w:pPr>
            <w:r>
              <w:t xml:space="preserve">Deegan et al. 2012,</w:t>
            </w:r>
            <w:r>
              <w:t xml:space="preserve"> </w:t>
            </w:r>
            <w:r>
              <w:rPr>
                <w:iCs/>
                <w:i/>
              </w:rPr>
              <w:t xml:space="preserve">Nature</w:t>
            </w:r>
            <w:r>
              <w:t xml:space="preserve"> </w:t>
            </w:r>
            <w:r>
              <w:t xml:space="preserve">490:388–392 (9-yr whole-ecosystem experiment).</w:t>
            </w:r>
            <w:r>
              <w:t xml:space="preserve"> </w:t>
            </w:r>
            <w:r>
              <w:rPr>
                <w:bCs/>
                <w:b/>
              </w:rPr>
              <w:t xml:space="preserve">Caveat retained:</w:t>
            </w:r>
            <w:r>
              <w:t xml:space="preserve"> </w:t>
            </w:r>
            <w:r>
              <w:t xml:space="preserve">loading was ~10× ambient; operation at current ESVA loading is PLAUSIBLE, not established.</w:t>
            </w:r>
          </w:p>
        </w:tc>
      </w:tr>
      <w:tr>
        <w:tc>
          <w:tcPr/>
          <w:p>
            <w:pPr>
              <w:pStyle w:val="Compact"/>
              <w:jc w:val="left"/>
            </w:pPr>
            <w:r>
              <w:t xml:space="preserve">Warming raises eelgrass light requirement (faster respiration → more light needed for positive carbon balance) while nutrients reduce light via epiphytes on the blades and water-column algae</w:t>
            </w:r>
          </w:p>
        </w:tc>
        <w:tc>
          <w:tcPr/>
          <w:p>
            <w:pPr>
              <w:pStyle w:val="Compact"/>
              <w:jc w:val="left"/>
            </w:pPr>
            <w:r>
              <w:t xml:space="preserve">✅ Verified</w:t>
            </w:r>
          </w:p>
        </w:tc>
        <w:tc>
          <w:tcPr/>
          <w:p>
            <w:pPr>
              <w:pStyle w:val="Compact"/>
              <w:jc w:val="left"/>
            </w:pPr>
            <w:r>
              <w:t xml:space="preserve">Lefcheck et al. 2017,</w:t>
            </w:r>
            <w:r>
              <w:t xml:space="preserve"> </w:t>
            </w:r>
            <w:r>
              <w:rPr>
                <w:iCs/>
                <w:i/>
              </w:rPr>
              <w:t xml:space="preserve">Glob. Change Biol.</w:t>
            </w:r>
            <w:r>
              <w:t xml:space="preserve"> </w:t>
            </w:r>
            <w:r>
              <w:t xml:space="preserve">23:3474–3483; corroborated by the seagrass–eutrophication literature (Burkholder et al. 2007). Mechanism is</w:t>
            </w:r>
            <w:r>
              <w:t xml:space="preserve"> </w:t>
            </w:r>
            <w:r>
              <w:rPr>
                <w:bCs/>
                <w:b/>
              </w:rPr>
              <w:t xml:space="preserve">light limitation</w:t>
            </w:r>
            <w:r>
              <w:t xml:space="preserve">, not direct nutrient toxicity.</w:t>
            </w:r>
          </w:p>
        </w:tc>
      </w:tr>
      <w:tr>
        <w:tc>
          <w:tcPr/>
          <w:p>
            <w:pPr>
              <w:pStyle w:val="Compact"/>
              <w:jc w:val="left"/>
            </w:pPr>
            <w:r>
              <w:t xml:space="preserve">~32% of owners meet recommended inspection intervals; ~60% of systems &gt;20 yrs old never inspected; pump-out $250–500</w:t>
            </w:r>
          </w:p>
        </w:tc>
        <w:tc>
          <w:tcPr/>
          <w:p>
            <w:pPr>
              <w:pStyle w:val="Compact"/>
              <w:jc w:val="left"/>
            </w:pPr>
            <w:r>
              <w:t xml:space="preserve">✅ Verified —</w:t>
            </w:r>
            <w:r>
              <w:t xml:space="preserve"> </w:t>
            </w:r>
            <w:r>
              <w:rPr>
                <w:bCs/>
                <w:b/>
              </w:rPr>
              <w:t xml:space="preserve">scope note</w:t>
            </w:r>
          </w:p>
        </w:tc>
        <w:tc>
          <w:tcPr/>
          <w:p>
            <w:pPr>
              <w:pStyle w:val="Compact"/>
              <w:jc w:val="left"/>
            </w:pPr>
            <w:r>
              <w:t xml:space="preserve">Center for Rural Pennsylvania homeowner survey; EPA guidance.</w:t>
            </w:r>
            <w:r>
              <w:t xml:space="preserve"> </w:t>
            </w:r>
            <w:r>
              <w:rPr>
                <w:bCs/>
                <w:b/>
              </w:rPr>
              <w:t xml:space="preserve">These are rural-analogue/national figures, not ESVA-specific.</w:t>
            </w:r>
            <w:r>
              <w:t xml:space="preserve"> </w:t>
            </w:r>
            <w:r>
              <w:t xml:space="preserve">Label them as such on the poster if challenged.</w:t>
            </w:r>
          </w:p>
        </w:tc>
      </w:tr>
      <w:tr>
        <w:tc>
          <w:tcPr/>
          <w:p>
            <w:pPr>
              <w:pStyle w:val="Compact"/>
              <w:jc w:val="left"/>
            </w:pPr>
            <w:r>
              <w:t xml:space="preserve">ESVA septic vulnerability concentrates in shoreline-proximal, low-elevation parcels above classified shellfish waters; Oyster, Willis Wharf, Quinby, Wachapreague, Saxis, Chincoteague, Cape Charles named as particularly exposed</w:t>
            </w:r>
          </w:p>
        </w:tc>
        <w:tc>
          <w:tcPr/>
          <w:p>
            <w:pPr>
              <w:pStyle w:val="Compact"/>
              <w:jc w:val="left"/>
            </w:pPr>
            <w:r>
              <w:t xml:space="preserve">✅ Verified —</w:t>
            </w:r>
            <w:r>
              <w:t xml:space="preserve"> </w:t>
            </w:r>
            <w:r>
              <w:rPr>
                <w:bCs/>
                <w:b/>
              </w:rPr>
              <w:t xml:space="preserve">phrasing tightened</w:t>
            </w:r>
          </w:p>
        </w:tc>
        <w:tc>
          <w:tcPr/>
          <w:p>
            <w:pPr>
              <w:pStyle w:val="Compact"/>
              <w:jc w:val="left"/>
            </w:pPr>
            <w:r>
              <w:t xml:space="preserve">Mitchell et al. 2021 (parcel-level vulnerability mapping); Va. Wastewater Infrastructure Policy Working Group, RD883 (2021) (town list).</w:t>
            </w:r>
            <w:r>
              <w:t xml:space="preserve"> </w:t>
            </w:r>
            <w:r>
              <w:rPr>
                <w:bCs/>
                <w:b/>
              </w:rPr>
              <w:t xml:space="preserve">An earlier draft said closure areas and septic clusters</w:t>
            </w:r>
            <w:r>
              <w:rPr>
                <w:bCs/>
                <w:b/>
              </w:rPr>
              <w:t xml:space="preserve"> </w:t>
            </w:r>
            <w:r>
              <w:rPr>
                <w:bCs/>
                <w:b/>
              </w:rPr>
              <w:t xml:space="preserve">“</w:t>
            </w:r>
            <w:r>
              <w:rPr>
                <w:bCs/>
                <w:b/>
              </w:rPr>
              <w:t xml:space="preserve">occupy the same ground.</w:t>
            </w:r>
            <w:r>
              <w:rPr>
                <w:bCs/>
                <w:b/>
              </w:rPr>
              <w:t xml:space="preserve">”</w:t>
            </w:r>
            <w:r>
              <w:t xml:space="preserve"> </w:t>
            </w:r>
            <w:r>
              <w:t xml:space="preserve">The sources support</w:t>
            </w:r>
            <w:r>
              <w:t xml:space="preserve"> </w:t>
            </w:r>
            <w:r>
              <w:rPr>
                <w:iCs/>
                <w:i/>
              </w:rPr>
              <w:t xml:space="preserve">vulnerability concentrating adjacent to classified shellfish waters</w:t>
            </w:r>
            <w:r>
              <w:t xml:space="preserve">; they do</w:t>
            </w:r>
            <w:r>
              <w:t xml:space="preserve"> </w:t>
            </w:r>
            <w:r>
              <w:rPr>
                <w:bCs/>
                <w:b/>
              </w:rPr>
              <w:t xml:space="preserve">not</w:t>
            </w:r>
            <w:r>
              <w:t xml:space="preserve"> </w:t>
            </w:r>
            <w:r>
              <w:t xml:space="preserve">publish a joint overlay of DSS closure areas against septic vulnerability. See the student-project note below.</w:t>
            </w:r>
          </w:p>
        </w:tc>
      </w:tr>
    </w:tbl>
    <w:p>
      <w:pPr>
        <w:pStyle w:val="BlockText"/>
      </w:pPr>
      <w:r>
        <w:rPr>
          <w:bCs/>
          <w:b/>
        </w:rPr>
        <w:t xml:space="preserve">★ Student project opportunity.</w:t>
      </w:r>
      <w:r>
        <w:t xml:space="preserve"> </w:t>
      </w:r>
      <w:r>
        <w:t xml:space="preserve">The stronger version of that last claim — an actual overlay of VDH Division of Shellfish Safety closure areas against Mitchell’s septic-vulnerability layer —</w:t>
      </w:r>
      <w:r>
        <w:t xml:space="preserve"> </w:t>
      </w:r>
      <w:r>
        <w:rPr>
          <w:bCs/>
          <w:b/>
        </w:rPr>
        <w:t xml:space="preserve">has not been published and both datasets are public.</w:t>
      </w:r>
      <w:r>
        <w:t xml:space="preserve"> </w:t>
      </w:r>
      <w:r>
        <w:t xml:space="preserve">Doing that overlay would (a) make the claim citable as</w:t>
      </w:r>
      <w:r>
        <w:t xml:space="preserve"> </w:t>
      </w:r>
      <w:r>
        <w:t xml:space="preserve">“</w:t>
      </w:r>
      <w:r>
        <w:t xml:space="preserve">this study,</w:t>
      </w:r>
      <w:r>
        <w:t xml:space="preserve">”</w:t>
      </w:r>
      <w:r>
        <w:t xml:space="preserve"> </w:t>
      </w:r>
      <w:r>
        <w:t xml:space="preserve">(b) produce a genuine figure for the poster, and (c) be a real, semester-scale contribution with the student as first author. This is the highest-value single addition available to this poster.</w:t>
      </w:r>
    </w:p>
    <w:p>
      <w:pPr>
        <w:pStyle w:val="FirstParagraph"/>
      </w:pPr>
      <w:r>
        <w:rPr>
          <w:bCs/>
          <w:b/>
        </w:rPr>
        <w:t xml:space="preserve">✅ RESOLVED in v4 — source located: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w:t>
            </w:r>
            <w:r>
              <w:t xml:space="preserve">~80% of the water supplying Accomack County’s 30 tidal creeks comes from groundwater discharge</w:t>
            </w:r>
            <w:r>
              <w:t xml:space="preserve">”</w:t>
            </w:r>
          </w:p>
        </w:tc>
        <w:tc>
          <w:tcPr/>
          <w:p>
            <w:pPr>
              <w:pStyle w:val="Compact"/>
              <w:jc w:val="left"/>
            </w:pPr>
            <w:r>
              <w:rPr>
                <w:bCs/>
                <w:b/>
              </w:rPr>
              <w:t xml:space="preserve">Verified.</w:t>
            </w:r>
            <w:r>
              <w:t xml:space="preserve"> </w:t>
            </w:r>
            <w:r>
              <w:rPr>
                <w:iCs/>
                <w:i/>
              </w:rPr>
              <w:t xml:space="preserve">Accomack County Regional Water Supply Plan</w:t>
            </w:r>
            <w:r>
              <w:t xml:space="preserve">, 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Available via A-NPDC (</w:t>
            </w:r>
            <w:r>
              <w:rPr>
                <w:rStyle w:val="VerbatimChar"/>
              </w:rPr>
              <w:t xml:space="preserve">a-npdc.org/groundwater/</w:t>
            </w:r>
            <w:r>
              <w:t xml:space="preserve">) and esvaplan.org.</w:t>
            </w:r>
            <w:r>
              <w:t xml:space="preserve"> </w:t>
            </w:r>
            <w:r>
              <w:rPr>
                <w:bCs/>
                <w:b/>
              </w:rPr>
              <w:t xml:space="preserve">Scope: Accomack County only</w:t>
            </w:r>
            <w:r>
              <w:t xml:space="preserve"> </w:t>
            </w:r>
            <w:r>
              <w:t xml:space="preserve">— do not extend to Northampton or present as Shore-wide.</w:t>
            </w:r>
            <w:r>
              <w:t xml:space="preserve"> </w:t>
            </w:r>
            <w:r>
              <w:rPr>
                <w:bCs/>
                <w:b/>
              </w:rPr>
              <w:t xml:space="preserve">Phrasing: a share of creek supply/flow, not of</w:t>
            </w:r>
            <w:r>
              <w:rPr>
                <w:bCs/>
                <w:b/>
              </w:rPr>
              <w:t xml:space="preserve"> </w:t>
            </w:r>
            <w:r>
              <w:rPr>
                <w:bCs/>
                <w:b/>
              </w:rPr>
              <w:t xml:space="preserve">“</w:t>
            </w:r>
            <w:r>
              <w:rPr>
                <w:bCs/>
                <w:b/>
              </w:rPr>
              <w:t xml:space="preserve">baseflow</w:t>
            </w:r>
            <w:r>
              <w:rPr>
                <w:bCs/>
                <w:b/>
              </w:rPr>
              <w:t xml:space="preserve">”</w:t>
            </w:r>
            <w:r>
              <w:t xml:space="preserve"> </w:t>
            </w:r>
            <w:r>
              <w:t xml:space="preserve">(baseflow is by definition the groundwater component, so the earlier wording was near-tautological).</w:t>
            </w:r>
          </w:p>
        </w:tc>
      </w:tr>
    </w:tbl>
    <w:p>
      <w:pPr>
        <w:pStyle w:val="BodyText"/>
      </w:pPr>
      <w:r>
        <w:rPr>
          <w:iCs/>
          <w:i/>
        </w:rPr>
        <w:t xml:space="preserve">History of this figure, kept as a caution:</w:t>
      </w:r>
      <w:r>
        <w:t xml:space="preserve"> </w:t>
      </w:r>
      <w:r>
        <w:t xml:space="preserve">it first entered the project via a web-search snippet from virginiaplaces.org (a secondary educational site) and was cited in</w:t>
      </w:r>
      <w:r>
        <w:t xml:space="preserve"> </w:t>
      </w:r>
      <w:r>
        <w:rPr>
          <w:rStyle w:val="VerbatimChar"/>
        </w:rPr>
        <w:t xml:space="preserve">research/pathway_2_tidal_creeks_marshes.md</w:t>
      </w:r>
      <w:r>
        <w:t xml:space="preserve"> </w:t>
      </w:r>
      <w:r>
        <w:t xml:space="preserve">as</w:t>
      </w:r>
      <w:r>
        <w:t xml:space="preserve"> </w:t>
      </w:r>
      <w:r>
        <w:t xml:space="preserve">“</w:t>
      </w:r>
      <w:r>
        <w:t xml:space="preserve">(Richardson 1994; A-NPDC 2022)</w:t>
      </w:r>
      <w:r>
        <w:t xml:space="preserve">”</w:t>
      </w:r>
      <w:r>
        <w:t xml:space="preserve"> </w:t>
      </w:r>
      <w:r>
        <w:t xml:space="preserve">—</w:t>
      </w:r>
      <w:r>
        <w:t xml:space="preserve"> </w:t>
      </w:r>
      <w:r>
        <w:rPr>
          <w:bCs/>
          <w:b/>
        </w:rPr>
        <w:t xml:space="preserve">sources that were never checked and do not appear to be its origin.</w:t>
      </w:r>
      <w:r>
        <w:t xml:space="preserve"> </w:t>
      </w:r>
      <w:r>
        <w:t xml:space="preserve">The number was real all along; the failure was citing plausible-sounding sources instead of tracking down the actual one. Alex Foxworthy located the primary source. Treat this as the standard for every other quantitative claim in the repository.</w:t>
      </w:r>
    </w:p>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bl>
    <w:p>
      <w:pPr>
        <w:pStyle w:val="BodyText"/>
      </w:pPr>
      <w:r>
        <w:rPr>
          <w:bCs/>
          <w:b/>
        </w:rPr>
        <w:t xml:space="preserve">Deliberately NOT used on this poster:</w:t>
      </w:r>
    </w:p>
    <w:p>
      <w:pPr>
        <w:numPr>
          <w:ilvl w:val="0"/>
          <w:numId w:val="1007"/>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7"/>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7"/>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40" w:name="revision-log-v2-changes"/>
    <w:p>
      <w:pPr>
        <w:pStyle w:val="Heading2"/>
      </w:pPr>
      <w:r>
        <w:t xml:space="preserve">12. Revision log — v2 changes</w:t>
      </w:r>
    </w:p>
    <w:p>
      <w:pPr>
        <w:pStyle w:val="FirstParagraph"/>
      </w:pPr>
      <w:r>
        <w:t xml:space="preserve">Made in response to scientific review. Each addressed a real overstatement or an unexplained term.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Poster said the sole-source aquifer was</w:t>
            </w:r>
            <w:r>
              <w:t xml:space="preserve"> </w:t>
            </w:r>
            <w:r>
              <w:t xml:space="preserve">“</w:t>
            </w:r>
            <w:r>
              <w:t xml:space="preserve">the shallow Columbia</w:t>
            </w:r>
            <w:r>
              <w:t xml:space="preserve">”</w:t>
            </w:r>
          </w:p>
        </w:tc>
        <w:tc>
          <w:tcPr/>
          <w:p>
            <w:pPr>
              <w:pStyle w:val="Compact"/>
              <w:jc w:val="left"/>
            </w:pPr>
            <w:r>
              <w:rPr>
                <w:bCs/>
                <w:b/>
              </w:rPr>
              <w:t xml:space="preserve">Corrected.</w:t>
            </w:r>
            <w:r>
              <w:t xml:space="preserve"> </w:t>
            </w:r>
            <w:r>
              <w:t xml:space="preserve">The 1997 designation covers</w:t>
            </w:r>
            <w:r>
              <w:t xml:space="preserve"> </w:t>
            </w:r>
            <w:r>
              <w:rPr>
                <w:bCs/>
                <w:b/>
              </w:rPr>
              <w:t xml:space="preserve">both</w:t>
            </w:r>
            <w:r>
              <w:t xml:space="preserve"> </w:t>
            </w:r>
            <w:r>
              <w:t xml:space="preserve">the Columbia and Yorktown–Eastover systems. Column 1 and the diagram now show both, which also carries the drinking-water story.</w:t>
            </w:r>
          </w:p>
        </w:tc>
      </w:tr>
      <w:tr>
        <w:tc>
          <w:tcPr/>
          <w:p>
            <w:pPr>
              <w:pStyle w:val="Compact"/>
              <w:jc w:val="left"/>
            </w:pPr>
            <w:r>
              <w:t xml:space="preserve">2</w:t>
            </w:r>
          </w:p>
        </w:tc>
        <w:tc>
          <w:tcPr/>
          <w:p>
            <w:pPr>
              <w:pStyle w:val="Compact"/>
              <w:jc w:val="left"/>
            </w:pPr>
            <w:r>
              <w:t xml:space="preserve">Human health not mentioned</w:t>
            </w:r>
          </w:p>
        </w:tc>
        <w:tc>
          <w:tcPr/>
          <w:p>
            <w:pPr>
              <w:pStyle w:val="Compact"/>
              <w:jc w:val="left"/>
            </w:pPr>
            <w:r>
              <w:rPr>
                <w:bCs/>
                <w:b/>
              </w:rPr>
              <w:t xml:space="preserve">Added</w:t>
            </w:r>
            <w:r>
              <w:t xml:space="preserve"> </w:t>
            </w:r>
            <w:r>
              <w:t xml:space="preserve">two sentences in Column 1 noting real risk to shallow private wells, with a pointer to companion project work.</w:t>
            </w:r>
          </w:p>
        </w:tc>
      </w:tr>
      <w:tr>
        <w:tc>
          <w:tcPr/>
          <w:p>
            <w:pPr>
              <w:pStyle w:val="Compact"/>
              <w:jc w:val="left"/>
            </w:pPr>
            <w:r>
              <w:t xml:space="preserve">3</w:t>
            </w:r>
          </w:p>
        </w:tc>
        <w:tc>
          <w:tcPr/>
          <w:p>
            <w:pPr>
              <w:pStyle w:val="Compact"/>
              <w:jc w:val="left"/>
            </w:pPr>
            <w:r>
              <w:t xml:space="preserve">“</w:t>
            </w:r>
            <w:r>
              <w:t xml:space="preserve">Nitrate behaves conservatively</w:t>
            </w:r>
            <w:r>
              <w:t xml:space="preserve">”</w:t>
            </w:r>
            <w:r>
              <w:t xml:space="preserve"> </w:t>
            </w:r>
            <w:r>
              <w:t xml:space="preserve">was unexplained jargon</w:t>
            </w:r>
          </w:p>
        </w:tc>
        <w:tc>
          <w:tcPr/>
          <w:p>
            <w:pPr>
              <w:pStyle w:val="Compact"/>
              <w:jc w:val="left"/>
            </w:pPr>
            <w:r>
              <w:rPr>
                <w:bCs/>
                <w:b/>
              </w:rPr>
              <w:t xml:space="preserve">Replaced</w:t>
            </w:r>
            <w:r>
              <w:t xml:space="preserve"> </w:t>
            </w:r>
            <w:r>
              <w:t xml:space="preserve">with a plain-language callout explaining that nitrate does not stick to sand and is barely consumed.</w:t>
            </w:r>
          </w:p>
        </w:tc>
      </w:tr>
      <w:tr>
        <w:tc>
          <w:tcPr/>
          <w:p>
            <w:pPr>
              <w:pStyle w:val="Compact"/>
              <w:jc w:val="left"/>
            </w:pPr>
            <w:r>
              <w:t xml:space="preserve">4</w:t>
            </w:r>
          </w:p>
        </w:tc>
        <w:tc>
          <w:tcPr/>
          <w:p>
            <w:pPr>
              <w:pStyle w:val="Compact"/>
              <w:jc w:val="left"/>
            </w:pPr>
            <w:r>
              <w:t xml:space="preserve">Phosphorus source and behavior unexplained</w:t>
            </w:r>
          </w:p>
        </w:tc>
        <w:tc>
          <w:tcPr/>
          <w:p>
            <w:pPr>
              <w:pStyle w:val="Compact"/>
              <w:jc w:val="left"/>
            </w:pPr>
            <w:r>
              <w:rPr>
                <w:bCs/>
                <w:b/>
              </w:rPr>
              <w:t xml:space="preserve">Added</w:t>
            </w:r>
            <w:r>
              <w:t xml:space="preserve"> </w:t>
            </w:r>
            <w:r>
              <w:t xml:space="preserve">to the new</w:t>
            </w:r>
            <w:r>
              <w:t xml:space="preserve"> </w:t>
            </w:r>
            <w:r>
              <w:t xml:space="preserve">“</w:t>
            </w:r>
            <w:r>
              <w:t xml:space="preserve">What the soil actually does</w:t>
            </w:r>
            <w:r>
              <w:t xml:space="preserve">”</w:t>
            </w:r>
            <w:r>
              <w:t xml:space="preserve"> </w:t>
            </w:r>
            <w:r>
              <w:t xml:space="preserve">table: P binds until soil saturates, then breaks through — an</w:t>
            </w:r>
            <w:r>
              <w:t xml:space="preserve"> </w:t>
            </w:r>
            <w:r>
              <w:rPr>
                <w:iCs/>
                <w:i/>
              </w:rPr>
              <w:t xml:space="preserve">aging</w:t>
            </w:r>
            <w:r>
              <w:t xml:space="preserve"> </w:t>
            </w:r>
            <w:r>
              <w:t xml:space="preserve">problem, not a failure problem.</w:t>
            </w:r>
          </w:p>
        </w:tc>
      </w:tr>
      <w:tr>
        <w:tc>
          <w:tcPr/>
          <w:p>
            <w:pPr>
              <w:pStyle w:val="Compact"/>
              <w:jc w:val="left"/>
            </w:pPr>
            <w:r>
              <w:t xml:space="preserve">5</w:t>
            </w:r>
          </w:p>
        </w:tc>
        <w:tc>
          <w:tcPr/>
          <w:p>
            <w:pPr>
              <w:pStyle w:val="Compact"/>
              <w:jc w:val="left"/>
            </w:pPr>
            <w:r>
              <w:t xml:space="preserve">Poster implied PFAS/pharmaceutical entry is a</w:t>
            </w:r>
            <w:r>
              <w:t xml:space="preserve"> </w:t>
            </w:r>
            <w:r>
              <w:rPr>
                <w:iCs/>
                <w:i/>
              </w:rPr>
              <w:t xml:space="preserve">failure</w:t>
            </w:r>
            <w:r>
              <w:t xml:space="preserve"> </w:t>
            </w:r>
            <w:r>
              <w:t xml:space="preserve">consequence</w:t>
            </w:r>
          </w:p>
        </w:tc>
        <w:tc>
          <w:tcPr/>
          <w:p>
            <w:pPr>
              <w:pStyle w:val="Compact"/>
              <w:jc w:val="left"/>
            </w:pPr>
            <w:r>
              <w:rPr>
                <w:bCs/>
                <w:b/>
              </w:rPr>
              <w:t xml:space="preserve">Corrected — this was the most significant error.</w:t>
            </w:r>
            <w:r>
              <w:t xml:space="preserve"> </w:t>
            </w:r>
            <w:r>
              <w:t xml:space="preserve">These compounds pass through working and failing systems alike. Now shown explicitly as</w:t>
            </w:r>
            <w:r>
              <w:t xml:space="preserve"> </w:t>
            </w:r>
            <w:r>
              <w:rPr>
                <w:bCs/>
                <w:b/>
              </w:rPr>
              <w:t xml:space="preserve">NO</w:t>
            </w:r>
            <w:r>
              <w:t xml:space="preserve"> </w:t>
            </w:r>
            <w:r>
              <w:t xml:space="preserve">in the failure-driven column, with a matching management implication: septic repair and mound systems do</w:t>
            </w:r>
            <w:r>
              <w:t xml:space="preserve"> </w:t>
            </w:r>
            <w:r>
              <w:rPr>
                <w:bCs/>
                <w:b/>
              </w:rPr>
              <w:t xml:space="preserve">not</w:t>
            </w:r>
            <w:r>
              <w:t xml:space="preserve"> </w:t>
            </w:r>
            <w:r>
              <w:t xml:space="preserve">address them.</w:t>
            </w:r>
          </w:p>
        </w:tc>
      </w:tr>
      <w:tr>
        <w:tc>
          <w:tcPr/>
          <w:p>
            <w:pPr>
              <w:pStyle w:val="Compact"/>
              <w:jc w:val="left"/>
            </w:pPr>
            <w:r>
              <w:t xml:space="preserve">6</w:t>
            </w:r>
          </w:p>
        </w:tc>
        <w:tc>
          <w:tcPr/>
          <w:p>
            <w:pPr>
              <w:pStyle w:val="Compact"/>
              <w:jc w:val="left"/>
            </w:pPr>
            <w:r>
              <w:t xml:space="preserve">“</w:t>
            </w:r>
            <w:r>
              <w:t xml:space="preserve">SAV</w:t>
            </w:r>
            <w:r>
              <w:t xml:space="preserve">”</w:t>
            </w:r>
            <w:r>
              <w:t xml:space="preserve"> </w:t>
            </w:r>
            <w:r>
              <w:t xml:space="preserve">unexplained</w:t>
            </w:r>
          </w:p>
        </w:tc>
        <w:tc>
          <w:tcPr/>
          <w:p>
            <w:pPr>
              <w:pStyle w:val="Compact"/>
              <w:jc w:val="left"/>
            </w:pPr>
            <w:r>
              <w:rPr>
                <w:bCs/>
                <w:b/>
              </w:rPr>
              <w:t xml:space="preserve">Replaced</w:t>
            </w:r>
            <w:r>
              <w:t xml:space="preserve"> </w:t>
            </w:r>
            <w:r>
              <w:t xml:space="preserve">throughout with</w:t>
            </w:r>
            <w:r>
              <w:t xml:space="preserve"> </w:t>
            </w:r>
            <w:r>
              <w:t xml:space="preserve">“</w:t>
            </w:r>
            <w:r>
              <w:t xml:space="preserve">underwater grasses.</w:t>
            </w:r>
            <w:r>
              <w:t xml:space="preserve">”</w:t>
            </w:r>
          </w:p>
        </w:tc>
      </w:tr>
      <w:tr>
        <w:tc>
          <w:tcPr/>
          <w:p>
            <w:pPr>
              <w:pStyle w:val="Compact"/>
              <w:jc w:val="left"/>
            </w:pPr>
            <w:r>
              <w:t xml:space="preserve">7</w:t>
            </w:r>
          </w:p>
        </w:tc>
        <w:tc>
          <w:tcPr/>
          <w:p>
            <w:pPr>
              <w:pStyle w:val="Compact"/>
              <w:jc w:val="left"/>
            </w:pPr>
            <w:r>
              <w:t xml:space="preserve">“</w:t>
            </w:r>
            <w:r>
              <w:t xml:space="preserve">Flushing-limited</w:t>
            </w:r>
            <w:r>
              <w:t xml:space="preserve">”</w:t>
            </w:r>
            <w:r>
              <w:t xml:space="preserve"> </w:t>
            </w:r>
            <w:r>
              <w:t xml:space="preserve">and</w:t>
            </w:r>
            <w:r>
              <w:t xml:space="preserve"> </w:t>
            </w:r>
            <w:r>
              <w:t xml:space="preserve">“</w:t>
            </w:r>
            <w:r>
              <w:t xml:space="preserve">nonlinear regime shifts at low N thresholds</w:t>
            </w:r>
            <w:r>
              <w:t xml:space="preserve">”</w:t>
            </w:r>
            <w:r>
              <w:t xml:space="preserve"> </w:t>
            </w:r>
            <w:r>
              <w:t xml:space="preserve">were jargon</w:t>
            </w:r>
          </w:p>
        </w:tc>
        <w:tc>
          <w:tcPr/>
          <w:p>
            <w:pPr>
              <w:pStyle w:val="Compact"/>
              <w:jc w:val="left"/>
            </w:pPr>
            <w:r>
              <w:rPr>
                <w:bCs/>
                <w:b/>
              </w:rPr>
              <w:t xml:space="preserve">Rewritten</w:t>
            </w:r>
            <w:r>
              <w:t xml:space="preserve"> </w:t>
            </w:r>
            <w:r>
              <w:t xml:space="preserve">in plain language: lagoons exchange water only through narrow inlets so nutrients accumulate; shallow bays don’t degrade gradually, they</w:t>
            </w:r>
            <w:r>
              <w:t xml:space="preserve"> </w:t>
            </w:r>
            <w:r>
              <w:rPr>
                <w:iCs/>
                <w:i/>
              </w:rPr>
              <w:t xml:space="preserve">flip</w:t>
            </w:r>
            <w:r>
              <w:t xml:space="preserve">; and</w:t>
            </w:r>
            <w:r>
              <w:t xml:space="preserve"> </w:t>
            </w:r>
            <w:r>
              <w:rPr>
                <w:bCs/>
                <w:b/>
              </w:rPr>
              <w:t xml:space="preserve">the flip is hard to undo</w:t>
            </w:r>
            <w:r>
              <w:t xml:space="preserve"> </w:t>
            </w:r>
            <w:r>
              <w:t xml:space="preserve">(new hysteresis point — the strongest argument for prevention).</w:t>
            </w:r>
          </w:p>
        </w:tc>
      </w:tr>
      <w:tr>
        <w:tc>
          <w:tcPr/>
          <w:p>
            <w:pPr>
              <w:pStyle w:val="Compact"/>
              <w:jc w:val="left"/>
            </w:pPr>
            <w:r>
              <w:t xml:space="preserve">8</w:t>
            </w:r>
          </w:p>
        </w:tc>
        <w:tc>
          <w:tcPr/>
          <w:p>
            <w:pPr>
              <w:pStyle w:val="Compact"/>
              <w:jc w:val="left"/>
            </w:pPr>
            <w:r>
              <w:t xml:space="preserve">Conventional systems implied to remove nitrogen</w:t>
            </w:r>
          </w:p>
        </w:tc>
        <w:tc>
          <w:tcPr/>
          <w:p>
            <w:pPr>
              <w:pStyle w:val="Compact"/>
              <w:jc w:val="left"/>
            </w:pPr>
            <w:r>
              <w:rPr>
                <w:bCs/>
                <w:b/>
              </w:rPr>
              <w:t xml:space="preserve">Corrected.</w:t>
            </w:r>
            <w:r>
              <w:t xml:space="preserve"> </w:t>
            </w:r>
            <w:r>
              <w:t xml:space="preserve">Drainfields</w:t>
            </w:r>
            <w:r>
              <w:t xml:space="preserve"> </w:t>
            </w:r>
            <w:r>
              <w:rPr>
                <w:iCs/>
                <w:i/>
              </w:rPr>
              <w:t xml:space="preserve">convert</w:t>
            </w:r>
            <w:r>
              <w:t xml:space="preserve"> </w:t>
            </w:r>
            <w:r>
              <w:t xml:space="preserve">ammonium to nitrate; they don’t remove nitrogen. Retention is only ~10–30%. Added as a management implication: nitrogen reduction needs advanced systems or sewer, not just repair.</w:t>
            </w:r>
          </w:p>
        </w:tc>
      </w:tr>
      <w:tr>
        <w:tc>
          <w:tcPr/>
          <w:p>
            <w:pPr>
              <w:pStyle w:val="Compact"/>
              <w:jc w:val="left"/>
            </w:pPr>
            <w:r>
              <w:t xml:space="preserve">9</w:t>
            </w:r>
          </w:p>
        </w:tc>
        <w:tc>
          <w:tcPr/>
          <w:p>
            <w:pPr>
              <w:pStyle w:val="Compact"/>
              <w:jc w:val="left"/>
            </w:pPr>
            <w:r>
              <w:t xml:space="preserve">Column 4 implied septic is currently threatening the seagrass and the aquaculture economy</w:t>
            </w:r>
          </w:p>
        </w:tc>
        <w:tc>
          <w:tcPr/>
          <w:p>
            <w:pPr>
              <w:pStyle w:val="Compact"/>
              <w:jc w:val="left"/>
            </w:pPr>
            <w:r>
              <w:rPr>
                <w:bCs/>
                <w:b/>
              </w:rPr>
              <w:t xml:space="preserve">Reframed.</w:t>
            </w:r>
            <w:r>
              <w:t xml:space="preserve"> </w:t>
            </w:r>
            <w:r>
              <w:t xml:space="preserve">Retitled</w:t>
            </w:r>
            <w:r>
              <w:t xml:space="preserve"> </w:t>
            </w:r>
            <w:r>
              <w:t xml:space="preserve">“</w:t>
            </w:r>
            <w:r>
              <w:t xml:space="preserve">What Sits Downstream.</w:t>
            </w:r>
            <w:r>
              <w:t xml:space="preserve">”</w:t>
            </w:r>
            <w:r>
              <w:t xml:space="preserve"> </w:t>
            </w:r>
            <w:r>
              <w:t xml:space="preserve">New</w:t>
            </w:r>
            <w:r>
              <w:t xml:space="preserve"> </w:t>
            </w:r>
            <w:r>
              <w:rPr>
                <w:bCs/>
                <w:b/>
              </w:rPr>
              <w:t xml:space="preserve">“</w:t>
            </w:r>
            <w:r>
              <w:rPr>
                <w:bCs/>
                <w:b/>
              </w:rPr>
              <w:t xml:space="preserve">What we cannot yet say</w:t>
            </w:r>
            <w:r>
              <w:rPr>
                <w:bCs/>
                <w:b/>
              </w:rPr>
              <w:t xml:space="preserve">”</w:t>
            </w:r>
            <w:r>
              <w:t xml:space="preserve"> </w:t>
            </w:r>
            <w:r>
              <w:t xml:space="preserve">box states that seaside nutrient levels remain low, the documented eelgrass threat has been</w:t>
            </w:r>
            <w:r>
              <w:t xml:space="preserve"> </w:t>
            </w:r>
            <w:r>
              <w:rPr>
                <w:iCs/>
                <w:i/>
              </w:rPr>
              <w:t xml:space="preserve">thermal</w:t>
            </w:r>
            <w:r>
              <w:t xml:space="preserve">, and no ESVA study has apportioned sources. The claim is now explicitly</w:t>
            </w:r>
            <w:r>
              <w:t xml:space="preserve"> </w:t>
            </w:r>
            <w:r>
              <w:rPr>
                <w:bCs/>
                <w:b/>
              </w:rPr>
              <w:t xml:space="preserve">precautionary, not diagnostic</w:t>
            </w:r>
            <w:r>
              <w:t xml:space="preserve">.</w:t>
            </w:r>
          </w:p>
        </w:tc>
      </w:tr>
      <w:tr>
        <w:tc>
          <w:tcPr/>
          <w:p>
            <w:pPr>
              <w:pStyle w:val="Compact"/>
              <w:jc w:val="left"/>
            </w:pPr>
            <w:r>
              <w:t xml:space="preserve">12</w:t>
            </w:r>
          </w:p>
        </w:tc>
        <w:tc>
          <w:tcPr/>
          <w:p>
            <w:pPr>
              <w:pStyle w:val="Compact"/>
              <w:jc w:val="left"/>
            </w:pPr>
            <w:r>
              <w:t xml:space="preserve">Failure framed as driven solely by the rising water table</w:t>
            </w:r>
          </w:p>
        </w:tc>
        <w:tc>
          <w:tcPr/>
          <w:p>
            <w:pPr>
              <w:pStyle w:val="Compact"/>
              <w:jc w:val="left"/>
            </w:pPr>
            <w:r>
              <w:rPr>
                <w:bCs/>
                <w:b/>
              </w:rPr>
              <w:t xml:space="preserve">Broadened (v5).</w:t>
            </w:r>
            <w:r>
              <w:t xml:space="preserve"> </w:t>
            </w:r>
            <w:r>
              <w:t xml:space="preserve">Added</w:t>
            </w:r>
            <w:r>
              <w:t xml:space="preserve"> </w:t>
            </w:r>
            <w:r>
              <w:t xml:space="preserve">“</w:t>
            </w:r>
            <w:r>
              <w:t xml:space="preserve">Three things compound it</w:t>
            </w:r>
            <w:r>
              <w:t xml:space="preserve">”</w:t>
            </w:r>
            <w:r>
              <w:t xml:space="preserve">: age, absence of any reliable septic inventory, and information/cost barriers (~32% meet inspection intervals; ~60% of 20-yr-old systems never inspected). Framed as</w:t>
            </w:r>
            <w:r>
              <w:t xml:space="preserve"> </w:t>
            </w:r>
            <w:r>
              <w:rPr>
                <w:iCs/>
                <w:i/>
              </w:rPr>
              <w:t xml:space="preserve">systemic</w:t>
            </w:r>
            <w:r>
              <w:t xml:space="preserve">, not individual, failings so the</w:t>
            </w:r>
            <w:r>
              <w:t xml:space="preserve"> </w:t>
            </w:r>
            <w:r>
              <w:t xml:space="preserve">“</w:t>
            </w:r>
            <w:r>
              <w:t xml:space="preserve">not your fault</w:t>
            </w:r>
            <w:r>
              <w:t xml:space="preserve">”</w:t>
            </w:r>
            <w:r>
              <w:t xml:space="preserve"> </w:t>
            </w:r>
            <w:r>
              <w:t xml:space="preserve">message survives.</w:t>
            </w:r>
          </w:p>
        </w:tc>
      </w:tr>
      <w:tr>
        <w:tc>
          <w:tcPr/>
          <w:p>
            <w:pPr>
              <w:pStyle w:val="Compact"/>
              <w:jc w:val="left"/>
            </w:pPr>
            <w:r>
              <w:t xml:space="preserve">13</w:t>
            </w:r>
          </w:p>
        </w:tc>
        <w:tc>
          <w:tcPr/>
          <w:p>
            <w:pPr>
              <w:pStyle w:val="Compact"/>
              <w:jc w:val="left"/>
            </w:pPr>
            <w:r>
              <w:t xml:space="preserve">Pathway 1 gave mechanism but never said why it matters</w:t>
            </w:r>
          </w:p>
        </w:tc>
        <w:tc>
          <w:tcPr/>
          <w:p>
            <w:pPr>
              <w:pStyle w:val="Compact"/>
              <w:jc w:val="left"/>
            </w:pPr>
            <w:r>
              <w:rPr>
                <w:bCs/>
                <w:b/>
              </w:rPr>
              <w:t xml:space="preserve">Fixed.</w:t>
            </w:r>
            <w:r>
              <w:t xml:space="preserve"> </w:t>
            </w:r>
            <w:r>
              <w:t xml:space="preserve">Now:</w:t>
            </w:r>
            <w:r>
              <w:t xml:space="preserve"> </w:t>
            </w:r>
            <w:r>
              <w:t xml:space="preserve">“</w:t>
            </w:r>
            <w:r>
              <w:t xml:space="preserve">The aquifer is the delivery system — what enters here arrives in the creeks, where nitrogen is the nutrient that drives coastal algal growth.</w:t>
            </w:r>
            <w:r>
              <w:t xml:space="preserve">”</w:t>
            </w:r>
          </w:p>
        </w:tc>
      </w:tr>
      <w:tr>
        <w:tc>
          <w:tcPr/>
          <w:p>
            <w:pPr>
              <w:pStyle w:val="Compact"/>
              <w:jc w:val="left"/>
            </w:pPr>
            <w:r>
              <w:t xml:space="preserve">14</w:t>
            </w:r>
          </w:p>
        </w:tc>
        <w:tc>
          <w:tcPr/>
          <w:p>
            <w:pPr>
              <w:pStyle w:val="Compact"/>
              <w:jc w:val="left"/>
            </w:pPr>
            <w:r>
              <w:t xml:space="preserve">“</w:t>
            </w:r>
            <w:r>
              <w:t xml:space="preserve">Marsh peat breakdown and creek-bank collapse</w:t>
            </w:r>
            <w:r>
              <w:t xml:space="preserve">”</w:t>
            </w:r>
            <w:r>
              <w:t xml:space="preserve"> </w:t>
            </w:r>
            <w:r>
              <w:t xml:space="preserve">was opaque</w:t>
            </w:r>
          </w:p>
        </w:tc>
        <w:tc>
          <w:tcPr/>
          <w:p>
            <w:pPr>
              <w:pStyle w:val="Compact"/>
              <w:jc w:val="left"/>
            </w:pPr>
            <w:r>
              <w:rPr>
                <w:bCs/>
                <w:b/>
              </w:rPr>
              <w:t xml:space="preserve">Explained.</w:t>
            </w:r>
            <w:r>
              <w:t xml:space="preserve"> </w:t>
            </w:r>
            <w:r>
              <w:t xml:space="preserve">New Column 3 block: banks are held by the below-ground root/rhizome mat, not visible stems; nitrogen shifts growth to leaves and speeds peat decay, so the marsh looks greener above while losing structure below. This is exactly the intuition Deegan et al. 2012 overturned.</w:t>
            </w:r>
          </w:p>
        </w:tc>
      </w:tr>
      <w:tr>
        <w:tc>
          <w:tcPr/>
          <w:p>
            <w:pPr>
              <w:pStyle w:val="Compact"/>
              <w:jc w:val="left"/>
            </w:pPr>
            <w:r>
              <w:t xml:space="preserve">15</w:t>
            </w:r>
          </w:p>
        </w:tc>
        <w:tc>
          <w:tcPr/>
          <w:p>
            <w:pPr>
              <w:pStyle w:val="Compact"/>
              <w:jc w:val="left"/>
            </w:pPr>
            <w:r>
              <w:t xml:space="preserve">“</w:t>
            </w:r>
            <w:r>
              <w:t xml:space="preserve">Warming lowers eelgrass tolerance for nutrients</w:t>
            </w:r>
            <w:r>
              <w:t xml:space="preserve">”</w:t>
            </w:r>
            <w:r>
              <w:t xml:space="preserve"> </w:t>
            </w:r>
            <w:r>
              <w:t xml:space="preserve">unexplained</w:t>
            </w:r>
          </w:p>
        </w:tc>
        <w:tc>
          <w:tcPr/>
          <w:p>
            <w:pPr>
              <w:pStyle w:val="Compact"/>
              <w:jc w:val="left"/>
            </w:pPr>
            <w:r>
              <w:rPr>
                <w:bCs/>
                <w:b/>
              </w:rPr>
              <w:t xml:space="preserve">Explained.</w:t>
            </w:r>
            <w:r>
              <w:t xml:space="preserve"> </w:t>
            </w:r>
            <w:r>
              <w:t xml:space="preserve">The mechanism is</w:t>
            </w:r>
            <w:r>
              <w:t xml:space="preserve"> </w:t>
            </w:r>
            <w:r>
              <w:rPr>
                <w:bCs/>
                <w:b/>
              </w:rPr>
              <w:t xml:space="preserve">light</w:t>
            </w:r>
            <w:r>
              <w:t xml:space="preserve">, not toxicity or resource competition: warming raises the light requirement; nutrients grow algae on the blades and in the water that lower light delivered.</w:t>
            </w:r>
          </w:p>
        </w:tc>
      </w:tr>
      <w:tr>
        <w:tc>
          <w:tcPr/>
          <w:p>
            <w:pPr>
              <w:pStyle w:val="Compact"/>
              <w:jc w:val="left"/>
            </w:pPr>
            <w:r>
              <w:t xml:space="preserve">16</w:t>
            </w:r>
          </w:p>
        </w:tc>
        <w:tc>
          <w:tcPr/>
          <w:p>
            <w:pPr>
              <w:pStyle w:val="Compact"/>
              <w:jc w:val="left"/>
            </w:pPr>
            <w:r>
              <w:t xml:space="preserve">Shellfish/septic overlap had no citation</w:t>
            </w:r>
          </w:p>
        </w:tc>
        <w:tc>
          <w:tcPr/>
          <w:p>
            <w:pPr>
              <w:pStyle w:val="Compact"/>
              <w:jc w:val="left"/>
            </w:pPr>
            <w:r>
              <w:rPr>
                <w:bCs/>
                <w:b/>
              </w:rPr>
              <w:t xml:space="preserve">Cited and tightened</w:t>
            </w:r>
            <w:r>
              <w:t xml:space="preserve"> </w:t>
            </w:r>
            <w:r>
              <w:t xml:space="preserve">(Mitchell et al. 2021; RD883 2021), with the claim narrowed to what those sources actually support. Flagged as a student-project opportunity.</w:t>
            </w:r>
          </w:p>
        </w:tc>
      </w:tr>
      <w:tr>
        <w:tc>
          <w:tcPr/>
          <w:p>
            <w:pPr>
              <w:pStyle w:val="Compact"/>
              <w:jc w:val="left"/>
            </w:pPr>
            <w:r>
              <w:t xml:space="preserve">11</w:t>
            </w:r>
          </w:p>
        </w:tc>
        <w:tc>
          <w:tcPr/>
          <w:p>
            <w:pPr>
              <w:pStyle w:val="Compact"/>
              <w:jc w:val="left"/>
            </w:pPr>
            <w:r>
              <w:t xml:space="preserve">The ~80% groundwater figure was removed in v3 as unverifiable</w:t>
            </w:r>
          </w:p>
        </w:tc>
        <w:tc>
          <w:tcPr/>
          <w:p>
            <w:pPr>
              <w:pStyle w:val="Compact"/>
              <w:jc w:val="left"/>
            </w:pPr>
            <w:r>
              <w:rPr>
                <w:bCs/>
                <w:b/>
              </w:rPr>
              <w:t xml:space="preserve">Restored in v4</w:t>
            </w:r>
            <w:r>
              <w:t xml:space="preserve"> </w:t>
            </w:r>
            <w:r>
              <w:t xml:space="preserve">with its true source —</w:t>
            </w:r>
            <w:r>
              <w:t xml:space="preserve"> </w:t>
            </w:r>
            <w:r>
              <w:rPr>
                <w:iCs/>
                <w:i/>
              </w:rPr>
              <w:t xml:space="preserve">Accomack County Regional Water Supply Plan</w:t>
            </w:r>
            <w:r>
              <w:t xml:space="preserve"> </w:t>
            </w:r>
            <w:r>
              <w:t xml:space="preserve">(April 2010) — corrected phrasing (share of creek</w:t>
            </w:r>
            <w:r>
              <w:t xml:space="preserve"> </w:t>
            </w:r>
            <w:r>
              <w:rPr>
                <w:bCs/>
                <w:b/>
              </w:rPr>
              <w:t xml:space="preserve">supply</w:t>
            </w:r>
            <w:r>
              <w:t xml:space="preserve">, not baseflow), and an explicit</w:t>
            </w:r>
            <w:r>
              <w:t xml:space="preserve"> </w:t>
            </w:r>
            <w:r>
              <w:rPr>
                <w:bCs/>
                <w:b/>
              </w:rPr>
              <w:t xml:space="preserve">Accomack-only</w:t>
            </w:r>
            <w:r>
              <w:t xml:space="preserve"> </w:t>
            </w:r>
            <w:r>
              <w:t xml:space="preserve">scope note.</w:t>
            </w:r>
          </w:p>
        </w:tc>
      </w:tr>
      <w:tr>
        <w:tc>
          <w:tcPr/>
          <w:p>
            <w:pPr>
              <w:pStyle w:val="Compact"/>
              <w:jc w:val="left"/>
            </w:pPr>
            <w:r>
              <w:t xml:space="preserve">10a</w:t>
            </w:r>
          </w:p>
        </w:tc>
        <w:tc>
          <w:tcPr/>
          <w:p>
            <w:pPr>
              <w:pStyle w:val="Compact"/>
              <w:jc w:val="left"/>
            </w:pPr>
            <w:r>
              <w:t xml:space="preserve">Phosphorus was labelled</w:t>
            </w:r>
            <w:r>
              <w:t xml:space="preserve"> </w:t>
            </w:r>
            <w:r>
              <w:rPr>
                <w:bCs/>
                <w:b/>
              </w:rPr>
              <w:t xml:space="preserve">AGE-DRIVEN</w:t>
            </w:r>
            <w:r>
              <w:t xml:space="preserve"> </w:t>
            </w:r>
            <w:r>
              <w:t xml:space="preserve">in a column headed</w:t>
            </w:r>
            <w:r>
              <w:t xml:space="preserve"> </w:t>
            </w:r>
            <w:r>
              <w:t xml:space="preserve">“</w:t>
            </w:r>
            <w:r>
              <w:t xml:space="preserve">Failure-driven?</w:t>
            </w:r>
            <w:r>
              <w:t xml:space="preserve">”</w:t>
            </w:r>
            <w:r>
              <w:t xml:space="preserve">, and Column 3 said P</w:t>
            </w:r>
            <w:r>
              <w:t xml:space="preserve"> </w:t>
            </w:r>
            <w:r>
              <w:t xml:space="preserve">“</w:t>
            </w:r>
            <w:r>
              <w:t xml:space="preserve">breaks through as soils age</w:t>
            </w:r>
            <w:r>
              <w:t xml:space="preserve">”</w:t>
            </w:r>
          </w:p>
        </w:tc>
        <w:tc>
          <w:tcPr/>
          <w:p>
            <w:pPr>
              <w:pStyle w:val="Compact"/>
              <w:jc w:val="left"/>
            </w:pPr>
            <w:r>
              <w:rPr>
                <w:bCs/>
                <w:b/>
              </w:rPr>
              <w:t xml:space="preserve">Corrected (v3).</w:t>
            </w:r>
            <w:r>
              <w:t xml:space="preserve"> </w:t>
            </w:r>
            <w:r>
              <w:t xml:space="preserve">“</w:t>
            </w:r>
            <w:r>
              <w:t xml:space="preserve">Age</w:t>
            </w:r>
            <w:r>
              <w:t xml:space="preserve">”</w:t>
            </w:r>
            <w:r>
              <w:t xml:space="preserve"> </w:t>
            </w:r>
            <w:r>
              <w:t xml:space="preserve">meant the</w:t>
            </w:r>
            <w:r>
              <w:t xml:space="preserve"> </w:t>
            </w:r>
            <w:r>
              <w:rPr>
                <w:iCs/>
                <w:i/>
              </w:rPr>
              <w:t xml:space="preserve">septic system’s</w:t>
            </w:r>
            <w:r>
              <w:t xml:space="preserve"> </w:t>
            </w:r>
            <w:r>
              <w:t xml:space="preserve">cumulative operating time, not the geological age of the soil — the original wording implied a process unrelated to septic systems. P is now labelled</w:t>
            </w:r>
            <w:r>
              <w:t xml:space="preserve"> </w:t>
            </w:r>
            <w:r>
              <w:rPr>
                <w:bCs/>
                <w:b/>
              </w:rPr>
              <w:t xml:space="preserve">NO — use-driven</w:t>
            </w:r>
            <w:r>
              <w:t xml:space="preserve">, with the description clarifying it is</w:t>
            </w:r>
            <w:r>
              <w:t xml:space="preserve"> </w:t>
            </w:r>
            <w:r>
              <w:rPr>
                <w:iCs/>
                <w:i/>
              </w:rPr>
              <w:t xml:space="preserve">that system’s own</w:t>
            </w:r>
            <w:r>
              <w:t xml:space="preserve"> </w:t>
            </w:r>
            <w:r>
              <w:t xml:space="preserve">binding capacity being exhausted. A note records the one genuine failure link: reductive dissolution of iron oxides under a risen water table can remobilise legacy phosphorus (Smith et al. 2021,</w:t>
            </w:r>
            <w:r>
              <w:t xml:space="preserve"> </w:t>
            </w:r>
            <w:r>
              <w:rPr>
                <w:iCs/>
                <w:i/>
              </w:rPr>
              <w:t xml:space="preserve">J. Environ. Qual.</w:t>
            </w:r>
            <w:r>
              <w:t xml:space="preserve">, mechanism established in soils generally; nitrate-rich septic plumes may delay it, since nitrate is the preferred electron acceptor).</w:t>
            </w:r>
          </w:p>
        </w:tc>
      </w:tr>
      <w:tr>
        <w:tc>
          <w:tcPr/>
          <w:p>
            <w:pPr>
              <w:pStyle w:val="Compact"/>
              <w:jc w:val="left"/>
            </w:pPr>
            <w:r>
              <w:t xml:space="preserve">10</w:t>
            </w:r>
          </w:p>
        </w:tc>
        <w:tc>
          <w:tcPr/>
          <w:p>
            <w:pPr>
              <w:pStyle w:val="Compact"/>
              <w:jc w:val="left"/>
            </w:pPr>
            <w:r>
              <w:t xml:space="preserve">“</w:t>
            </w:r>
            <w:r>
              <w:t xml:space="preserve">The vulnerability is measurable</w:t>
            </w:r>
            <w:r>
              <w:t xml:space="preserve">”</w:t>
            </w:r>
            <w:r>
              <w:t xml:space="preserve"> </w:t>
            </w:r>
            <w:r>
              <w:t xml:space="preserve">implied septic causation</w:t>
            </w:r>
          </w:p>
        </w:tc>
        <w:tc>
          <w:tcPr/>
          <w:p>
            <w:pPr>
              <w:pStyle w:val="Compact"/>
              <w:jc w:val="left"/>
            </w:pPr>
            <w:r>
              <w:rPr>
                <w:bCs/>
                <w:b/>
              </w:rPr>
              <w:t xml:space="preserve">Retitled</w:t>
            </w:r>
            <w:r>
              <w:rPr>
                <w:bCs/>
                <w:b/>
              </w:rPr>
              <w:t xml:space="preserve"> </w:t>
            </w:r>
            <w:r>
              <w:rPr>
                <w:bCs/>
                <w:b/>
              </w:rPr>
              <w:t xml:space="preserve">“</w:t>
            </w:r>
            <w:r>
              <w:rPr>
                <w:bCs/>
                <w:b/>
              </w:rPr>
              <w:t xml:space="preserve">Why the margin is thin</w:t>
            </w:r>
            <w:r>
              <w:rPr>
                <w:bCs/>
                <w:b/>
              </w:rPr>
              <w:t xml:space="preserve">”</w:t>
            </w:r>
            <w:r>
              <w:t xml:space="preserve"> </w:t>
            </w:r>
            <w:r>
              <w:t xml:space="preserve">with an explicit lead sentence: these systems are not currently degraded by septic pollution, but they are demonstrably perturbable.</w:t>
            </w:r>
          </w:p>
        </w:tc>
      </w:tr>
    </w:tbl>
    <w:bookmarkStart w:id="39" w:name="on-whether-the-assets-are-at-risk"/>
    <w:p>
      <w:pPr>
        <w:pStyle w:val="Heading3"/>
      </w:pPr>
      <w:r>
        <w:t xml:space="preserve">On whether the assets are</w:t>
      </w:r>
      <w:r>
        <w:t xml:space="preserve"> </w:t>
      </w:r>
      <w:r>
        <w:t xml:space="preserve">“</w:t>
      </w:r>
      <w:r>
        <w:t xml:space="preserve">at risk</w:t>
      </w:r>
      <w:r>
        <w:t xml:space="preserve">”</w:t>
      </w:r>
    </w:p>
    <w:p>
      <w:pPr>
        <w:pStyle w:val="FirstParagraph"/>
      </w:pPr>
      <w:r>
        <w:t xml:space="preserve">The honest position, now reflected on the poster:</w:t>
      </w:r>
    </w:p>
    <w:p>
      <w:pPr>
        <w:numPr>
          <w:ilvl w:val="0"/>
          <w:numId w:val="1008"/>
        </w:numPr>
        <w:pStyle w:val="Compact"/>
      </w:pPr>
      <w:r>
        <w:rPr>
          <w:bCs/>
          <w:b/>
        </w:rPr>
        <w:t xml:space="preserve">Defensible:</w:t>
      </w:r>
      <w:r>
        <w:t xml:space="preserve"> </w:t>
      </w:r>
      <w:r>
        <w:t xml:space="preserve">the shellfish-closure link (mechanistically direct, spatially co-located); the inherent sensitivity of shallow lagoons; and the</w:t>
      </w:r>
      <w:r>
        <w:t xml:space="preserve"> </w:t>
      </w:r>
      <w:r>
        <w:rPr>
          <w:iCs/>
          <w:i/>
        </w:rPr>
        <w:t xml:space="preserve">rising trajectory</w:t>
      </w:r>
      <w:r>
        <w:t xml:space="preserve"> </w:t>
      </w:r>
      <w:r>
        <w:t xml:space="preserve">of septic failure under sea-level rise.</w:t>
      </w:r>
    </w:p>
    <w:p>
      <w:pPr>
        <w:numPr>
          <w:ilvl w:val="0"/>
          <w:numId w:val="1008"/>
        </w:numPr>
        <w:pStyle w:val="Compact"/>
      </w:pPr>
      <w:r>
        <w:rPr>
          <w:bCs/>
          <w:b/>
        </w:rPr>
        <w:t xml:space="preserve">Not defensible:</w:t>
      </w:r>
      <w:r>
        <w:t xml:space="preserve"> </w:t>
      </w:r>
      <w:r>
        <w:t xml:space="preserve">that septic-derived nitrogen is currently damaging the eelgrass restoration. Seaside nutrient concentrations are low by global standards; the documented threat has been thermal; seaside septic density is comparatively low; and agricultural nitrogen likely dominates many sub-basin budgets — unpartitioned.</w:t>
      </w:r>
    </w:p>
    <w:p>
      <w:pPr>
        <w:pStyle w:val="FirstParagraph"/>
      </w:pPr>
      <w:r>
        <w:t xml:space="preserve">For an agency audience this reframing is a</w:t>
      </w:r>
      <w:r>
        <w:t xml:space="preserve"> </w:t>
      </w:r>
      <w:r>
        <w:rPr>
          <w:bCs/>
          <w:b/>
        </w:rPr>
        <w:t xml:space="preserve">strength</w:t>
      </w:r>
      <w:r>
        <w:t xml:space="preserve">. It converts the poster from</w:t>
      </w:r>
      <w:r>
        <w:t xml:space="preserve"> </w:t>
      </w:r>
      <w:r>
        <w:t xml:space="preserve">“</w:t>
      </w:r>
      <w:r>
        <w:t xml:space="preserve">here is a problem</w:t>
      </w:r>
      <w:r>
        <w:t xml:space="preserve">”</w:t>
      </w:r>
      <w:r>
        <w:t xml:space="preserve"> </w:t>
      </w:r>
      <w:r>
        <w:t xml:space="preserve">into</w:t>
      </w:r>
      <w:r>
        <w:t xml:space="preserve"> </w:t>
      </w:r>
      <w:r>
        <w:t xml:space="preserve">“</w:t>
      </w:r>
      <w:r>
        <w:t xml:space="preserve">here is a specific, tractable, fundable question nobody has answered.</w:t>
      </w:r>
      <w:r>
        <w:t xml:space="preserve">”</w:t>
      </w:r>
    </w:p>
    <w:p>
      <w:r>
        <w:pict>
          <v:rect style="width:0;height:1.5pt" o:hralign="center" o:hrstd="t" o:hr="t"/>
        </w:pict>
      </w:r>
    </w:p>
    <w:bookmarkEnd w:id="39"/>
    <w:bookmarkEnd w:id="40"/>
    <w:bookmarkStart w:id="41" w:name="Xd29de46890c893cb2f1679a36f20912deaec5bc"/>
    <w:p>
      <w:pPr>
        <w:pStyle w:val="Heading2"/>
      </w:pPr>
      <w:r>
        <w:t xml:space="preserve">13.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2026-07-28T14:53:06Z</dcterms:created>
  <dcterms:modified xsi:type="dcterms:W3CDTF">2026-07-28T14:53:06Z</dcterms:modified>
</cp:coreProperties>
</file>

<file path=docProps/custom.xml><?xml version="1.0" encoding="utf-8"?>
<Properties xmlns="http://schemas.openxmlformats.org/officeDocument/2006/custom-properties" xmlns:vt="http://schemas.openxmlformats.org/officeDocument/2006/docPropsVTypes"/>
</file>