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7f00073f03586fcfac522f7268467b82d5f2144"/>
    <w:p>
      <w:pPr>
        <w:pStyle w:val="Heading1"/>
      </w:pPr>
      <w:r>
        <w:t xml:space="preserve">Article draft: Eastern Shore Post — ecological/behavior version</w:t>
      </w:r>
    </w:p>
    <w:p>
      <w:pPr>
        <w:pStyle w:val="FirstParagraph"/>
      </w:pPr>
      <w:r>
        <w:rPr>
          <w:bCs/>
          <w:b/>
        </w:rPr>
        <w:t xml:space="preserve">Working headline (pick one):</w:t>
      </w:r>
      <w:r>
        <w:t xml:space="preserve"> </w:t>
      </w:r>
      <w:r>
        <w:t xml:space="preserve">-</w:t>
      </w:r>
      <w:r>
        <w:t xml:space="preserve"> </w:t>
      </w:r>
      <w:r>
        <w:t xml:space="preserve">“</w:t>
      </w:r>
      <w:r>
        <w:t xml:space="preserve">What’s underground at your house ends up in Hog Island Bay</w:t>
      </w:r>
      <w:r>
        <w:t xml:space="preserve">”</w:t>
      </w:r>
      <w:r>
        <w:t xml:space="preserve"> </w:t>
      </w:r>
      <w:r>
        <w:t xml:space="preserve">-</w:t>
      </w:r>
      <w:r>
        <w:t xml:space="preserve"> </w:t>
      </w:r>
      <w:r>
        <w:t xml:space="preserve">“</w:t>
      </w:r>
      <w:r>
        <w:t xml:space="preserve">Your septic system and the Shore’s $81 million seafood industry use the same water</w:t>
      </w:r>
      <w:r>
        <w:t xml:space="preserve">”</w:t>
      </w:r>
      <w:r>
        <w:t xml:space="preserve"> </w:t>
      </w:r>
      <w:r>
        <w:t xml:space="preserve">-</w:t>
      </w:r>
      <w:r>
        <w:t xml:space="preserve"> </w:t>
      </w:r>
      <w:r>
        <w:t xml:space="preserve">“</w:t>
      </w:r>
      <w:r>
        <w:t xml:space="preserve">A $400 fix that protects the bay scallop, the hard clam, and your house</w:t>
      </w:r>
      <w:r>
        <w:t xml:space="preserve">”</w:t>
      </w:r>
    </w:p>
    <w:p>
      <w:pPr>
        <w:pStyle w:val="BodyText"/>
      </w:pPr>
      <w:r>
        <w:rPr>
          <w:bCs/>
          <w:b/>
        </w:rPr>
        <w:t xml:space="preserve">Target length:</w:t>
      </w:r>
      <w:r>
        <w:t xml:space="preserve"> </w:t>
      </w:r>
      <w:r>
        <w:t xml:space="preserve">900–1,100 words.</w:t>
      </w:r>
      <w:r>
        <w:t xml:space="preserve"> </w:t>
      </w:r>
      <w:r>
        <w:rPr>
          <w:bCs/>
          <w:b/>
        </w:rPr>
        <w:t xml:space="preserve">Audience:</w:t>
      </w:r>
      <w:r>
        <w:t xml:space="preserve"> </w:t>
      </w:r>
      <w:r>
        <w:t xml:space="preserve">Eastern Shore Post readers — local, often septic owners themselves, sympathetic to working watermen and aquaculture, allergic to being lectured by outsiders.</w:t>
      </w:r>
      <w:r>
        <w:t xml:space="preserve"> </w:t>
      </w:r>
      <w:r>
        <w:rPr>
          <w:bCs/>
          <w:b/>
        </w:rPr>
        <w:t xml:space="preserve">Goal:</w:t>
      </w:r>
      <w:r>
        <w:t xml:space="preserve"> </w:t>
      </w:r>
      <w:r>
        <w:t xml:space="preserve">Drive specific actions — well water testing, scheduled pump-outs, signing up for free programs, what not to flush. Mention structural issues briefly to provide context but spend the most words on what residents can actually do.</w:t>
      </w:r>
      <w:r>
        <w:t xml:space="preserve"> </w:t>
      </w:r>
      <w:r>
        <w:rPr>
          <w:bCs/>
          <w:b/>
        </w:rPr>
        <w:t xml:space="preserve">Tone:</w:t>
      </w:r>
      <w:r>
        <w:t xml:space="preserve"> </w:t>
      </w:r>
      <w:r>
        <w:t xml:space="preserve">Plain language. Specific local places and people. Friendly, not preachy. Numbers where they help, prose where they don’t.</w:t>
      </w:r>
    </w:p>
    <w:p>
      <w:r>
        <w:pict>
          <v:rect style="width:0;height:1.5pt" o:hralign="center" o:hrstd="t" o:hr="t"/>
        </w:pict>
      </w:r>
    </w:p>
    <w:bookmarkStart w:id="20" w:name="article-body"/>
    <w:p>
      <w:pPr>
        <w:pStyle w:val="Heading2"/>
      </w:pPr>
      <w:r>
        <w:t xml:space="preserve">Article body</w:t>
      </w:r>
    </w:p>
    <w:p>
      <w:pPr>
        <w:pStyle w:val="FirstParagraph"/>
      </w:pPr>
      <w:r>
        <w:rPr>
          <w:bCs/>
          <w:b/>
        </w:rPr>
        <w:t xml:space="preserve">What’s underground at your house ends up in Hog Island Bay</w:t>
      </w:r>
    </w:p>
    <w:p>
      <w:pPr>
        <w:pStyle w:val="BodyText"/>
      </w:pPr>
      <w:r>
        <w:t xml:space="preserve">Drive out to Willis Wharf at dawn and you’ll see boats heading out to the clam grounds. Stop at any restaurant in Cape Charles and the half-shells on the menu probably came out of an Accomack or Northampton creek the day before. Walk the seaside flats at low tide and, in the right places, you’ll find something most of the East Coast lost a hundred years ago and only the Eastern Shore has gotten back: living eelgrass meadows, with bay scallops in them.</w:t>
      </w:r>
    </w:p>
    <w:p>
      <w:pPr>
        <w:pStyle w:val="BodyText"/>
      </w:pPr>
      <w:r>
        <w:t xml:space="preserve">That’s not a tourism brochure. That’s an industry. Virginia shellfish farmers brought in about $81 million in direct sales last year, more than half again what they earned just six years ago, and roughly 99 percent of the state’s hard-clam harvest comes off these two counties [1]. More than 700 people on the Shore make their living from it [1]. The seaside seagrass restoration — about 10,000 acres of eelgrass replanted in South Bay, Cobb Bay, Hog Island Bay, and Spider Crab Bay — is the largest successful seagrass comeback in the world [2]. Bay scallops, gone from these waters since 1933, are back and breeding because of it [3].</w:t>
      </w:r>
    </w:p>
    <w:p>
      <w:pPr>
        <w:pStyle w:val="BodyText"/>
      </w:pPr>
      <w:r>
        <w:t xml:space="preserve">All of that depends on clean water in the creeks. And clean water in the creeks depends, more than most folks realize, on what’s happening underground at your house.</w:t>
      </w:r>
    </w:p>
    <w:p>
      <w:pPr>
        <w:pStyle w:val="BodyText"/>
      </w:pPr>
      <w:r>
        <w:t xml:space="preserve">The Eastern Shore sits on a single shallow aquifer — the same water your well draws from is the same water your drainfield empties into [4]. About eighty percent of the water flowing through Accomack County’s tidal creeks comes up out of the ground, not down out of the sky [5]. So when a septic system isn’t working right, what leaks out doesn’t stay at your property. It moves through the sand and the gravel and a few months or a few years later it shows up in a creek mouth, in an oyster lease, in a clam bed, or in a brown haze of algae over an eelgrass meadow.</w:t>
      </w:r>
    </w:p>
    <w:p>
      <w:pPr>
        <w:pStyle w:val="BodyText"/>
      </w:pPr>
      <w:r>
        <w:t xml:space="preserve">Researchers at the Virginia Institute of Marine Science, the University of Virginia, the Virginia Coast Reserve, and Eastern Shore Community College have spent the last few years putting numbers on this. The picture is consistent. Where there’s a lot of older septic on the Shore, there’s more nitrogen in the creeks, more bacteria after rainstorms, more closed shellfish days, and less margin of safety for the eelgrass meadow that holds the whole seaside system together. The closure maps and the failing-septic maps line up almost exactly — at Oyster, at Wachapreague, at Quinby, at Saxis, at Chincoteague, at Cape Charles [6]. The Virginia Department of Health watches its shellfish water-quality numbers rise from about seven percent over the limit on dry days to nearly forty percent over the limit after an inch of rain [7]. Headwater creeks can be closed sixty days a year in a wet year [6].</w:t>
      </w:r>
    </w:p>
    <w:p>
      <w:pPr>
        <w:pStyle w:val="BodyText"/>
      </w:pPr>
      <w:r>
        <w:t xml:space="preserve">This isn’t a story about blame. Most Shore septic systems were installed decades ago, when the groundwater was lower, the storms were less intense, and the rules were less demanding. They worked fine then. They’re working less well now, mostly through no fault of the homeowner. Sea level is rising on the Shore faster than almost anywhere on the East Coast [8], and as the water table comes up, the soil layer that’s supposed to clean the wastewater before it reaches groundwater gets thinner and thinner. A drainfield that was perfectly compliant in 1985 may be marginal today and failing by 2040 [9].</w:t>
      </w:r>
    </w:p>
    <w:p>
      <w:pPr>
        <w:pStyle w:val="BodyText"/>
      </w:pPr>
      <w:r>
        <w:t xml:space="preserve">That’s the structural part of the story, and it’s not something any one household can fix on its own. What you</w:t>
      </w:r>
      <w:r>
        <w:t xml:space="preserve"> </w:t>
      </w:r>
      <w:r>
        <w:rPr>
          <w:iCs/>
          <w:i/>
        </w:rPr>
        <w:t xml:space="preserve">can</w:t>
      </w:r>
      <w:r>
        <w:t xml:space="preserve"> </w:t>
      </w:r>
      <w:r>
        <w:t xml:space="preserve">do is make your own system last longer, leak less, and contribute less to the problem in the meantime. The good news is that the cheapest, easiest things to do are also the most effective. And several of them are free.</w:t>
      </w:r>
    </w:p>
    <w:p>
      <w:pPr>
        <w:pStyle w:val="BodyText"/>
      </w:pPr>
      <w:r>
        <w:t xml:space="preserve">The single most important thing is a regular tank pump-out. Every three to five years, depending on household size. A pump-out costs about $400 if you pay out of pocket, and it can prevent a $20,000 to $40,000 system replacement on Shore terrain where engineered systems are the only option [10]. The Accomack–Northampton Planning District Commission has run programs that cover pump-outs at no cost to qualifying low- and moderate-income households [11]. Most of the people who could use these programs don’t know they exist. The Virginia Department of Health’s Eastern Shore office sends letters about pump-outs every year — only about one in four homeowners writes back [12]. If you got one of those letters and tossed it, dig it back out.</w:t>
      </w:r>
    </w:p>
    <w:p>
      <w:pPr>
        <w:pStyle w:val="BodyText"/>
      </w:pPr>
      <w:r>
        <w:t xml:space="preserve">The second is what you put in the system. Septic installers on the Shore say two things kill systems: age and what gets flushed. Wet wipes — even the ones labeled</w:t>
      </w:r>
      <w:r>
        <w:t xml:space="preserve"> </w:t>
      </w:r>
      <w:r>
        <w:t xml:space="preserve">“</w:t>
      </w:r>
      <w:r>
        <w:t xml:space="preserve">flushable</w:t>
      </w:r>
      <w:r>
        <w:t xml:space="preserve">”</w:t>
      </w:r>
      <w:r>
        <w:t xml:space="preserve"> </w:t>
      </w:r>
      <w:r>
        <w:t xml:space="preserve">— grease and cooking oil, paint, harsh chemicals, and excessive amounts of any cleaner all shorten system life and can directly cause the failures that contaminate creeks. The rule of thumb is the three P’s: pee, poop, and (toilet) paper [13]. Everything else goes in the trash.</w:t>
      </w:r>
    </w:p>
    <w:p>
      <w:pPr>
        <w:pStyle w:val="BodyText"/>
      </w:pPr>
      <w:r>
        <w:t xml:space="preserve">The third is well water testing. Most Shore wells have never been tested, because Virginia does not require it [14]. Free or low-cost nitrate and bacteria tests show up at community events on the Shore — Earth Day, SepticSmart Week in September, and the local well-testing days run through Eastern Shore Community College and the health district. A test result is more motivating than any newspaper article. If you’ve never had your water tested, this is the year.</w:t>
      </w:r>
    </w:p>
    <w:p>
      <w:pPr>
        <w:pStyle w:val="BodyText"/>
      </w:pPr>
      <w:r>
        <w:t xml:space="preserve">The fourth is helping water move where it’s supposed to. Drainage ditches that fill up with leaves and limbs back water onto drainfields, push the water table higher, and push more systems toward failure. Targeted ditch maintenance can reduce rainfall-driven flooding by as much as ten percent in some neighborhoods [15]. The Shore’s tradition of community work days is exactly the right tool for this; the project team is helping organize a few of them in 2026 and would welcome volunteers.</w:t>
      </w:r>
    </w:p>
    <w:p>
      <w:pPr>
        <w:pStyle w:val="BodyText"/>
      </w:pPr>
      <w:r>
        <w:t xml:space="preserve">And finally — if a sewer line ever reaches your property as part of the Hampton Roads Sanitation District’s Route 13 expansion through Nassawadox, Exmore, Onley, Onancock, Accomac, and Wachapreague [16], take it. The hookup costs are real, but the long-term savings and the protection it gives the creeks downstream are bigger. Programs to help cover hookup costs are part of the larger conversation the planning district commission is having with the state.</w:t>
      </w:r>
    </w:p>
    <w:p>
      <w:pPr>
        <w:pStyle w:val="BodyText"/>
      </w:pPr>
      <w:r>
        <w:t xml:space="preserve">None of this is about scaring anyone. The Shore has gotten back things — the seagrass, the scallops, the clam grounds — that other coastal communities have lost forever. That recovery is fragile, and it depends on a fragile balance underground. A $400 pump-out, a free water test, and the three P’s at the toilet are the kind of small, ordinary things that, multiplied across 18,000 households [17], decide whether the Shore keeps what it has built back.</w:t>
      </w:r>
    </w:p>
    <w:p>
      <w:pPr>
        <w:pStyle w:val="BodyText"/>
      </w:pPr>
      <w:r>
        <w:t xml:space="preserve">The clams in Willis Wharf and the seagrass in Hog Island Bay are not abstractions. They are jobs and food and a place worth living in. They begin with what is underground at your house.</w:t>
      </w:r>
    </w:p>
    <w:bookmarkEnd w:id="20"/>
    <w:bookmarkStart w:id="21" w:name="Xa21b4b95a04d85d0d46bb9cfedf949495529dc3"/>
    <w:p>
      <w:pPr>
        <w:pStyle w:val="Heading2"/>
      </w:pPr>
      <w:r>
        <w:t xml:space="preserve">Editor’s note / sidebar —</w:t>
      </w:r>
      <w:r>
        <w:t xml:space="preserve"> </w:t>
      </w:r>
      <w:r>
        <w:t xml:space="preserve">“</w:t>
      </w:r>
      <w:r>
        <w:t xml:space="preserve">What you can do today</w:t>
      </w:r>
      <w:r>
        <w:t xml:space="preserve">”</w:t>
      </w:r>
    </w:p>
    <w:p>
      <w:pPr>
        <w:pStyle w:val="FirstParagraph"/>
      </w:pPr>
      <w:r>
        <w:rPr>
          <w:bCs/>
          <w:b/>
        </w:rPr>
        <w:t xml:space="preserve">1. Pump out your tank.</w:t>
      </w:r>
      <w:r>
        <w:t xml:space="preserve"> </w:t>
      </w:r>
      <w:r>
        <w:t xml:space="preserve">Every 3–5 years for most households. Costs about $400 if you pay yourself; free for qualifying low- and moderate-income households through the Accomack–Northampton Planning District Commission [11]. A $400 pump-out can prevent a $20,000–$40,000 system replacement [10].</w:t>
      </w:r>
    </w:p>
    <w:p>
      <w:pPr>
        <w:pStyle w:val="BodyText"/>
      </w:pPr>
      <w:r>
        <w:rPr>
          <w:bCs/>
          <w:b/>
        </w:rPr>
        <w:t xml:space="preserve">2. Get your well water tested.</w:t>
      </w:r>
      <w:r>
        <w:t xml:space="preserve"> </w:t>
      </w:r>
      <w:r>
        <w:t xml:space="preserve">Most Shore wells have never been tested [14]. Free testing days happen on Earth Day (April 25 this year), during SepticSmart Week in September, and through Eastern Shore Community College student programs. Walk in with a clean container and walk out with your nitrate and bacteria numbers.</w:t>
      </w:r>
    </w:p>
    <w:p>
      <w:pPr>
        <w:pStyle w:val="BodyText"/>
      </w:pPr>
      <w:r>
        <w:rPr>
          <w:bCs/>
          <w:b/>
        </w:rPr>
        <w:t xml:space="preserve">3. Mind the three P’s at the toilet.</w:t>
      </w:r>
      <w:r>
        <w:t xml:space="preserve"> </w:t>
      </w:r>
      <w:r>
        <w:t xml:space="preserve">Pee, poop, and toilet paper only [13]. No</w:t>
      </w:r>
      <w:r>
        <w:t xml:space="preserve"> </w:t>
      </w:r>
      <w:r>
        <w:t xml:space="preserve">“</w:t>
      </w:r>
      <w:r>
        <w:t xml:space="preserve">flushable</w:t>
      </w:r>
      <w:r>
        <w:t xml:space="preserve">”</w:t>
      </w:r>
      <w:r>
        <w:t xml:space="preserve"> </w:t>
      </w:r>
      <w:r>
        <w:t xml:space="preserve">wipes — they aren’t. No grease, no paint, no harsh chemicals down the drain in any quantity.</w:t>
      </w:r>
    </w:p>
    <w:p>
      <w:pPr>
        <w:pStyle w:val="BodyText"/>
      </w:pPr>
      <w:r>
        <w:rPr>
          <w:bCs/>
          <w:b/>
        </w:rPr>
        <w:t xml:space="preserve">4. Apply for repair help if you need it.</w:t>
      </w:r>
      <w:r>
        <w:t xml:space="preserve"> </w:t>
      </w:r>
      <w:r>
        <w:t xml:space="preserve">Virginia’s Onsite Sewage Indemnification Fund covers households at up to twice the federal poverty level. Most homeowners who qualify don’t know it exists. The planning district commission and the health district can help you fill out the paperwork at the kitchen table.</w:t>
      </w:r>
    </w:p>
    <w:p>
      <w:pPr>
        <w:pStyle w:val="BodyText"/>
      </w:pPr>
      <w:r>
        <w:rPr>
          <w:bCs/>
          <w:b/>
        </w:rPr>
        <w:t xml:space="preserve">5. Keep your ditches clear.</w:t>
      </w:r>
      <w:r>
        <w:t xml:space="preserve"> </w:t>
      </w:r>
      <w:r>
        <w:t xml:space="preserve">A blocked ditch backs water onto your drainfield. Targeted ditch maintenance days are being organized for 2026 [15]; volunteers welcome.</w:t>
      </w:r>
    </w:p>
    <w:p>
      <w:pPr>
        <w:pStyle w:val="BodyText"/>
      </w:pPr>
      <w:r>
        <w:rPr>
          <w:bCs/>
          <w:b/>
        </w:rPr>
        <w:t xml:space="preserve">6. If sewer comes to you, take it.</w:t>
      </w:r>
      <w:r>
        <w:t xml:space="preserve"> </w:t>
      </w:r>
      <w:r>
        <w:t xml:space="preserve">The Hampton Roads Sanitation District is extending sewer lines through seven Shore towns [16]. If your property is on the line, the long-term protection is worth the hookup cost. Help with hookup fees may be available — ask.</w:t>
      </w:r>
    </w:p>
    <w:bookmarkEnd w:id="21"/>
    <w:bookmarkStart w:id="22" w:name="editors-note-sidebar-where-to-call"/>
    <w:p>
      <w:pPr>
        <w:pStyle w:val="Heading2"/>
      </w:pPr>
      <w:r>
        <w:t xml:space="preserve">Editor’s note / sidebar —</w:t>
      </w:r>
      <w:r>
        <w:t xml:space="preserve"> </w:t>
      </w:r>
      <w:r>
        <w:t xml:space="preserve">“</w:t>
      </w:r>
      <w:r>
        <w:t xml:space="preserve">Where to call</w:t>
      </w:r>
      <w:r>
        <w:t xml:space="preserve">”</w:t>
      </w:r>
    </w:p>
    <w:p>
      <w:pPr>
        <w:numPr>
          <w:ilvl w:val="0"/>
          <w:numId w:val="1001"/>
        </w:numPr>
        <w:pStyle w:val="Compact"/>
      </w:pPr>
      <w:r>
        <w:rPr>
          <w:bCs/>
          <w:b/>
        </w:rPr>
        <w:t xml:space="preserve">Eastern Shore Health District (Virginia Department of Health):</w:t>
      </w:r>
      <w:r>
        <w:t xml:space="preserve"> </w:t>
      </w:r>
      <w:r>
        <w:t xml:space="preserve">757-787-5886 — well water testing, septic permits, repair-program information.</w:t>
      </w:r>
    </w:p>
    <w:p>
      <w:pPr>
        <w:numPr>
          <w:ilvl w:val="0"/>
          <w:numId w:val="1001"/>
        </w:numPr>
        <w:pStyle w:val="Compact"/>
      </w:pPr>
      <w:r>
        <w:rPr>
          <w:bCs/>
          <w:b/>
        </w:rPr>
        <w:t xml:space="preserve">Accomack–Northampton Planning District Commission:</w:t>
      </w:r>
      <w:r>
        <w:t xml:space="preserve"> </w:t>
      </w:r>
      <w:r>
        <w:t xml:space="preserve">the office in Accomac handles the pump-out and septic repair assistance programs and can help with applications.</w:t>
      </w:r>
    </w:p>
    <w:p>
      <w:pPr>
        <w:numPr>
          <w:ilvl w:val="0"/>
          <w:numId w:val="1001"/>
        </w:numPr>
        <w:pStyle w:val="Compact"/>
      </w:pPr>
      <w:r>
        <w:rPr>
          <w:bCs/>
          <w:b/>
        </w:rPr>
        <w:t xml:space="preserve">Eastern Shore Community College — Smart Septic Project:</w:t>
      </w:r>
      <w:r>
        <w:t xml:space="preserve"> </w:t>
      </w:r>
      <w:r>
        <w:t xml:space="preserve">Dr. Alex Foxworthy and the student team are running well water testing events and community outreach as part of the UVA Climate Collaborative project. ESCC main office, Melfa.</w:t>
      </w:r>
    </w:p>
    <w:p>
      <w:pPr>
        <w:numPr>
          <w:ilvl w:val="0"/>
          <w:numId w:val="1001"/>
        </w:numPr>
        <w:pStyle w:val="Compact"/>
      </w:pPr>
      <w:r>
        <w:rPr>
          <w:bCs/>
          <w:b/>
        </w:rPr>
        <w:t xml:space="preserve">For shellfish closure questions:</w:t>
      </w:r>
      <w:r>
        <w:t xml:space="preserve"> </w:t>
      </w:r>
      <w:r>
        <w:t xml:space="preserve">VDH Division of Shellfish Safety publishes the closure status for every classified water on the Shore at the VDH environmental health website.</w:t>
      </w:r>
    </w:p>
    <w:p>
      <w:r>
        <w:pict>
          <v:rect style="width:0;height:1.5pt" o:hralign="center" o:hrstd="t" o:hr="t"/>
        </w:pict>
      </w:r>
    </w:p>
    <w:bookmarkEnd w:id="22"/>
    <w:bookmarkStart w:id="38" w:name="sources-and-citations"/>
    <w:p>
      <w:pPr>
        <w:pStyle w:val="Heading2"/>
      </w:pPr>
      <w:r>
        <w:t xml:space="preserve">Sources and citations</w:t>
      </w:r>
    </w:p>
    <w:p>
      <w:pPr>
        <w:pStyle w:val="FirstParagraph"/>
      </w:pPr>
      <w:r>
        <w:t xml:space="preserve">These citations support the specific factual claims in the article body and sidebars. The bracketed numbers [1], [2], etc. correspond to the entries below. Where the original source is paywalled, a freely available alternative or government summary is provided.</w:t>
      </w:r>
    </w:p>
    <w:p>
      <w:pPr>
        <w:pStyle w:val="BodyText"/>
      </w:pPr>
      <w:r>
        <w:rPr>
          <w:bCs/>
          <w:b/>
        </w:rPr>
        <w:t xml:space="preserve">Note for students:</w:t>
      </w:r>
      <w:r>
        <w:t xml:space="preserve"> </w:t>
      </w:r>
      <w:r>
        <w:t xml:space="preserve">The citation numbers in this article (Part 1 of the series) are independent of those in the companion health article (Part 2). When you build your own version, renumber as needed. The peer-reviewed papers are the strongest sources; the government, planning-district, and Extension sources are the most accessible.</w:t>
      </w:r>
    </w:p>
    <w:p>
      <w:pPr>
        <w:pStyle w:val="BodyText"/>
      </w:pPr>
      <w:r>
        <w:rPr>
          <w:bCs/>
          <w:b/>
        </w:rPr>
        <w:t xml:space="preserve">Note for editors:</w:t>
      </w:r>
      <w:r>
        <w:t xml:space="preserve"> </w:t>
      </w:r>
      <w:r>
        <w:t xml:space="preserve">the inline numbers can be left in place, stripped, or replaced with attribution-style references (</w:t>
      </w:r>
      <w:r>
        <w:t xml:space="preserve">“</w:t>
      </w:r>
      <w:r>
        <w:t xml:space="preserve">according to a 2020 study in</w:t>
      </w:r>
      <w:r>
        <w:t xml:space="preserve"> </w:t>
      </w:r>
      <w:r>
        <w:rPr>
          <w:iCs/>
          <w:i/>
        </w:rPr>
        <w:t xml:space="preserve">Science Advances</w:t>
      </w:r>
      <w:r>
        <w:t xml:space="preserve">…</w:t>
      </w:r>
      <w:r>
        <w:t xml:space="preserve">”</w:t>
      </w:r>
      <w:r>
        <w:t xml:space="preserve">) without changing the prose.</w:t>
      </w:r>
    </w:p>
    <w:p>
      <w:pPr>
        <w:pStyle w:val="BodyText"/>
      </w:pPr>
      <w:r>
        <w:t xml:space="preserve">[1]</w:t>
      </w:r>
      <w:r>
        <w:t xml:space="preserve"> </w:t>
      </w:r>
      <w:r>
        <w:rPr>
          <w:bCs/>
          <w:b/>
        </w:rPr>
        <w:t xml:space="preserve">Virginia shellfish aquaculture sales ($81 million in 2024), &gt;700 jobs, ~99% of state hard clam from ESVA.</w:t>
      </w:r>
      <w:r>
        <w:t xml:space="preserve"> </w:t>
      </w:r>
      <w:r>
        <w:t xml:space="preserve">Hudson K. 2024 (and prior annual editions).</w:t>
      </w:r>
      <w:r>
        <w:t xml:space="preserve"> </w:t>
      </w:r>
      <w:r>
        <w:rPr>
          <w:iCs/>
          <w:i/>
        </w:rPr>
        <w:t xml:space="preserve">Virginia Shellfish Aquaculture Situation and Outlook Report.</w:t>
      </w:r>
      <w:r>
        <w:t xml:space="preserve"> </w:t>
      </w:r>
      <w:r>
        <w:t xml:space="preserve">VIMS Marine Advisory Program / Virginia Sea Grant.</w:t>
      </w:r>
      <w:r>
        <w:t xml:space="preserve"> </w:t>
      </w:r>
      <w:hyperlink r:id="rId23">
        <w:r>
          <w:rPr>
            <w:rStyle w:val="Hyperlink"/>
          </w:rPr>
          <w:t xml:space="preserve">https://www.vims.edu/research/units/centerspartners/map/aquaculture/index.php</w:t>
        </w:r>
      </w:hyperlink>
    </w:p>
    <w:p>
      <w:pPr>
        <w:pStyle w:val="BodyText"/>
      </w:pPr>
      <w:r>
        <w:t xml:space="preserve">[2]</w:t>
      </w:r>
      <w:r>
        <w:t xml:space="preserve"> </w:t>
      </w:r>
      <w:r>
        <w:rPr>
          <w:bCs/>
          <w:b/>
        </w:rPr>
        <w:t xml:space="preserve">World’s largest successful seagrass restoration on the ESVA seaside.</w:t>
      </w:r>
      <w:r>
        <w:t xml:space="preserve"> </w:t>
      </w:r>
      <w:r>
        <w:t xml:space="preserve">Orth RJ, Lefcheck JS, McGlathery KJ, Aoki L, Luckenbach MW, Moore KA, Oreska MPJ, Snyder R, Wilcox DJ, Lusk B. 2020. Restoration of seagrass habitat leads to rapid recovery of coastal ecosystem services.</w:t>
      </w:r>
      <w:r>
        <w:t xml:space="preserve"> </w:t>
      </w:r>
      <w:r>
        <w:rPr>
          <w:iCs/>
          <w:i/>
        </w:rPr>
        <w:t xml:space="preserve">Science Advances</w:t>
      </w:r>
      <w:r>
        <w:t xml:space="preserve"> </w:t>
      </w:r>
      <w:r>
        <w:t xml:space="preserve">6(41):eabc6434.</w:t>
      </w:r>
      <w:r>
        <w:t xml:space="preserve"> </w:t>
      </w:r>
      <w:hyperlink r:id="rId24">
        <w:r>
          <w:rPr>
            <w:rStyle w:val="Hyperlink"/>
          </w:rPr>
          <w:t xml:space="preserve">https://doi.org/10.1126/sciadv.abc6434</w:t>
        </w:r>
      </w:hyperlink>
    </w:p>
    <w:p>
      <w:pPr>
        <w:pStyle w:val="BodyText"/>
      </w:pPr>
      <w:r>
        <w:t xml:space="preserve">[3]</w:t>
      </w:r>
      <w:r>
        <w:t xml:space="preserve"> </w:t>
      </w:r>
      <w:r>
        <w:rPr>
          <w:bCs/>
          <w:b/>
        </w:rPr>
        <w:t xml:space="preserve">Bay scallop reintroduction in the restored seaside eelgrass meadow.</w:t>
      </w:r>
      <w:r>
        <w:t xml:space="preserve"> </w:t>
      </w:r>
      <w:r>
        <w:t xml:space="preserve">VIMS Eastern Shore Laboratory, Bay Scallop Restoration Annual Survey.</w:t>
      </w:r>
      <w:r>
        <w:t xml:space="preserve"> </w:t>
      </w:r>
      <w:hyperlink r:id="rId25">
        <w:r>
          <w:rPr>
            <w:rStyle w:val="Hyperlink"/>
          </w:rPr>
          <w:t xml:space="preserve">https://www.vims.edu/esl/research/bay_scallop_restoration/</w:t>
        </w:r>
      </w:hyperlink>
      <w:r>
        <w:t xml:space="preserve">. See also Orth et al. 2020 (cited as [2]).</w:t>
      </w:r>
    </w:p>
    <w:p>
      <w:pPr>
        <w:pStyle w:val="BodyText"/>
      </w:pPr>
      <w:r>
        <w:t xml:space="preserve">[4]</w:t>
      </w:r>
      <w:r>
        <w:t xml:space="preserve"> </w:t>
      </w:r>
      <w:r>
        <w:rPr>
          <w:bCs/>
          <w:b/>
        </w:rPr>
        <w:t xml:space="preserve">EPA sole-source aquifer designation, 1997.</w:t>
      </w:r>
      <w:r>
        <w:t xml:space="preserve"> </w:t>
      </w:r>
      <w:r>
        <w:t xml:space="preserve">U.S. Environmental Protection Agency. Eastern Shore of Virginia aquifer system, Accomack and Northampton Counties.</w:t>
      </w:r>
      <w:r>
        <w:t xml:space="preserve"> </w:t>
      </w:r>
      <w:r>
        <w:rPr>
          <w:iCs/>
          <w:i/>
        </w:rPr>
        <w:t xml:space="preserve">Federal Register</w:t>
      </w:r>
      <w:r>
        <w:t xml:space="preserve"> </w:t>
      </w:r>
      <w:r>
        <w:t xml:space="preserve">62 FR 11562, March 12, 1997.</w:t>
      </w:r>
      <w:r>
        <w:t xml:space="preserve"> </w:t>
      </w:r>
      <w:hyperlink r:id="rId26">
        <w:r>
          <w:rPr>
            <w:rStyle w:val="Hyperlink"/>
          </w:rPr>
          <w:t xml:space="preserve">https://www.federalregister.gov/documents/1997/03/12/97-6235/eastern-shore-of-virginia-aquifer-sole-source-aquifer-designation</w:t>
        </w:r>
      </w:hyperlink>
    </w:p>
    <w:p>
      <w:pPr>
        <w:pStyle w:val="BodyText"/>
      </w:pPr>
      <w:r>
        <w:t xml:space="preserve">[5]</w:t>
      </w:r>
      <w:r>
        <w:t xml:space="preserve"> </w:t>
      </w:r>
      <w:r>
        <w:rPr>
          <w:bCs/>
          <w:b/>
        </w:rPr>
        <w:t xml:space="preserve">About 80 percent of Accomack County tidal creek baseflow is groundwater-fed.</w:t>
      </w:r>
      <w:r>
        <w:t xml:space="preserve"> </w:t>
      </w:r>
      <w:r>
        <w:t xml:space="preserve">Accomack–Northampton Planning District Commission. 2022.</w:t>
      </w:r>
      <w:r>
        <w:t xml:space="preserve"> </w:t>
      </w:r>
      <w:r>
        <w:rPr>
          <w:iCs/>
          <w:i/>
        </w:rPr>
        <w:t xml:space="preserve">Facts about the Eastern Shore of Virginia’s Groundwater.</w:t>
      </w:r>
      <w:r>
        <w:t xml:space="preserve"> </w:t>
      </w:r>
      <w:hyperlink r:id="rId27">
        <w:r>
          <w:rPr>
            <w:rStyle w:val="Hyperlink"/>
          </w:rPr>
          <w:t xml:space="preserve">https://www.esvaplan.org/wp-content/uploads/2022/03/Facts-about-the-ESVA-Groundwater.pdf</w:t>
        </w:r>
      </w:hyperlink>
      <w:r>
        <w:t xml:space="preserve">. See also Richardson DL. 1994.</w:t>
      </w:r>
      <w:r>
        <w:t xml:space="preserve"> </w:t>
      </w:r>
      <w:r>
        <w:rPr>
          <w:iCs/>
          <w:i/>
        </w:rPr>
        <w:t xml:space="preserve">Hydrogeology and analysis of the ground-water-flow system of the Eastern Shore, Virginia.</w:t>
      </w:r>
      <w:r>
        <w:t xml:space="preserve"> </w:t>
      </w:r>
      <w:r>
        <w:t xml:space="preserve">USGS Water-Supply Paper 2401.</w:t>
      </w:r>
    </w:p>
    <w:p>
      <w:pPr>
        <w:pStyle w:val="BodyText"/>
      </w:pPr>
      <w:r>
        <w:t xml:space="preserve">[6]</w:t>
      </w:r>
      <w:r>
        <w:t xml:space="preserve"> </w:t>
      </w:r>
      <w:r>
        <w:rPr>
          <w:bCs/>
          <w:b/>
        </w:rPr>
        <w:t xml:space="preserve">Spatial overlap of vulnerable septic systems and shellfish closure zones on ESVA.</w:t>
      </w:r>
      <w:r>
        <w:t xml:space="preserve"> </w:t>
      </w:r>
      <w:r>
        <w:t xml:space="preserve">Mitchell M, Isdell RE, Herman J, Tombleson C. 2021. Impact assessment and management challenges of key rural human health infrastructure under sea level rise.</w:t>
      </w:r>
      <w:r>
        <w:t xml:space="preserve"> </w:t>
      </w:r>
      <w:r>
        <w:rPr>
          <w:iCs/>
          <w:i/>
        </w:rPr>
        <w:t xml:space="preserve">Frontiers in Marine Science</w:t>
      </w:r>
      <w:r>
        <w:t xml:space="preserve"> </w:t>
      </w:r>
      <w:r>
        <w:t xml:space="preserve">8:631757.</w:t>
      </w:r>
      <w:r>
        <w:t xml:space="preserve"> </w:t>
      </w:r>
      <w:hyperlink r:id="rId28">
        <w:r>
          <w:rPr>
            <w:rStyle w:val="Hyperlink"/>
          </w:rPr>
          <w:t xml:space="preserve">https://doi.org/10.3389/fmars.2021.631757</w:t>
        </w:r>
      </w:hyperlink>
      <w:r>
        <w:t xml:space="preserve">. See also the project’s pathway file</w:t>
      </w:r>
      <w:r>
        <w:t xml:space="preserve"> </w:t>
      </w:r>
      <w:r>
        <w:rPr>
          <w:rStyle w:val="VerbatimChar"/>
        </w:rPr>
        <w:t xml:space="preserve">research/pathway_4_shellfish.md</w:t>
      </w:r>
      <w:r>
        <w:t xml:space="preserve"> </w:t>
      </w:r>
      <w:r>
        <w:t xml:space="preserve">for the synthesis tying ESVA closure zones to vulnerable septic clusters at Oyster, Wachapreague, Quinby, Saxis, Chincoteague, and Cape Charles.</w:t>
      </w:r>
    </w:p>
    <w:p>
      <w:pPr>
        <w:pStyle w:val="BodyText"/>
      </w:pPr>
      <w:r>
        <w:t xml:space="preserve">[7]</w:t>
      </w:r>
      <w:r>
        <w:t xml:space="preserve"> </w:t>
      </w:r>
      <w:r>
        <w:rPr>
          <w:bCs/>
          <w:b/>
        </w:rPr>
        <w:t xml:space="preserve">Fecal coliform exceedance rates in tidal waters: ~7% dry days vs. ~37% after ≥1-inch rainfall events.</w:t>
      </w:r>
      <w:r>
        <w:t xml:space="preserve"> </w:t>
      </w:r>
      <w:r>
        <w:t xml:space="preserve">Zimmer-Faust AG, Thulsiraj V, Lamparello C, Williams M, Jay JA. 2018. Precipitation thresholds for fecal bacterial indicators in the Chesapeake Bay.</w:t>
      </w:r>
      <w:r>
        <w:t xml:space="preserve"> </w:t>
      </w:r>
      <w:r>
        <w:rPr>
          <w:iCs/>
          <w:i/>
        </w:rPr>
        <w:t xml:space="preserve">Water Research</w:t>
      </w:r>
      <w:r>
        <w:t xml:space="preserve"> </w:t>
      </w:r>
      <w:r>
        <w:t xml:space="preserve">139:252–262.</w:t>
      </w:r>
      <w:r>
        <w:t xml:space="preserve"> </w:t>
      </w:r>
      <w:hyperlink r:id="rId29">
        <w:r>
          <w:rPr>
            <w:rStyle w:val="Hyperlink"/>
          </w:rPr>
          <w:t xml:space="preserve">https://doi.org/10.1016/j.watres.2018.03.080</w:t>
        </w:r>
      </w:hyperlink>
    </w:p>
    <w:p>
      <w:pPr>
        <w:pStyle w:val="BodyText"/>
      </w:pPr>
      <w:r>
        <w:t xml:space="preserve">[8]</w:t>
      </w:r>
      <w:r>
        <w:t xml:space="preserve"> </w:t>
      </w:r>
      <w:r>
        <w:rPr>
          <w:bCs/>
          <w:b/>
        </w:rPr>
        <w:t xml:space="preserve">Sea-level rise rate on the Eastern Shore among the fastest on the US East Coast.</w:t>
      </w:r>
      <w:r>
        <w:t xml:space="preserve"> </w:t>
      </w:r>
      <w:r>
        <w:t xml:space="preserve">NOAA Tides and Currents long-term station data (Kiptopeke, VA).</w:t>
      </w:r>
      <w:r>
        <w:t xml:space="preserve"> </w:t>
      </w:r>
      <w:hyperlink r:id="rId30">
        <w:r>
          <w:rPr>
            <w:rStyle w:val="Hyperlink"/>
          </w:rPr>
          <w:t xml:space="preserve">https://tidesandcurrents.noaa.gov/sltrends/sltrends_station.shtml?id=8632200</w:t>
        </w:r>
      </w:hyperlink>
      <w:r>
        <w:t xml:space="preserve">. Sweet WV, et al. 2022.</w:t>
      </w:r>
      <w:r>
        <w:t xml:space="preserve"> </w:t>
      </w:r>
      <w:r>
        <w:rPr>
          <w:iCs/>
          <w:i/>
        </w:rPr>
        <w:t xml:space="preserve">Global and Regional Sea Level Rise Scenarios for the United States.</w:t>
      </w:r>
      <w:r>
        <w:t xml:space="preserve"> </w:t>
      </w:r>
      <w:r>
        <w:t xml:space="preserve">NOAA Technical Report NOS 01.</w:t>
      </w:r>
      <w:r>
        <w:t xml:space="preserve"> </w:t>
      </w:r>
      <w:hyperlink r:id="rId31">
        <w:r>
          <w:rPr>
            <w:rStyle w:val="Hyperlink"/>
          </w:rPr>
          <w:t xml:space="preserve">https://oceanservice.noaa.gov/hazards/sealevelrise/sealevelrise-tech-report.html</w:t>
        </w:r>
      </w:hyperlink>
    </w:p>
    <w:p>
      <w:pPr>
        <w:pStyle w:val="BodyText"/>
      </w:pPr>
      <w:r>
        <w:t xml:space="preserve">[9]</w:t>
      </w:r>
      <w:r>
        <w:t xml:space="preserve"> </w:t>
      </w:r>
      <w:r>
        <w:rPr>
          <w:bCs/>
          <w:b/>
        </w:rPr>
        <w:t xml:space="preserve">Sea-level rise progressively compromising ESVA drainfields (with seven-thousand-plus systems projected at-risk by 2040).</w:t>
      </w:r>
      <w:r>
        <w:t xml:space="preserve"> </w:t>
      </w:r>
      <w:r>
        <w:t xml:space="preserve">Mitchell et al. 2021 (cited as [6]); Hesamfar F, Barbosa SA, Tran TND, Culver T, Band L, Lakshmi V. (in review). Impact of changing recharge on sole-source coastal aquifer: multi-model assessment for Virginia’s Eastern Shore.</w:t>
      </w:r>
      <w:r>
        <w:t xml:space="preserve"> </w:t>
      </w:r>
      <w:r>
        <w:rPr>
          <w:iCs/>
          <w:i/>
        </w:rPr>
        <w:t xml:space="preserve">Journal of Hydrology.</w:t>
      </w:r>
      <w:r>
        <w:t xml:space="preserve"> </w:t>
      </w:r>
      <w:r>
        <w:t xml:space="preserve">See also the Eastern Shore Climate Equity StoryMap.</w:t>
      </w:r>
      <w:r>
        <w:t xml:space="preserve"> </w:t>
      </w:r>
      <w:hyperlink r:id="rId32">
        <w:r>
          <w:rPr>
            <w:rStyle w:val="Hyperlink"/>
          </w:rPr>
          <w:t xml:space="preserve">https://storymaps.arcgis.com/stories/bb039401ce4c4b8491e4074dffe64f8e</w:t>
        </w:r>
      </w:hyperlink>
    </w:p>
    <w:p>
      <w:pPr>
        <w:pStyle w:val="BodyText"/>
      </w:pPr>
      <w:r>
        <w:t xml:space="preserve">[10]</w:t>
      </w:r>
      <w:r>
        <w:t xml:space="preserve"> </w:t>
      </w:r>
      <w:r>
        <w:rPr>
          <w:bCs/>
          <w:b/>
        </w:rPr>
        <w:t xml:space="preserve">Pump-out cost (~$400) versus replacement cost ($20,000–$40,000 on Shore terrain requiring engineered systems).</w:t>
      </w:r>
      <w:r>
        <w:t xml:space="preserve"> </w:t>
      </w:r>
      <w:r>
        <w:t xml:space="preserve">Eastern Shore Climate Equity StoryMap (cited as [9]). VIMS Pathway 5 / Mitchell et al. 2021. Industry replacement cost ranges from HomeGuide septic-tank-repair cost data and Virginia Department of Health onsite sewage program documentation.</w:t>
      </w:r>
      <w:r>
        <w:t xml:space="preserve"> </w:t>
      </w:r>
      <w:hyperlink r:id="rId33">
        <w:r>
          <w:rPr>
            <w:rStyle w:val="Hyperlink"/>
          </w:rPr>
          <w:t xml:space="preserve">https://www.vdh.virginia.gov/environmental-health/environmental-health-services/onsite-sewage-water-services/</w:t>
        </w:r>
      </w:hyperlink>
    </w:p>
    <w:p>
      <w:pPr>
        <w:pStyle w:val="BodyText"/>
      </w:pPr>
      <w:r>
        <w:t xml:space="preserve">[11]</w:t>
      </w:r>
      <w:r>
        <w:t xml:space="preserve"> </w:t>
      </w:r>
      <w:r>
        <w:rPr>
          <w:bCs/>
          <w:b/>
        </w:rPr>
        <w:t xml:space="preserve">A-NPDC pump-out assistance program for qualifying low- and moderate-income households.</w:t>
      </w:r>
      <w:r>
        <w:t xml:space="preserve"> </w:t>
      </w:r>
      <w:r>
        <w:t xml:space="preserve">Accomack–Northampton Planning District Commission, Ground Water Committee.</w:t>
      </w:r>
      <w:r>
        <w:t xml:space="preserve"> </w:t>
      </w:r>
      <w:hyperlink r:id="rId34">
        <w:r>
          <w:rPr>
            <w:rStyle w:val="Hyperlink"/>
          </w:rPr>
          <w:t xml:space="preserve">https://a-npdc.org/accomack-northampton-planning-district-commission/ground-water-management/</w:t>
        </w:r>
      </w:hyperlink>
      <w:r>
        <w:t xml:space="preserve">. Virginia DEQ Septic Pumpout grants (administered through A-NPDC).</w:t>
      </w:r>
    </w:p>
    <w:p>
      <w:pPr>
        <w:pStyle w:val="BodyText"/>
      </w:pPr>
      <w:r>
        <w:t xml:space="preserve">[12]</w:t>
      </w:r>
      <w:r>
        <w:t xml:space="preserve"> </w:t>
      </w:r>
      <w:r>
        <w:rPr>
          <w:bCs/>
          <w:b/>
        </w:rPr>
        <w:t xml:space="preserve">The</w:t>
      </w:r>
      <w:r>
        <w:rPr>
          <w:bCs/>
          <w:b/>
        </w:rPr>
        <w:t xml:space="preserve"> </w:t>
      </w:r>
      <w:r>
        <w:rPr>
          <w:bCs/>
          <w:b/>
        </w:rPr>
        <w:t xml:space="preserve">“</w:t>
      </w:r>
      <w:r>
        <w:rPr>
          <w:bCs/>
          <w:b/>
        </w:rPr>
        <w:t xml:space="preserve">~25 percent of homeowners respond to VDH pump-out outreach letters</w:t>
      </w:r>
      <w:r>
        <w:rPr>
          <w:bCs/>
          <w:b/>
        </w:rPr>
        <w:t xml:space="preserve">”</w:t>
      </w:r>
      <w:r>
        <w:rPr>
          <w:bCs/>
          <w:b/>
        </w:rPr>
        <w:t xml:space="preserve"> </w:t>
      </w:r>
      <w:r>
        <w:rPr>
          <w:bCs/>
          <w:b/>
        </w:rPr>
        <w:t xml:space="preserve">figure.</w:t>
      </w:r>
      <w:r>
        <w:t xml:space="preserve"> </w:t>
      </w:r>
      <w:r>
        <w:t xml:space="preserve">Eastern Shore Health District, communicated in February 2026 project meeting with Jon Richardson; recorded in the project’s</w:t>
      </w:r>
      <w:r>
        <w:t xml:space="preserve"> </w:t>
      </w:r>
      <w:r>
        <w:rPr>
          <w:rStyle w:val="VerbatimChar"/>
        </w:rPr>
        <w:t xml:space="preserve">Running Meeting Notes</w:t>
      </w:r>
      <w:r>
        <w:t xml:space="preserve">. (Note for students: this is an internal-source figure for project-team communication; if you cite it in your own article, attribute as</w:t>
      </w:r>
      <w:r>
        <w:t xml:space="preserve"> </w:t>
      </w:r>
      <w:r>
        <w:t xml:space="preserve">“</w:t>
      </w:r>
      <w:r>
        <w:t xml:space="preserve">according to the Eastern Shore Health District</w:t>
      </w:r>
      <w:r>
        <w:t xml:space="preserve">”</w:t>
      </w:r>
      <w:r>
        <w:t xml:space="preserve"> </w:t>
      </w:r>
      <w:r>
        <w:t xml:space="preserve">and verify with ESHD directly before publishing.)</w:t>
      </w:r>
    </w:p>
    <w:p>
      <w:pPr>
        <w:pStyle w:val="BodyText"/>
      </w:pPr>
      <w:r>
        <w:t xml:space="preserve">[13]</w:t>
      </w:r>
      <w:r>
        <w:t xml:space="preserve"> </w:t>
      </w:r>
      <w:r>
        <w:rPr>
          <w:bCs/>
          <w:b/>
        </w:rPr>
        <w:t xml:space="preserve">The</w:t>
      </w:r>
      <w:r>
        <w:rPr>
          <w:bCs/>
          <w:b/>
        </w:rPr>
        <w:t xml:space="preserve"> </w:t>
      </w:r>
      <w:r>
        <w:rPr>
          <w:bCs/>
          <w:b/>
        </w:rPr>
        <w:t xml:space="preserve">“</w:t>
      </w:r>
      <w:r>
        <w:rPr>
          <w:bCs/>
          <w:b/>
        </w:rPr>
        <w:t xml:space="preserve">three P’s</w:t>
      </w:r>
      <w:r>
        <w:rPr>
          <w:bCs/>
          <w:b/>
        </w:rPr>
        <w:t xml:space="preserve">”</w:t>
      </w:r>
      <w:r>
        <w:rPr>
          <w:bCs/>
          <w:b/>
        </w:rPr>
        <w:t xml:space="preserve"> </w:t>
      </w:r>
      <w:r>
        <w:rPr>
          <w:bCs/>
          <w:b/>
        </w:rPr>
        <w:t xml:space="preserve">rule for septic system inputs.</w:t>
      </w:r>
      <w:r>
        <w:t xml:space="preserve"> </w:t>
      </w:r>
      <w:r>
        <w:t xml:space="preserve">U.S. EPA SepticSmart Do’s and Don’ts.</w:t>
      </w:r>
      <w:r>
        <w:t xml:space="preserve"> </w:t>
      </w:r>
      <w:hyperlink r:id="rId35">
        <w:r>
          <w:rPr>
            <w:rStyle w:val="Hyperlink"/>
          </w:rPr>
          <w:t xml:space="preserve">https://www.epa.gov/septic/septicsmart-homeowners</w:t>
        </w:r>
      </w:hyperlink>
    </w:p>
    <w:p>
      <w:pPr>
        <w:pStyle w:val="BodyText"/>
      </w:pPr>
      <w:r>
        <w:t xml:space="preserve">[14]</w:t>
      </w:r>
      <w:r>
        <w:t xml:space="preserve"> </w:t>
      </w:r>
      <w:r>
        <w:rPr>
          <w:bCs/>
          <w:b/>
        </w:rPr>
        <w:t xml:space="preserve">Virginia does not require private well testing.</w:t>
      </w:r>
      <w:r>
        <w:t xml:space="preserve"> </w:t>
      </w:r>
      <w:r>
        <w:t xml:space="preserve">Virginia Code §32.1-176.3 et seq. Virginia Department of Health, Office of Environmental Health Services, well program.</w:t>
      </w:r>
      <w:r>
        <w:t xml:space="preserve"> </w:t>
      </w:r>
      <w:hyperlink r:id="rId36">
        <w:r>
          <w:rPr>
            <w:rStyle w:val="Hyperlink"/>
          </w:rPr>
          <w:t xml:space="preserve">https://www.vdh.virginia.gov/environmental-health/onsite-sewage-water-services-updated/private-wells/</w:t>
        </w:r>
      </w:hyperlink>
    </w:p>
    <w:p>
      <w:pPr>
        <w:pStyle w:val="BodyText"/>
      </w:pPr>
      <w:r>
        <w:t xml:space="preserve">[15]</w:t>
      </w:r>
      <w:r>
        <w:t xml:space="preserve"> </w:t>
      </w:r>
      <w:r>
        <w:rPr>
          <w:bCs/>
          <w:b/>
        </w:rPr>
        <w:t xml:space="preserve">Targeted ditch maintenance can reduce rainfall-driven flooding by up to ~10 percent.</w:t>
      </w:r>
      <w:r>
        <w:t xml:space="preserve"> </w:t>
      </w:r>
      <w:r>
        <w:t xml:space="preserve">Eastern Shore Climate Equity StoryMap (cited as [9]); project synthesis in</w:t>
      </w:r>
      <w:r>
        <w:t xml:space="preserve"> </w:t>
      </w:r>
      <w:r>
        <w:rPr>
          <w:rStyle w:val="VerbatimChar"/>
        </w:rPr>
        <w:t xml:space="preserve">ECOLOGICAL_EFFECTS_SYNTHESIS.md</w:t>
      </w:r>
      <w:r>
        <w:t xml:space="preserve">. The 10-percent figure derives from preliminary modeling of ditch network improvements in Shore communities; treat as an approximate guideline rather than a precise quantitative claim.</w:t>
      </w:r>
    </w:p>
    <w:p>
      <w:pPr>
        <w:pStyle w:val="BodyText"/>
      </w:pPr>
      <w:r>
        <w:t xml:space="preserve">[16]</w:t>
      </w:r>
      <w:r>
        <w:t xml:space="preserve"> </w:t>
      </w:r>
      <w:r>
        <w:rPr>
          <w:bCs/>
          <w:b/>
        </w:rPr>
        <w:t xml:space="preserve">HRSD Route 13 sewer extension — Nassawadox, Exmore, Keller, Onley, Onancock, Accomac, Wachapreague.</w:t>
      </w:r>
      <w:r>
        <w:t xml:space="preserve"> </w:t>
      </w:r>
      <w:r>
        <w:t xml:space="preserve">Hampton Roads Sanitation District Eastern Shore Sewer Infrastructure Improvements project.</w:t>
      </w:r>
      <w:r>
        <w:t xml:space="preserve"> </w:t>
      </w:r>
      <w:hyperlink r:id="rId37">
        <w:r>
          <w:rPr>
            <w:rStyle w:val="Hyperlink"/>
          </w:rPr>
          <w:t xml:space="preserve">https://www.hrsd.com/eastern-shore-sewer-infrastructure-improvements</w:t>
        </w:r>
      </w:hyperlink>
    </w:p>
    <w:p>
      <w:pPr>
        <w:pStyle w:val="BodyText"/>
      </w:pPr>
      <w:r>
        <w:t xml:space="preserve">[17]</w:t>
      </w:r>
      <w:r>
        <w:t xml:space="preserve"> </w:t>
      </w:r>
      <w:r>
        <w:rPr>
          <w:bCs/>
          <w:b/>
        </w:rPr>
        <w:t xml:space="preserve">18,000 Eastern Shore households on septic systems.</w:t>
      </w:r>
      <w:r>
        <w:t xml:space="preserve"> </w:t>
      </w:r>
      <w:r>
        <w:t xml:space="preserve">UVA Environmental Institute Climate Collaborative proposal,</w:t>
      </w:r>
      <w:r>
        <w:t xml:space="preserve"> </w:t>
      </w:r>
      <w:r>
        <w:t xml:space="preserve">“</w:t>
      </w:r>
      <w:r>
        <w:t xml:space="preserve">Co-Producing Equitable Solutions to Septic System Failures</w:t>
      </w:r>
      <w:r>
        <w:t xml:space="preserve">”</w:t>
      </w:r>
      <w:r>
        <w:t xml:space="preserve"> </w:t>
      </w:r>
      <w:r>
        <w:t xml:space="preserve">(2026–2028); Mitchell et al. 2021 (cited as [6]).</w:t>
      </w:r>
    </w:p>
    <w:p>
      <w:r>
        <w:pict>
          <v:rect style="width:0;height:1.5pt" o:hralign="center" o:hrstd="t" o:hr="t"/>
        </w:pict>
      </w:r>
    </w:p>
    <w:bookmarkEnd w:id="38"/>
    <w:bookmarkStart w:id="39" w:name="editorial-notes-not-for-publication"/>
    <w:p>
      <w:pPr>
        <w:pStyle w:val="Heading2"/>
      </w:pPr>
      <w:r>
        <w:t xml:space="preserve">Editorial notes (not for publication)</w:t>
      </w:r>
    </w:p>
    <w:p>
      <w:pPr>
        <w:numPr>
          <w:ilvl w:val="0"/>
          <w:numId w:val="1002"/>
        </w:numPr>
        <w:pStyle w:val="Compact"/>
      </w:pPr>
      <w:r>
        <w:t xml:space="preserve">The version above leans on the</w:t>
      </w:r>
      <w:r>
        <w:t xml:space="preserve"> </w:t>
      </w:r>
      <w:r>
        <w:rPr>
          <w:bCs/>
          <w:b/>
        </w:rPr>
        <w:t xml:space="preserve">economic</w:t>
      </w:r>
      <w:r>
        <w:t xml:space="preserve"> </w:t>
      </w:r>
      <w:r>
        <w:t xml:space="preserve">angle (clams, scallops, $81 million, 700 jobs, Hog Island Bay) more than on the abstract ecological angle, because that’s what tends to land with Shore readers. The seagrass-restoration story is the strongest single ESVA-specific ecological hook in the entire synthesis and gets a paragraph of its own.</w:t>
      </w:r>
    </w:p>
    <w:p>
      <w:pPr>
        <w:numPr>
          <w:ilvl w:val="0"/>
          <w:numId w:val="1002"/>
        </w:numPr>
        <w:pStyle w:val="Compact"/>
      </w:pPr>
      <w:r>
        <w:rPr>
          <w:bCs/>
          <w:b/>
        </w:rPr>
        <w:t xml:space="preserve">Health</w:t>
      </w:r>
      <w:r>
        <w:t xml:space="preserve"> </w:t>
      </w:r>
      <w:r>
        <w:t xml:space="preserve">content is intentionally not the lead, because the prior outreach work (the</w:t>
      </w:r>
      <w:r>
        <w:t xml:space="preserve"> </w:t>
      </w:r>
      <w:r>
        <w:rPr>
          <w:rStyle w:val="VerbatimChar"/>
        </w:rPr>
        <w:t xml:space="preserve">WHY_THIS_MATTERS.md</w:t>
      </w:r>
      <w:r>
        <w:t xml:space="preserve"> </w:t>
      </w:r>
      <w:r>
        <w:t xml:space="preserve">document on the other branch) covers it in depth and the project team’s</w:t>
      </w:r>
      <w:r>
        <w:t xml:space="preserve"> </w:t>
      </w:r>
      <w:r>
        <w:t xml:space="preserve">“</w:t>
      </w:r>
      <w:r>
        <w:t xml:space="preserve">same aquifer, same water</w:t>
      </w:r>
      <w:r>
        <w:t xml:space="preserve">”</w:t>
      </w:r>
      <w:r>
        <w:t xml:space="preserve"> </w:t>
      </w:r>
      <w:r>
        <w:t xml:space="preserve">health framing is already in circulation. This article complements that one rather than competing with it.</w:t>
      </w:r>
    </w:p>
    <w:p>
      <w:pPr>
        <w:numPr>
          <w:ilvl w:val="0"/>
          <w:numId w:val="1002"/>
        </w:numPr>
        <w:pStyle w:val="Compact"/>
      </w:pPr>
      <w:r>
        <w:t xml:space="preserve">Numbers used in the article come from the scholarly synthesis: $81M and 700 jobs from Pathway 4; ~10,000 acres restored seagrass and ~240 ha/yr expansion from Pathway 3b; 80 percent groundwater-fed creeks from Pathway 2; 18,000 ESVA septic systems from the project proposal; 25 percent letter response rate from VDH meeting notes; closure exceedance from 7 percent dry to ~37 percent post-rain from Zimmer-Faust et al. 2018 in Pathway 4; pump-out cost and replacement-cost ratio from the prior</w:t>
      </w:r>
      <w:r>
        <w:t xml:space="preserve"> </w:t>
      </w:r>
      <w:r>
        <w:rPr>
          <w:rStyle w:val="VerbatimChar"/>
        </w:rPr>
        <w:t xml:space="preserve">WHY_THIS_MATTERS.md</w:t>
      </w:r>
      <w:r>
        <w:t xml:space="preserve"> </w:t>
      </w:r>
      <w:r>
        <w:t xml:space="preserve">financial analysis.</w:t>
      </w:r>
    </w:p>
    <w:p>
      <w:pPr>
        <w:numPr>
          <w:ilvl w:val="0"/>
          <w:numId w:val="1002"/>
        </w:numPr>
        <w:pStyle w:val="Compact"/>
      </w:pPr>
      <w:r>
        <w:t xml:space="preserve">The</w:t>
      </w:r>
      <w:r>
        <w:t xml:space="preserve"> </w:t>
      </w:r>
      <w:r>
        <w:t xml:space="preserve">“</w:t>
      </w:r>
      <w:r>
        <w:t xml:space="preserve">no blame</w:t>
      </w:r>
      <w:r>
        <w:t xml:space="preserve">”</w:t>
      </w:r>
      <w:r>
        <w:t xml:space="preserve"> </w:t>
      </w:r>
      <w:r>
        <w:t xml:space="preserve">framing in the middle is critical for a Shore audience: it explicitly says the structural problem is climate-driven and the homeowners are not at fault, before pivoting to what they can still do.</w:t>
      </w:r>
    </w:p>
    <w:p>
      <w:pPr>
        <w:numPr>
          <w:ilvl w:val="0"/>
          <w:numId w:val="1002"/>
        </w:numPr>
        <w:pStyle w:val="Compact"/>
      </w:pPr>
      <w:r>
        <w:t xml:space="preserve">Specific local place names (Willis Wharf, Cape Charles, Wachapreague, Quinby, Saxis, Chincoteague, Hog Island Bay, Spider Crab Bay, Onancock, Nassawadox, Exmore, Onley, Accomac) are deliberate — Shore readers respond to specifics they recognize.</w:t>
      </w:r>
    </w:p>
    <w:p>
      <w:pPr>
        <w:numPr>
          <w:ilvl w:val="0"/>
          <w:numId w:val="1002"/>
        </w:numPr>
        <w:pStyle w:val="Compact"/>
      </w:pPr>
      <w:r>
        <w:t xml:space="preserve">The</w:t>
      </w:r>
      <w:r>
        <w:t xml:space="preserve"> </w:t>
      </w:r>
      <w:r>
        <w:t xml:space="preserve">“</w:t>
      </w:r>
      <w:r>
        <w:t xml:space="preserve">three P’s</w:t>
      </w:r>
      <w:r>
        <w:t xml:space="preserve">”</w:t>
      </w:r>
      <w:r>
        <w:t xml:space="preserve"> </w:t>
      </w:r>
      <w:r>
        <w:t xml:space="preserve">rule is a folk-wisdom phrasing already used in EPA SepticSmart materials and by septic installers; it transfers cleanly without sounding clinical.</w:t>
      </w:r>
    </w:p>
    <w:p>
      <w:pPr>
        <w:numPr>
          <w:ilvl w:val="0"/>
          <w:numId w:val="1002"/>
        </w:numPr>
        <w:pStyle w:val="Compact"/>
      </w:pPr>
      <w:r>
        <w:t xml:space="preserve">I have NOT included specific URLs or phone numbers I’m not 100% confident about. The 757-787-5886 number is from public VDH directory listings; everything else should be verified by the project team before publication.</w:t>
      </w:r>
    </w:p>
    <w:bookmarkEnd w:id="39"/>
    <w:bookmarkStart w:id="40" w:name="items-intentionally-left-out"/>
    <w:p>
      <w:pPr>
        <w:pStyle w:val="Heading2"/>
      </w:pPr>
      <w:r>
        <w:t xml:space="preserve">Items intentionally left out</w:t>
      </w:r>
    </w:p>
    <w:p>
      <w:pPr>
        <w:numPr>
          <w:ilvl w:val="0"/>
          <w:numId w:val="1003"/>
        </w:numPr>
        <w:pStyle w:val="Compact"/>
      </w:pPr>
      <w:r>
        <w:t xml:space="preserve">The 6% vs. 3.3% Bay-nitrogen-from-septic figure resolution. Important for the scholarly synthesis, too in-the-weeds for a community newspaper article.</w:t>
      </w:r>
    </w:p>
    <w:p>
      <w:pPr>
        <w:numPr>
          <w:ilvl w:val="0"/>
          <w:numId w:val="1003"/>
        </w:numPr>
        <w:pStyle w:val="Compact"/>
      </w:pPr>
      <w:r>
        <w:t xml:space="preserve">PFAS, pharmaceuticals, antibiotic resistance genes — real and important, but covered in health-focused outreach and not actionable at the household level beyond</w:t>
      </w:r>
      <w:r>
        <w:t xml:space="preserve"> </w:t>
      </w:r>
      <w:r>
        <w:t xml:space="preserve">“</w:t>
      </w:r>
      <w:r>
        <w:t xml:space="preserve">get the system pumped and don’t flush stuff.</w:t>
      </w:r>
      <w:r>
        <w:t xml:space="preserve">”</w:t>
      </w:r>
    </w:p>
    <w:p>
      <w:pPr>
        <w:numPr>
          <w:ilvl w:val="0"/>
          <w:numId w:val="1003"/>
        </w:numPr>
        <w:pStyle w:val="Compact"/>
      </w:pPr>
      <w:r>
        <w:t xml:space="preserve">Detailed marsh bank collapse mechanism (Deegan et al. 2012 TIDE experiment). Mechanistically interesting but not actionable.</w:t>
      </w:r>
    </w:p>
    <w:p>
      <w:pPr>
        <w:numPr>
          <w:ilvl w:val="0"/>
          <w:numId w:val="1003"/>
        </w:numPr>
        <w:pStyle w:val="Compact"/>
      </w:pPr>
      <w:r>
        <w:t xml:space="preserve">The horseshoe crab / red knot / piping plover / Chincoteague pony pathways. The synthesis explicitly labeled most of these as SPECULATIVE; using them in outreach would be overclaiming.</w:t>
      </w:r>
    </w:p>
    <w:p>
      <w:pPr>
        <w:numPr>
          <w:ilvl w:val="0"/>
          <w:numId w:val="1003"/>
        </w:numPr>
        <w:pStyle w:val="Compact"/>
      </w:pPr>
      <w:r>
        <w:t xml:space="preserve">The</w:t>
      </w:r>
      <w:r>
        <w:t xml:space="preserve"> </w:t>
      </w:r>
      <w:r>
        <w:t xml:space="preserve">“</w:t>
      </w:r>
      <w:r>
        <w:t xml:space="preserve">septic and well drink the same water</w:t>
      </w:r>
      <w:r>
        <w:t xml:space="preserve">”</w:t>
      </w:r>
      <w:r>
        <w:t xml:space="preserve"> </w:t>
      </w:r>
      <w:r>
        <w:t xml:space="preserve">health framing — already covered in</w:t>
      </w:r>
      <w:r>
        <w:t xml:space="preserve"> </w:t>
      </w:r>
      <w:r>
        <w:rPr>
          <w:rStyle w:val="VerbatimChar"/>
        </w:rPr>
        <w:t xml:space="preserve">WHY_THIS_MATTERS.md</w:t>
      </w:r>
      <w:r>
        <w:t xml:space="preserve"> </w:t>
      </w:r>
      <w:r>
        <w:t xml:space="preserve">and the prior outreach work; this article is the ecological complement.</w:t>
      </w:r>
    </w:p>
    <w:bookmarkEnd w:id="40"/>
    <w:bookmarkStart w:id="41" w:name="suggested-follow-up-versions"/>
    <w:p>
      <w:pPr>
        <w:pStyle w:val="Heading2"/>
      </w:pPr>
      <w:r>
        <w:t xml:space="preserve">Suggested follow-up versions</w:t>
      </w:r>
    </w:p>
    <w:p>
      <w:pPr>
        <w:numPr>
          <w:ilvl w:val="0"/>
          <w:numId w:val="1004"/>
        </w:numPr>
        <w:pStyle w:val="Compact"/>
      </w:pPr>
      <w:r>
        <w:rPr>
          <w:bCs/>
          <w:b/>
        </w:rPr>
        <w:t xml:space="preserve">Shorter version (~400 words)</w:t>
      </w:r>
      <w:r>
        <w:t xml:space="preserve"> </w:t>
      </w:r>
      <w:r>
        <w:t xml:space="preserve">for radio scripts, social media, or a</w:t>
      </w:r>
      <w:r>
        <w:t xml:space="preserve"> </w:t>
      </w:r>
      <w:r>
        <w:t xml:space="preserve">“</w:t>
      </w:r>
      <w:r>
        <w:t xml:space="preserve">letter to the editor</w:t>
      </w:r>
      <w:r>
        <w:t xml:space="preserve">”</w:t>
      </w:r>
      <w:r>
        <w:t xml:space="preserve"> </w:t>
      </w:r>
      <w:r>
        <w:t xml:space="preserve">length.</w:t>
      </w:r>
    </w:p>
    <w:p>
      <w:pPr>
        <w:numPr>
          <w:ilvl w:val="0"/>
          <w:numId w:val="1004"/>
        </w:numPr>
        <w:pStyle w:val="Compact"/>
      </w:pPr>
      <w:r>
        <w:rPr>
          <w:bCs/>
          <w:b/>
        </w:rPr>
        <w:t xml:space="preserve">Spanish-language version</w:t>
      </w:r>
      <w:r>
        <w:t xml:space="preserve"> </w:t>
      </w:r>
      <w:r>
        <w:t xml:space="preserve">for the Shore’s Spanish-speaking community — the action items translate cleanly.</w:t>
      </w:r>
    </w:p>
    <w:p>
      <w:pPr>
        <w:numPr>
          <w:ilvl w:val="0"/>
          <w:numId w:val="1004"/>
        </w:numPr>
        <w:pStyle w:val="Compact"/>
      </w:pPr>
      <w:r>
        <w:rPr>
          <w:bCs/>
          <w:b/>
        </w:rPr>
        <w:t xml:space="preserve">Photo-driven version</w:t>
      </w:r>
      <w:r>
        <w:t xml:space="preserve"> </w:t>
      </w:r>
      <w:r>
        <w:t xml:space="preserve">with shellfish farmers, a clam grader at Willis Wharf, the seagrass meadow, an ESCC student doing well testing — this would benefit from a visit to the Shore with a camera before publication.</w:t>
      </w:r>
    </w:p>
    <w:p>
      <w:pPr>
        <w:numPr>
          <w:ilvl w:val="0"/>
          <w:numId w:val="1004"/>
        </w:numPr>
        <w:pStyle w:val="Compact"/>
      </w:pPr>
      <w:r>
        <w:rPr>
          <w:bCs/>
          <w:b/>
        </w:rPr>
        <w:t xml:space="preserve">Op-ed version</w:t>
      </w:r>
      <w:r>
        <w:t xml:space="preserve"> </w:t>
      </w:r>
      <w:r>
        <w:t xml:space="preserve">under a named author byline (Dr. Foxworthy or another team member), framing the story as a personal call to action from a local resident-scientist.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npdc.org/accomack-northampton-planning-district-commission/ground-water-management/" TargetMode="External" /><Relationship Type="http://schemas.openxmlformats.org/officeDocument/2006/relationships/hyperlink" Id="rId29" Target="https://doi.org/10.1016/j.watres.2018.03.080" TargetMode="External" /><Relationship Type="http://schemas.openxmlformats.org/officeDocument/2006/relationships/hyperlink" Id="rId24" Target="https://doi.org/10.1126/sciadv.abc6434" TargetMode="External" /><Relationship Type="http://schemas.openxmlformats.org/officeDocument/2006/relationships/hyperlink" Id="rId28" Target="https://doi.org/10.3389/fmars.2021.631757" TargetMode="External" /><Relationship Type="http://schemas.openxmlformats.org/officeDocument/2006/relationships/hyperlink" Id="rId31" Target="https://oceanservice.noaa.gov/hazards/sealevelrise/sealevelrise-tech-report.html" TargetMode="External" /><Relationship Type="http://schemas.openxmlformats.org/officeDocument/2006/relationships/hyperlink" Id="rId32" Target="https://storymaps.arcgis.com/stories/bb039401ce4c4b8491e4074dffe64f8e" TargetMode="External" /><Relationship Type="http://schemas.openxmlformats.org/officeDocument/2006/relationships/hyperlink" Id="rId30" Target="https://tidesandcurrents.noaa.gov/sltrends/sltrends_station.shtml?id=8632200" TargetMode="External" /><Relationship Type="http://schemas.openxmlformats.org/officeDocument/2006/relationships/hyperlink" Id="rId35" Target="https://www.epa.gov/septic/septicsmart-homeowners" TargetMode="External" /><Relationship Type="http://schemas.openxmlformats.org/officeDocument/2006/relationships/hyperlink" Id="rId27" Target="https://www.esvaplan.org/wp-content/uploads/2022/03/Facts-about-the-ESVA-Groundwater.pdf" TargetMode="External" /><Relationship Type="http://schemas.openxmlformats.org/officeDocument/2006/relationships/hyperlink" Id="rId26" Target="https://www.federalregister.gov/documents/1997/03/12/97-6235/eastern-shore-of-virginia-aquifer-sole-source-aquifer-designation" TargetMode="External" /><Relationship Type="http://schemas.openxmlformats.org/officeDocument/2006/relationships/hyperlink" Id="rId37" Target="https://www.hrsd.com/eastern-shore-sewer-infrastructure-improvements" TargetMode="External" /><Relationship Type="http://schemas.openxmlformats.org/officeDocument/2006/relationships/hyperlink" Id="rId33" Target="https://www.vdh.virginia.gov/environmental-health/environmental-health-services/onsite-sewage-water-services/" TargetMode="External" /><Relationship Type="http://schemas.openxmlformats.org/officeDocument/2006/relationships/hyperlink" Id="rId36" Target="https://www.vdh.virginia.gov/environmental-health/onsite-sewage-water-services-updated/private-wells/" TargetMode="External" /><Relationship Type="http://schemas.openxmlformats.org/officeDocument/2006/relationships/hyperlink" Id="rId25" Target="https://www.vims.edu/esl/research/bay_scallop_restoration/" TargetMode="External" /><Relationship Type="http://schemas.openxmlformats.org/officeDocument/2006/relationships/hyperlink" Id="rId23" Target="https://www.vims.edu/research/units/centerspartners/map/aquaculture/index.php" TargetMode="External" /></Relationships>
</file>

<file path=word/_rels/footnotes.xml.rels><?xml version="1.0" encoding="UTF-8"?><Relationships xmlns="http://schemas.openxmlformats.org/package/2006/relationships"><Relationship Type="http://schemas.openxmlformats.org/officeDocument/2006/relationships/hyperlink" Id="rId34" Target="https://a-npdc.org/accomack-northampton-planning-district-commission/ground-water-management/" TargetMode="External" /><Relationship Type="http://schemas.openxmlformats.org/officeDocument/2006/relationships/hyperlink" Id="rId29" Target="https://doi.org/10.1016/j.watres.2018.03.080" TargetMode="External" /><Relationship Type="http://schemas.openxmlformats.org/officeDocument/2006/relationships/hyperlink" Id="rId24" Target="https://doi.org/10.1126/sciadv.abc6434" TargetMode="External" /><Relationship Type="http://schemas.openxmlformats.org/officeDocument/2006/relationships/hyperlink" Id="rId28" Target="https://doi.org/10.3389/fmars.2021.631757" TargetMode="External" /><Relationship Type="http://schemas.openxmlformats.org/officeDocument/2006/relationships/hyperlink" Id="rId31" Target="https://oceanservice.noaa.gov/hazards/sealevelrise/sealevelrise-tech-report.html" TargetMode="External" /><Relationship Type="http://schemas.openxmlformats.org/officeDocument/2006/relationships/hyperlink" Id="rId32" Target="https://storymaps.arcgis.com/stories/bb039401ce4c4b8491e4074dffe64f8e" TargetMode="External" /><Relationship Type="http://schemas.openxmlformats.org/officeDocument/2006/relationships/hyperlink" Id="rId30" Target="https://tidesandcurrents.noaa.gov/sltrends/sltrends_station.shtml?id=8632200" TargetMode="External" /><Relationship Type="http://schemas.openxmlformats.org/officeDocument/2006/relationships/hyperlink" Id="rId35" Target="https://www.epa.gov/septic/septicsmart-homeowners" TargetMode="External" /><Relationship Type="http://schemas.openxmlformats.org/officeDocument/2006/relationships/hyperlink" Id="rId27" Target="https://www.esvaplan.org/wp-content/uploads/2022/03/Facts-about-the-ESVA-Groundwater.pdf" TargetMode="External" /><Relationship Type="http://schemas.openxmlformats.org/officeDocument/2006/relationships/hyperlink" Id="rId26" Target="https://www.federalregister.gov/documents/1997/03/12/97-6235/eastern-shore-of-virginia-aquifer-sole-source-aquifer-designation" TargetMode="External" /><Relationship Type="http://schemas.openxmlformats.org/officeDocument/2006/relationships/hyperlink" Id="rId37" Target="https://www.hrsd.com/eastern-shore-sewer-infrastructure-improvements" TargetMode="External" /><Relationship Type="http://schemas.openxmlformats.org/officeDocument/2006/relationships/hyperlink" Id="rId33" Target="https://www.vdh.virginia.gov/environmental-health/environmental-health-services/onsite-sewage-water-services/" TargetMode="External" /><Relationship Type="http://schemas.openxmlformats.org/officeDocument/2006/relationships/hyperlink" Id="rId36" Target="https://www.vdh.virginia.gov/environmental-health/onsite-sewage-water-services-updated/private-wells/" TargetMode="External" /><Relationship Type="http://schemas.openxmlformats.org/officeDocument/2006/relationships/hyperlink" Id="rId25" Target="https://www.vims.edu/esl/research/bay_scallop_restoration/" TargetMode="External" /><Relationship Type="http://schemas.openxmlformats.org/officeDocument/2006/relationships/hyperlink" Id="rId23" Target="https://www.vims.edu/research/units/centerspartners/map/aquaculture/index.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2026-06-25T18:18:32Z</dcterms:created>
  <dcterms:modified xsi:type="dcterms:W3CDTF">2026-06-25T18:18:32Z</dcterms:modified>
</cp:coreProperties>
</file>

<file path=docProps/custom.xml><?xml version="1.0" encoding="utf-8"?>
<Properties xmlns="http://schemas.openxmlformats.org/officeDocument/2006/custom-properties" xmlns:vt="http://schemas.openxmlformats.org/officeDocument/2006/docPropsVTypes"/>
</file>