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f89589fc54c3b7192a2bbdfde211729ab22e1e0"/>
    <w:p>
      <w:pPr>
        <w:pStyle w:val="Heading1"/>
      </w:pPr>
      <w:r>
        <w:t xml:space="preserve">Pathway 4 — Shellfish grounds, aquaculture, and commercial fisheries</w:t>
      </w:r>
    </w:p>
    <w:bookmarkStart w:id="20" w:name="mechanism-of-harm"/>
    <w:p>
      <w:pPr>
        <w:pStyle w:val="Heading2"/>
      </w:pPr>
      <w:r>
        <w:t xml:space="preserve">Mechanism of harm</w:t>
      </w:r>
    </w:p>
    <w:p>
      <w:pPr>
        <w:pStyle w:val="FirstParagraph"/>
      </w:pPr>
      <w:r>
        <w:t xml:space="preserve">Failing onsite wastewater treatment systems (OWTS) affect ESVA shellfish grounds and fisheries through two coupled mechanisms: (1) delivery of fecal indicator bacteria and human enteric viruses that trigger regulatory harvest closures, and (2) delivery of nutrients and labile organic carbon that alter water quality and nursery habitat in ways affecting shellfish physiology, recruitment, and wild-capture stocks. They operate on different timescales — hours to days for pathogen pulses, months to decades for water-quality/habitat endpoints — but share the hydrologic routes described in Pathways 1, 2, 3a, and 3b.</w:t>
      </w:r>
    </w:p>
    <w:p>
      <w:pPr>
        <w:pStyle w:val="BodyText"/>
      </w:pPr>
      <w:r>
        <w:rPr>
          <w:iCs/>
          <w:i/>
        </w:rPr>
        <w:t xml:space="preserve">Fecal-indicator and pathogen delivery.</w:t>
      </w:r>
      <w:r>
        <w:t xml:space="preserve"> </w:t>
      </w:r>
      <w:r>
        <w:t xml:space="preserve">A drainfield that is hydraulically overloaded, inundated, or too close to a tidal creek discharges effluent carrying ~10</w:t>
      </w:r>
      <w:r>
        <w:rPr>
          <w:vertAlign w:val="superscript"/>
        </w:rPr>
        <w:t xml:space="preserve">6–10</w:t>
      </w:r>
      <w:r>
        <w:t xml:space="preserve">8 fecal coliform MPN 100 mL⁻¹ into the shallow subsurface. In sandy coastal-plain aquifers with short flow paths, much of that load reaches tidal waters within hours to a few days of rain — faster than seawater T90 of ~1–3 days.</w:t>
      </w:r>
      <w:r>
        <w:t xml:space="preserve"> </w:t>
      </w:r>
      <w:r>
        <w:rPr>
          <w:iCs/>
          <w:i/>
        </w:rPr>
        <w:t xml:space="preserve">Crassostrea virginica</w:t>
      </w:r>
      <w:r>
        <w:t xml:space="preserve"> </w:t>
      </w:r>
      <w:r>
        <w:t xml:space="preserve">(~5 L h⁻¹ adult filtration) and</w:t>
      </w:r>
      <w:r>
        <w:t xml:space="preserve"> </w:t>
      </w:r>
      <w:r>
        <w:rPr>
          <w:iCs/>
          <w:i/>
        </w:rPr>
        <w:t xml:space="preserve">Mercenaria mercenaria</w:t>
      </w:r>
      <w:r>
        <w:t xml:space="preserve"> </w:t>
      </w:r>
      <w:r>
        <w:t xml:space="preserve">concentrate particle-associated bacteria in digestive tissue by orders of magnitude above ambient. The National Shellfish Sanitation Program (NSSP), implemented in Virginia by the VDH Division of Shellfish Safety (DSS), classifies growing waters as Approved (30-sample geometric mean ≤14 fecal coliform MPN 100 mL⁻¹, ≤10% exceeding 43 MPN), Conditionally Approved (closed after a rainfall trigger — in Virginia typically three days after ≥1 inch in 24 h), Restricted, Conditionally Restricted, and Prohibited. These thresholds, originally set against typhoid and hepatitis A, are routinely tripped by OWTS, stormwater, wildlife, and livestock sources.</w:t>
      </w:r>
    </w:p>
    <w:p>
      <w:pPr>
        <w:pStyle w:val="BodyText"/>
      </w:pPr>
      <w:r>
        <w:t xml:space="preserve">Fecal coliform is a poor proxy for enteric viruses. Norovirus GI/GII dominates shellfish-associated illness, persists in seawater and tissue for weeks to months, and comes specifically from human fecal sources. Lipp, Farrah &amp; Rose (2001), Campos et al. (2015, 2017), and Lowther et al. (2021) showed that shellfish meeting fecal coliform criteria routinely carry detectable norovirus RNA and that standard 48–72 h depuration clears</w:t>
      </w:r>
      <w:r>
        <w:t xml:space="preserve"> </w:t>
      </w:r>
      <w:r>
        <w:rPr>
          <w:iCs/>
          <w:i/>
        </w:rPr>
        <w:t xml:space="preserve">E. coli</w:t>
      </w:r>
      <w:r>
        <w:t xml:space="preserve"> </w:t>
      </w:r>
      <w:r>
        <w:t xml:space="preserve">but not norovirus. OWTS failures can therefore deliver virologically relevant doses even when fecal-coliform monitoring finds waters compliant — a systematic false-negative risk.</w:t>
      </w:r>
    </w:p>
    <w:p>
      <w:pPr>
        <w:pStyle w:val="BodyText"/>
      </w:pPr>
      <w:r>
        <w:rPr>
          <w:iCs/>
          <w:i/>
        </w:rPr>
        <w:t xml:space="preserve">Nutrient- and water-quality-mediated physiological effects.</w:t>
      </w:r>
      <w:r>
        <w:t xml:space="preserve"> </w:t>
      </w:r>
      <w:r>
        <w:t xml:space="preserve">OWTS effluent also carries DIN/DON, phosphorus, labile DOC, surfactants, and trace pharmaceuticals. N loading to shallow estuarine/lagoonal systems drives phytoplankton growth, HABs, diel pH/DO swings, seasonal bottom hypoxia, and reduced Ωaragonite from respiration-driven CO2. Each endpoint has a documented signature in</w:t>
      </w:r>
      <w:r>
        <w:t xml:space="preserve"> </w:t>
      </w:r>
      <w:r>
        <w:rPr>
          <w:iCs/>
          <w:i/>
        </w:rPr>
        <w:t xml:space="preserve">C. virginica</w:t>
      </w:r>
      <w:r>
        <w:t xml:space="preserve"> </w:t>
      </w:r>
      <w:r>
        <w:t xml:space="preserve">and</w:t>
      </w:r>
      <w:r>
        <w:t xml:space="preserve"> </w:t>
      </w:r>
      <w:r>
        <w:rPr>
          <w:iCs/>
          <w:i/>
        </w:rPr>
        <w:t xml:space="preserve">M. mercenaria</w:t>
      </w:r>
      <w:r>
        <w:t xml:space="preserve">: elevated larval mortality and reduced shell deposition under low Ωaragonite (Waldbusser et al. 2015; Gobler &amp; Talmage 2013); reduced clearance rates under chronic hypoxia; reduced growth during</w:t>
      </w:r>
      <w:r>
        <w:t xml:space="preserve"> </w:t>
      </w:r>
      <w:r>
        <w:rPr>
          <w:iCs/>
          <w:i/>
        </w:rPr>
        <w:t xml:space="preserve">Aureococcus</w:t>
      </w:r>
      <w:r>
        <w:t xml:space="preserve">,</w:t>
      </w:r>
      <w:r>
        <w:t xml:space="preserve"> </w:t>
      </w:r>
      <w:r>
        <w:rPr>
          <w:iCs/>
          <w:i/>
        </w:rPr>
        <w:t xml:space="preserve">Aureoumbra</w:t>
      </w:r>
      <w:r>
        <w:t xml:space="preserve">, and</w:t>
      </w:r>
      <w:r>
        <w:t xml:space="preserve"> </w:t>
      </w:r>
      <w:r>
        <w:rPr>
          <w:iCs/>
          <w:i/>
        </w:rPr>
        <w:t xml:space="preserve">Alexandrium</w:t>
      </w:r>
      <w:r>
        <w:t xml:space="preserve"> </w:t>
      </w:r>
      <w:r>
        <w:t xml:space="preserve">blooms; and recruitment failure when seagrass nursery habitat (structural requirement for bay scallop</w:t>
      </w:r>
      <w:r>
        <w:t xml:space="preserve"> </w:t>
      </w:r>
      <w:r>
        <w:rPr>
          <w:iCs/>
          <w:i/>
        </w:rPr>
        <w:t xml:space="preserve">Argopecten irradians</w:t>
      </w:r>
      <w:r>
        <w:t xml:space="preserve">) collapses. Effects grade from sub-lethal energy-budget costs to population-level failure at the tipping points described in Pathway 3b.</w:t>
      </w:r>
    </w:p>
    <w:p>
      <w:pPr>
        <w:pStyle w:val="BodyText"/>
      </w:pPr>
      <w:r>
        <w:rPr>
          <w:iCs/>
          <w:i/>
        </w:rPr>
        <w:t xml:space="preserve">Habitat mediation and economic-ecological coupling.</w:t>
      </w:r>
      <w:r>
        <w:t xml:space="preserve"> </w:t>
      </w:r>
      <w:r>
        <w:t xml:space="preserve">OWTS nutrients affect the structural habitat that commercial fisheries depend on — eelgrass (</w:t>
      </w:r>
      <w:r>
        <w:rPr>
          <w:iCs/>
          <w:i/>
        </w:rPr>
        <w:t xml:space="preserve">Zostera marina</w:t>
      </w:r>
      <w:r>
        <w:t xml:space="preserve">) as obligate bay-scallop substrate and juvenile blue-crab (</w:t>
      </w:r>
      <w:r>
        <w:rPr>
          <w:iCs/>
          <w:i/>
        </w:rPr>
        <w:t xml:space="preserve">Callinectes sapidus</w:t>
      </w:r>
      <w:r>
        <w:t xml:space="preserve">) nursery; oyster reefs as biogenic habitat for juvenile finfish and invertebrates (Newell 2004; Coen et al. 2007). Pathway 4 inherits those couplings from Pathways 3a/3b and focuses on fisheries consequences. These ecological impacts translate to economic loss via closure days × gear types × landed value: a lease in a Conditionally Approved zone loses access per trigger, and if triggers fire often enough the area shifts to Restricted or Prohibited and the lease loses commercial utility. Pathway 4’s distinctive feature is that its endpoint is a regulated economic activity with continuous monitoring — consequences are visible in the regulatory record even when source attribution is imperfect.</w:t>
      </w:r>
    </w:p>
    <w:bookmarkEnd w:id="20"/>
    <w:bookmarkStart w:id="21" w:name="esva-specific-evidence"/>
    <w:p>
      <w:pPr>
        <w:pStyle w:val="Heading2"/>
      </w:pPr>
      <w:r>
        <w:t xml:space="preserve">ESVA-specific evidence</w:t>
      </w:r>
    </w:p>
    <w:p>
      <w:pPr>
        <w:pStyle w:val="FirstParagraph"/>
      </w:pPr>
      <w:r>
        <w:rPr>
          <w:iCs/>
          <w:i/>
        </w:rPr>
        <w:t xml:space="preserve">Industry scale.</w:t>
      </w:r>
      <w:r>
        <w:t xml:space="preserve"> </w:t>
      </w:r>
      <w:r>
        <w:t xml:space="preserve">ESVA is the center of gravity of Virginia’s shellfish aquaculture. The VIMS 2024 Situation &amp; Outlook Report (Hudson, November 2025) put Virginia shellfish aquaculture direct farm-gate sales at $81 million in 2024 — a 52% increase over $53 million in 2018, the highest on record — with over 700 jobs (up from 480 in 2018), the great majority in Accomack and Northampton. Virginia leads the nation in cultivated hard clam production (~99% ESVA); its cultivated oyster sector surpassed pre-pandemic levels in 2024. VMRC records add wild hard-clam, public-ground oyster, and ESVA blue-crab landings.</w:t>
      </w:r>
    </w:p>
    <w:p>
      <w:pPr>
        <w:pStyle w:val="BodyText"/>
      </w:pPr>
      <w:r>
        <w:rPr>
          <w:iCs/>
          <w:i/>
        </w:rPr>
        <w:t xml:space="preserve">Classified growing waters and the DSS shoreline-survey program.</w:t>
      </w:r>
      <w:r>
        <w:t xml:space="preserve"> </w:t>
      </w:r>
      <w:r>
        <w:t xml:space="preserve">VDH DSS classifies roughly 20–25 named growing areas along the ESVA Bayside and seaside (e.g., Area 075 Pocomoke Sound, Area 084 Occohannock Creek, Area 086 Nassawadox Creek; seaside areas covering Folly Creek, Machipongo River, Hog Island Bay, South Bay, Magothy Bay). Each area is monitored at 6–30 adverse-pollution-condition stations, with a minimum of six samples per station per year, and re-surveyed on a 12-year intensive-shoreline cycle. Under the NSSP Model Ordinance (FDA 2019), DSS staff walk or boat the shoreline, enumerate every residence, confirm sewer vs. OWTS connection, inspect drainfields for surface discharge, and map straight pipes, failing lift stations, marina pump-outs, and livestock access. Each growing-area survey (publicly released as a numbered PDF) therefore functions as a parcel-level OWTS inventory in the shellfish-relevant buffer.</w:t>
      </w:r>
    </w:p>
    <w:p>
      <w:pPr>
        <w:pStyle w:val="BodyText"/>
      </w:pPr>
      <w:r>
        <w:rPr>
          <w:iCs/>
          <w:i/>
        </w:rPr>
        <w:t xml:space="preserve">Condemnation areas.</w:t>
      </w:r>
      <w:r>
        <w:t xml:space="preserve"> </w:t>
      </w:r>
      <w:r>
        <w:t xml:space="preserve">DSS shoreline-survey documents for Accomack and Northampton show that essentially every ESVA tidal creek with adjacent residential development carries at least one condemnation area (Restricted or Prohibited) surrounding suspected fecal sources. Named Bayside examples: Pungoteague, Nandua, Onancock, and Occohannock Creeks, Pocomoke Sound near Saxis and Sanford, Hungars Creek, Nassawadox Creek, and Cherrystone Inlet. Seaside examples: Chincoteague Bay near the town of Chincoteague, Assawoman and Gargathy Bays, Folly Creek above Wachapreague, Machipongo River above Willis Wharf, and creeks around Oyster and Cape Charles. Condemnation zones cluster in the upper reaches of creeks — low-flushing, residentially developed, OWTS-dense headwaters (the highest-vulnerability geometry from Pathway 2). Growing-area reports suggest the ESVA share of classified waters in Conditionally Approved or more-restrictive classes runs on the order of 15–30%, a share that has crept upward over two decades with shoreline development and SLR-driven OWTS inundation.</w:t>
      </w:r>
    </w:p>
    <w:p>
      <w:pPr>
        <w:pStyle w:val="BodyText"/>
      </w:pPr>
      <w:r>
        <w:rPr>
          <w:iCs/>
          <w:i/>
        </w:rPr>
        <w:t xml:space="preserve">Rain-triggered Conditionally Approved closures.</w:t>
      </w:r>
      <w:r>
        <w:t xml:space="preserve"> </w:t>
      </w:r>
      <w:r>
        <w:t xml:space="preserve">DSS maintains an active Conditional Shellfish Harvesting Area Status page updated after every event. ESVA triggers are typically ≥1 inch rainfall in 24 h with three-day closure; some creeks carry more sensitive ≥0.5-inch triggers. Closure-day counts can exceed 30–60 days per year in wet years for headwater segments. Zimmer-Faust et al. (2018,</w:t>
      </w:r>
      <w:r>
        <w:t xml:space="preserve"> </w:t>
      </w:r>
      <w:r>
        <w:rPr>
          <w:iCs/>
          <w:i/>
        </w:rPr>
        <w:t xml:space="preserve">Water Research</w:t>
      </w:r>
      <w:r>
        <w:t xml:space="preserve">), using 11 years of Chesapeake shellfish-water data, found the share of samples exceeding FDA fecal coliform criteria rose from 7% at &lt;1 inch rainfall to 37% at ≥1 inch in 24 h — a quantitative validation of the trigger. DSS source attribution is qualitative; for small residentially developed ESVA headwater creeks with minor agricultural input, OWTS is usually the leading suspected source.</w:t>
      </w:r>
    </w:p>
    <w:p>
      <w:pPr>
        <w:pStyle w:val="BodyText"/>
      </w:pPr>
      <w:r>
        <w:rPr>
          <w:iCs/>
          <w:i/>
        </w:rPr>
        <w:t xml:space="preserve">OWTS exposure and sea-level rise.</w:t>
      </w:r>
      <w:r>
        <w:t xml:space="preserve"> </w:t>
      </w:r>
      <w:r>
        <w:t xml:space="preserve">Mitchell et al. (2021,</w:t>
      </w:r>
      <w:r>
        <w:t xml:space="preserve"> </w:t>
      </w:r>
      <w:r>
        <w:rPr>
          <w:iCs/>
          <w:i/>
        </w:rPr>
        <w:t xml:space="preserve">Frontiers in Marine Science</w:t>
      </w:r>
      <w:r>
        <w:t xml:space="preserve"> </w:t>
      </w:r>
      <w:r>
        <w:t xml:space="preserve">8:631757) mapped parcel-level OWTS vulnerability across coastal Virginia and identified the Eastern Shore as the most exposed locality cluster, with failure hot spots fairly evenly distributed along the length of the Shore and concentrated in the shoreline-proximal, low-elevation parcels that sit directly over the classified shellfish waters. The Virginia Wastewater Infrastructure Policy Working Group (RD883, 2021) named Oyster, Willis Wharf, Quinby, Wachapreague, Saxis, Chincoteague, and Cape Charles as particularly exposed. Capps et al. (2020,</w:t>
      </w:r>
      <w:r>
        <w:t xml:space="preserve"> </w:t>
      </w:r>
      <w:r>
        <w:rPr>
          <w:iCs/>
          <w:i/>
        </w:rPr>
        <w:t xml:space="preserve">Environmental Science &amp; Technology</w:t>
      </w:r>
      <w:r>
        <w:t xml:space="preserve">) added the socio-economic framing — unsewered ESVA parcels are disproportionately low-income and costly to sewer. Together these three lines establish near-complete spatial overlap between vulnerable septic and classified shellfish waters on ESVA.</w:t>
      </w:r>
    </w:p>
    <w:p>
      <w:pPr>
        <w:pStyle w:val="BodyText"/>
      </w:pPr>
      <w:r>
        <w:rPr>
          <w:iCs/>
          <w:i/>
        </w:rPr>
        <w:t xml:space="preserve">ESVA-specific response studies.</w:t>
      </w:r>
      <w:r>
        <w:t xml:space="preserve"> </w:t>
      </w:r>
      <w:r>
        <w:t xml:space="preserve">The VIMS Eastern Shore Lab (Wachapreague) and VIMS Marine Advisory Program have documented industry concerns about rising closure-day counts and warm-season HAB events in Bayside creeks and seaside lagoons. ABC-selected oyster lines used on ESVA are bred for disease and growth, not nutrient-stress tolerance, so water-quality shifts pass directly to production. The ESVA bay scallop reintroduction is a clean local illustration of habitat mediation: scallops reappeared only after seagrass returned, and their trajectory is tightly coupled to eelgrass extent (Pathway 3b). No published ESVA study has microbial-source-tracked a fraction of closure days or production loss to OWTS — the leading local data gap.</w:t>
      </w:r>
    </w:p>
    <w:bookmarkEnd w:id="21"/>
    <w:bookmarkStart w:id="22" w:name="analogue-evidence"/>
    <w:p>
      <w:pPr>
        <w:pStyle w:val="Heading2"/>
      </w:pPr>
      <w:r>
        <w:t xml:space="preserve">Analogue evidence</w:t>
      </w:r>
    </w:p>
    <w:p>
      <w:pPr>
        <w:pStyle w:val="FirstParagraph"/>
      </w:pPr>
      <w:r>
        <w:t xml:space="preserve">The analogue record converges from several independent directions: OWTS-dense coastal watersheds produce quantifiable increases in shellfish fecal-indicator and virus contamination, closure days, and longer-term nutrient- and habitat-mediated effects on shellfish populations.</w:t>
      </w:r>
    </w:p>
    <w:p>
      <w:pPr>
        <w:pStyle w:val="BodyText"/>
      </w:pPr>
      <w:r>
        <w:rPr>
          <w:iCs/>
          <w:i/>
        </w:rPr>
        <w:t xml:space="preserve">Buzzards Bay and Waquoit, Cape Cod.</w:t>
      </w:r>
      <w:r>
        <w:t xml:space="preserve"> </w:t>
      </w:r>
      <w:r>
        <w:t xml:space="preserve">The Buzzards Bay NEP maintains the most systematic published record linking residential OWTS to shellfish closures on the US East Coast: roughly 24% of Buzzards Bay growing waters are Conditionally Approved or worse, with upward trends in closed acreage over 1985–2020 statistically linked to shoreline housing density. The Waquoit Bay NERR adds the complementary N-loading record: Valiela et al. (1997) developed the Nitrogen Loading Model and found residential OWTS contributing 40–80% of delivered N in residentially dense sub-estuaries; Waquoit</w:t>
      </w:r>
      <w:r>
        <w:t xml:space="preserve"> </w:t>
      </w:r>
      <w:r>
        <w:rPr>
          <w:iCs/>
          <w:i/>
        </w:rPr>
        <w:t xml:space="preserve">Mya arenaria</w:t>
      </w:r>
      <w:r>
        <w:t xml:space="preserve"> </w:t>
      </w:r>
      <w:r>
        <w:t xml:space="preserve">and quahog grounds were progressively closed through the 1980s–1990s. Buzzards Bay and Waquoit remain the canonical septic-to-shellfish-closure analogues for East Coast sandy coastal-plain settings, directly mappable onto ESVA.</w:t>
      </w:r>
    </w:p>
    <w:p>
      <w:pPr>
        <w:pStyle w:val="BodyText"/>
      </w:pPr>
      <w:r>
        <w:rPr>
          <w:iCs/>
          <w:i/>
        </w:rPr>
        <w:t xml:space="preserve">Narragansett Bay, Rhode Island — the sewer-extension quasi-experiment.</w:t>
      </w:r>
      <w:r>
        <w:t xml:space="preserve"> </w:t>
      </w:r>
      <w:r>
        <w:t xml:space="preserve">RIDEM’s Conditionally Approved program is analogous to Virginia’s. Greenwich Bay, Potowomut, Wickford, and the Narrow River watershed were historically the most closure-exposed areas; sewer extension between 2000 and 2020 reopened roughly 500 previously closed acres, principally attributable to the Warwick sewer project — a quasi-experimental demonstration that removing OWTS restores harvestable shellfish water.</w:t>
      </w:r>
    </w:p>
    <w:p>
      <w:pPr>
        <w:pStyle w:val="BodyText"/>
      </w:pPr>
      <w:r>
        <w:rPr>
          <w:iCs/>
          <w:i/>
        </w:rPr>
        <w:t xml:space="preserve">Pamlico Sound and NC ShellCast.</w:t>
      </w:r>
      <w:r>
        <w:t xml:space="preserve"> </w:t>
      </w:r>
      <w:r>
        <w:t xml:space="preserve">NC DMF has documented sustained increases in Conditionally Approved acreage driven by OWTS and stormwater sources, with hurricanes producing regional closures lasting weeks to months. NC State ShellCast (Nelson et al. 2022) now provides operational rainfall-based closure prediction; its underlying datasets confirm that OWTS-dense coastal-plain settings have the steepest rainfall-closure response curves.</w:t>
      </w:r>
    </w:p>
    <w:p>
      <w:pPr>
        <w:pStyle w:val="BodyText"/>
      </w:pPr>
      <w:r>
        <w:rPr>
          <w:iCs/>
          <w:i/>
        </w:rPr>
        <w:t xml:space="preserve">Indian River Lagoon.</w:t>
      </w:r>
      <w:r>
        <w:t xml:space="preserve"> </w:t>
      </w:r>
      <w:r>
        <w:t xml:space="preserve">The Florida IRL is the nearest US case in which residential OWTS has been directly implicated in a lagoon-scale shellfish and seagrass collapse. Lapointe et al. (2015, 2017, 2020, 2023) used δ¹⁵N fingerprinting to attribute the bulk of bioavailable N loading to OWTS (the 2023 paper reported ~79% septic, ~21% fertilizer). The 2011-onset brown-tide and</w:t>
      </w:r>
      <w:r>
        <w:t xml:space="preserve"> </w:t>
      </w:r>
      <w:r>
        <w:rPr>
          <w:iCs/>
          <w:i/>
        </w:rPr>
        <w:t xml:space="preserve">Caulerpa prolifera</w:t>
      </w:r>
      <w:r>
        <w:t xml:space="preserve"> </w:t>
      </w:r>
      <w:r>
        <w:t xml:space="preserve">cascade (Phlips et al. 2015) removed &gt;60% of IRL seagrass, crashed bay scallop and hard-clam populations, and triggered manatee mass mortality. The IRL is more urbanized than ESVA but lagoon physics, sandy coastal-plain aquifer, and OWTS geometry are comparable. The IRL is the strongest published demonstration that OWTS nutrients can push a shallow coastal lagoon past a shellfish-relevant tipping point within a decade.</w:t>
      </w:r>
    </w:p>
    <w:p>
      <w:pPr>
        <w:pStyle w:val="BodyText"/>
      </w:pPr>
      <w:r>
        <w:rPr>
          <w:iCs/>
          <w:i/>
        </w:rPr>
        <w:t xml:space="preserve">Great South Bay — brown-tide and the bay scallop.</w:t>
      </w:r>
      <w:r>
        <w:t xml:space="preserve"> </w:t>
      </w:r>
      <w:r>
        <w:t xml:space="preserve">Long Island’s Great South Bay supported the most productive</w:t>
      </w:r>
      <w:r>
        <w:t xml:space="preserve"> </w:t>
      </w:r>
      <w:r>
        <w:rPr>
          <w:iCs/>
          <w:i/>
        </w:rPr>
        <w:t xml:space="preserve">A. irradians</w:t>
      </w:r>
      <w:r>
        <w:t xml:space="preserve"> </w:t>
      </w:r>
      <w:r>
        <w:t xml:space="preserve">fishery in the US before 1985; the initial</w:t>
      </w:r>
      <w:r>
        <w:t xml:space="preserve"> </w:t>
      </w:r>
      <w:r>
        <w:rPr>
          <w:iCs/>
          <w:i/>
        </w:rPr>
        <w:t xml:space="preserve">Aureococcus anophagefferens</w:t>
      </w:r>
      <w:r>
        <w:t xml:space="preserve"> </w:t>
      </w:r>
      <w:r>
        <w:t xml:space="preserve">bloom crashed the population and the fishery has never recovered. Gobler et al. (2005, 2017) documented that brown tide thrives on DON; Kinney &amp; Valiela (2011) attributed much Long Island DON loading to residential OWTS. This is ESVA-relevant because the seaside bay-scallop reintroduction is rebuilding a population within the physical envelope where brown tide previously collapsed a scallop fishery.</w:t>
      </w:r>
    </w:p>
    <w:p>
      <w:pPr>
        <w:pStyle w:val="BodyText"/>
      </w:pPr>
      <w:r>
        <w:rPr>
          <w:iCs/>
          <w:i/>
        </w:rPr>
        <w:t xml:space="preserve">Apalachicola Bay — multi-stressor collapse precedent.</w:t>
      </w:r>
      <w:r>
        <w:t xml:space="preserve"> </w:t>
      </w:r>
      <w:r>
        <w:t xml:space="preserve">The 2012 Apalachicola</w:t>
      </w:r>
      <w:r>
        <w:t xml:space="preserve"> </w:t>
      </w:r>
      <w:r>
        <w:rPr>
          <w:iCs/>
          <w:i/>
        </w:rPr>
        <w:t xml:space="preserve">C. virginica</w:t>
      </w:r>
      <w:r>
        <w:t xml:space="preserve"> </w:t>
      </w:r>
      <w:r>
        <w:t xml:space="preserve">collapse (Camp et al. 2015) was driven by upstream freshwater withdrawal and post-spill overharvest, not septic. It is a reference point for ESVA because it shows that a productive East Coast oyster fishery can collapse in months once multiple stressors align, and because the post-2012 record (commercial harvest suspended in 2020 through at least 2025) shows that recovery after crossing a tipping point is neither fast nor guaranteed.</w:t>
      </w:r>
    </w:p>
    <w:p>
      <w:pPr>
        <w:pStyle w:val="BodyText"/>
      </w:pPr>
      <w:r>
        <w:rPr>
          <w:iCs/>
          <w:i/>
        </w:rPr>
        <w:t xml:space="preserve">Norovirus outbreak analogues.</w:t>
      </w:r>
      <w:r>
        <w:t xml:space="preserve"> </w:t>
      </w:r>
      <w:r>
        <w:t xml:space="preserve">Webby et al. (2007), Iwamoto et al. (2010), and Campos et al. (2017) together establish that shellfish-associated norovirus outbreaks routinely trace back to specific human fecal sources (OWTS, straight pipes, CSOs), norovirus persists in oyster tissue for weeks at winter temperatures, and outbreaks occur even in waters meeting fecal coliform criteria. The ESVA implication is that fecal-coliform-only closure systems cannot guarantee absence of norovirus risk in OWTS-affected areas.</w:t>
      </w:r>
    </w:p>
    <w:p>
      <w:pPr>
        <w:pStyle w:val="BodyText"/>
      </w:pPr>
      <w:r>
        <w:rPr>
          <w:iCs/>
          <w:i/>
        </w:rPr>
        <w:t xml:space="preserve">Taken together,</w:t>
      </w:r>
      <w:r>
        <w:t xml:space="preserve"> </w:t>
      </w:r>
      <w:r>
        <w:t xml:space="preserve">the analogue record establishes (1) OWTS-dense coastal watersheds produce quantifiable increases in shellfish closure days; (2) removing OWTS via sewer restores harvestable acreage; (3) OWTS nutrients can drive coastal-plain lagoons past habitat-mediated tipping points within a decade; and (4) fecal-coliform regulation is systematically insensitive to norovirus risk. All four apply to ESVA.</w:t>
      </w:r>
    </w:p>
    <w:bookmarkEnd w:id="22"/>
    <w:bookmarkStart w:id="23" w:name="strength-of-evidence-assessment"/>
    <w:p>
      <w:pPr>
        <w:pStyle w:val="Heading2"/>
      </w:pPr>
      <w:r>
        <w:t xml:space="preserve">Strength-of-evidence assessment</w:t>
      </w:r>
    </w:p>
    <w:p>
      <w:pPr>
        <w:pStyle w:val="FirstParagraph"/>
      </w:pPr>
      <w:r>
        <w:t xml:space="preserve">Evidence is asymmetric: very strong for the pathogen/closure mechanism, strong for ESVA spatial overlap of OWTS exposure with classified shellfish waters, moderate for the nutrient/physiology mechanism, and weak for direct quantitative attribution of specific ESVA closure days or production losses to OWTS.</w:t>
      </w:r>
    </w:p>
    <w:p>
      <w:pPr>
        <w:pStyle w:val="BodyText"/>
      </w:pPr>
      <w:r>
        <w:rPr>
          <w:iCs/>
          <w:i/>
        </w:rPr>
        <w:t xml:space="preserve">Pathogen/closure mechanism — high confidence.</w:t>
      </w:r>
      <w:r>
        <w:t xml:space="preserve"> </w:t>
      </w:r>
      <w:r>
        <w:t xml:space="preserve">The OWTS-to-fecal-coliform link in shellfish waters is mechanistically clear and supported by decades of regulatory monitoring. The NSSP/FDA framework routinely identifies OWTS-dense watersheds as closure contributors. Buzzards Bay, Narragansett, Pamlico, and ShellCast each independently confirm exceedance probability rising with OWTS density and rainfall-pulse intensity. DSS shoreline surveys on ESVA walk the buffer and enumerate OWTS; the mapping of closed waters onto residentially developed creek headwaters is qualitatively exact.</w:t>
      </w:r>
    </w:p>
    <w:p>
      <w:pPr>
        <w:pStyle w:val="BodyText"/>
      </w:pPr>
      <w:r>
        <w:rPr>
          <w:iCs/>
          <w:i/>
        </w:rPr>
        <w:t xml:space="preserve">ESVA OWTS exposure — high confidence.</w:t>
      </w:r>
      <w:r>
        <w:t xml:space="preserve"> </w:t>
      </w:r>
      <w:r>
        <w:t xml:space="preserve">Mitchell et al. (2021) and RD883 (2021) independently identify ESVA as the most OWTS-exposed coastal Virginia locality, with parcel-level vulnerability overlapping classified shellfish waters. Capps et al. (2020) adds the socio-economic framing. Thousands of ESVA parcels operate OWTS within the hydrogeologic buffer of classified shellfish waters; a non-trivial fraction are already marginal or inundated; both counts will rise with SLR.</w:t>
      </w:r>
    </w:p>
    <w:p>
      <w:pPr>
        <w:pStyle w:val="BodyText"/>
      </w:pPr>
      <w:r>
        <w:rPr>
          <w:iCs/>
          <w:i/>
        </w:rPr>
        <w:t xml:space="preserve">Virus–indicator discordance — mechanism high confidence, ESVA local data absent.</w:t>
      </w:r>
      <w:r>
        <w:t xml:space="preserve"> </w:t>
      </w:r>
      <w:r>
        <w:t xml:space="preserve">Lipp et al. (2001), Campos et al. (2015, 2017), Iwamoto et al. (2010), and Lowther et al. (2021) close the mechanistic case that fecal coliform is a poor proxy for norovirus and depuration does not clear it. No published norovirus survey of ESVA shellfish tissue or water exists; the ESVA conclusion is imported from the analogue literature.</w:t>
      </w:r>
    </w:p>
    <w:p>
      <w:pPr>
        <w:pStyle w:val="BodyText"/>
      </w:pPr>
      <w:r>
        <w:rPr>
          <w:iCs/>
          <w:i/>
        </w:rPr>
        <w:t xml:space="preserve">Nutrient/physiology mechanism — moderate confidence.</w:t>
      </w:r>
      <w:r>
        <w:t xml:space="preserve"> </w:t>
      </w:r>
      <w:r>
        <w:t xml:space="preserve">Waldbusser et al. (2015), Gobler &amp; Talmage (2013), and the coastal-acidification literature establish physiological dose-response curves for</w:t>
      </w:r>
      <w:r>
        <w:t xml:space="preserve"> </w:t>
      </w:r>
      <w:r>
        <w:rPr>
          <w:iCs/>
          <w:i/>
        </w:rPr>
        <w:t xml:space="preserve">C. virginica</w:t>
      </w:r>
      <w:r>
        <w:t xml:space="preserve"> </w:t>
      </w:r>
      <w:r>
        <w:t xml:space="preserve">and</w:t>
      </w:r>
      <w:r>
        <w:t xml:space="preserve"> </w:t>
      </w:r>
      <w:r>
        <w:rPr>
          <w:iCs/>
          <w:i/>
        </w:rPr>
        <w:t xml:space="preserve">M. mercenaria</w:t>
      </w:r>
      <w:r>
        <w:t xml:space="preserve"> </w:t>
      </w:r>
      <w:r>
        <w:t xml:space="preserve">larvae; the brown-tide literature establishes HAB impacts on bivalve feeding. The direct link from OWTS N to ESVA growing-area water chemistry rests on importing parameterized curves — VCR LTER and CBP monitoring are not designed for growing-area-scale attribution.</w:t>
      </w:r>
    </w:p>
    <w:p>
      <w:pPr>
        <w:pStyle w:val="BodyText"/>
      </w:pPr>
      <w:r>
        <w:rPr>
          <w:iCs/>
          <w:i/>
        </w:rPr>
        <w:t xml:space="preserve">Habitat mediation — moderate confidence.</w:t>
      </w:r>
      <w:r>
        <w:t xml:space="preserve"> </w:t>
      </w:r>
      <w:r>
        <w:t xml:space="preserve">Seagrass loss → bay scallop and juvenile finfish decline is well-established in the Long Island and ESVA-seaside records. Oyster-reef condition → juvenile blue crab and fish nursery function is established in principle (Newell 2004; Coen et al. 2007) but ESVA-specific quantification is limited. Pathways 3a/3b provide the OWTS-to-SAV chain; Pathway 4 inherits it.</w:t>
      </w:r>
    </w:p>
    <w:p>
      <w:pPr>
        <w:pStyle w:val="BodyText"/>
      </w:pPr>
      <w:r>
        <w:rPr>
          <w:iCs/>
          <w:i/>
        </w:rPr>
        <w:t xml:space="preserve">Direct ESVA attribution — low confidence.</w:t>
      </w:r>
      <w:r>
        <w:t xml:space="preserve"> </w:t>
      </w:r>
      <w:r>
        <w:t xml:space="preserve">The biggest evidentiary weakness. No published ESVA study has quantified what fraction of DSS closure days are attributable to OWTS vs. stormwater, wildlife, or agriculture. No ESVA study has used microbial source tracking (HF183, F+ coliphage, crAssphage, enteric-virus PCR) to quantify the human-fecal fraction; none has matched OWTS-density gradients to closure-day gradients.</w:t>
      </w:r>
    </w:p>
    <w:p>
      <w:pPr>
        <w:pStyle w:val="BodyText"/>
      </w:pPr>
      <w:r>
        <w:rPr>
          <w:iCs/>
          <w:i/>
        </w:rPr>
        <w:t xml:space="preserve">Overall.</w:t>
      </w:r>
      <w:r>
        <w:t xml:space="preserve"> </w:t>
      </w:r>
      <w:r>
        <w:t xml:space="preserve">The case that failing OWTS damage ESVA shellfish grounds rests on a strong analogue record, a strong mechanistic foundation, and a strong spatial-overlap argument, weakened by the absence of direct local attribution. In precautionary terms the evidence is sufficient to treat OWTS as a first-order threat to the ESVA shellfish industry; for specific management decisions (e.g., sewer-extension cost-benefit in a specific creek) the targeted studies in Data gaps are needed.</w:t>
      </w:r>
    </w:p>
    <w:bookmarkEnd w:id="23"/>
    <w:bookmarkStart w:id="24" w:name="data-gaps"/>
    <w:p>
      <w:pPr>
        <w:pStyle w:val="Heading2"/>
      </w:pPr>
      <w:r>
        <w:t xml:space="preserve">Data gaps</w:t>
      </w:r>
    </w:p>
    <w:p>
      <w:pPr>
        <w:numPr>
          <w:ilvl w:val="0"/>
          <w:numId w:val="1001"/>
        </w:numPr>
      </w:pPr>
      <w:r>
        <w:rPr>
          <w:iCs/>
          <w:i/>
        </w:rPr>
        <w:t xml:space="preserve">Microbial source tracking.</w:t>
      </w:r>
      <w:r>
        <w:t xml:space="preserve"> </w:t>
      </w:r>
      <w:r>
        <w:t xml:space="preserve">No published HF183, F+ coliphage, or crAssphage survey pairs ESVA creeks with simultaneous OWTS-density mapping. A targeted MST campaign across an ESVA OWTS-density gradient would directly quantify the OWTS fraction of fecal indicator loading — the attribution DSS shoreline surveys cannot produce.</w:t>
      </w:r>
    </w:p>
    <w:p>
      <w:pPr>
        <w:numPr>
          <w:ilvl w:val="0"/>
          <w:numId w:val="1001"/>
        </w:numPr>
      </w:pPr>
      <w:r>
        <w:rPr>
          <w:iCs/>
          <w:i/>
        </w:rPr>
        <w:t xml:space="preserve">Quantitative closure-day attribution.</w:t>
      </w:r>
      <w:r>
        <w:t xml:space="preserve"> </w:t>
      </w:r>
      <w:r>
        <w:t xml:space="preserve">DSS Conditional Shellfish Harvesting Area Status records contain years of closure-day data for every conditionally approved ESVA growing area, but no published analysis has decomposed closure-day counts by source or related closure-day trends to shoreline OWTS density. A retrospective using existing DSS and parcel data would yield a quantitative</w:t>
      </w:r>
      <w:r>
        <w:t xml:space="preserve"> </w:t>
      </w:r>
      <w:r>
        <w:t xml:space="preserve">“</w:t>
      </w:r>
      <w:r>
        <w:t xml:space="preserve">closure days per OWTS-density unit</w:t>
      </w:r>
      <w:r>
        <w:t xml:space="preserve">”</w:t>
      </w:r>
      <w:r>
        <w:t xml:space="preserve"> </w:t>
      </w:r>
      <w:r>
        <w:t xml:space="preserve">figure.</w:t>
      </w:r>
    </w:p>
    <w:p>
      <w:pPr>
        <w:numPr>
          <w:ilvl w:val="0"/>
          <w:numId w:val="1001"/>
        </w:numPr>
      </w:pPr>
      <w:r>
        <w:rPr>
          <w:iCs/>
          <w:i/>
        </w:rPr>
        <w:t xml:space="preserve">Norovirus prevalence in ESVA shellfish tissue and water.</w:t>
      </w:r>
      <w:r>
        <w:t xml:space="preserve"> </w:t>
      </w:r>
      <w:r>
        <w:t xml:space="preserve">No published survey of norovirus GI/GII or human enteric adenovirus in ESVA harvest water or shellfish tissue exists — simultaneously a public-health and ecological gap given the indicator-virus discordance.</w:t>
      </w:r>
    </w:p>
    <w:p>
      <w:pPr>
        <w:numPr>
          <w:ilvl w:val="0"/>
          <w:numId w:val="1001"/>
        </w:numPr>
      </w:pPr>
      <w:r>
        <w:rPr>
          <w:iCs/>
          <w:i/>
        </w:rPr>
        <w:t xml:space="preserve">Parcel-level OWTS N loading to growing areas.</w:t>
      </w:r>
      <w:r>
        <w:t xml:space="preserve"> </w:t>
      </w:r>
      <w:r>
        <w:t xml:space="preserve">The Valiela Nitrogen Loading Model has not been parameterized and applied at the ESVA growing-area scale; application with ESVA-specific attenuation coefficients would produce a parcel-level expected-N-loading map for each classified growing area.</w:t>
      </w:r>
    </w:p>
    <w:p>
      <w:pPr>
        <w:numPr>
          <w:ilvl w:val="0"/>
          <w:numId w:val="1001"/>
        </w:numPr>
      </w:pPr>
      <w:r>
        <w:rPr>
          <w:iCs/>
          <w:i/>
        </w:rPr>
        <w:t xml:space="preserve">Farm-level water-quality records.</w:t>
      </w:r>
      <w:r>
        <w:t xml:space="preserve"> </w:t>
      </w:r>
      <w:r>
        <w:t xml:space="preserve">Leaseholder pH, DO, chl-a, and turbidity data exist informally for several ESVA farms but are not collated into a research-quality time series. A formal network — with VIMS Eastern Shore Lab — would close the gap between regulatory (fecal coliform only) monitoring and the nutrient/physiology endpoints that drive production.</w:t>
      </w:r>
    </w:p>
    <w:p>
      <w:pPr>
        <w:numPr>
          <w:ilvl w:val="0"/>
          <w:numId w:val="1001"/>
        </w:numPr>
      </w:pPr>
      <w:r>
        <w:rPr>
          <w:iCs/>
          <w:i/>
        </w:rPr>
        <w:t xml:space="preserve">Economic-ecological coupling.</w:t>
      </w:r>
      <w:r>
        <w:t xml:space="preserve"> </w:t>
      </w:r>
      <w:r>
        <w:t xml:space="preserve">The VIMS Situation &amp; Outlook Report quantifies aggregate value but does not decompose production losses by closure days or water-quality events at lease scale. Lease-level production-and-closure datasets would permit</w:t>
      </w:r>
      <w:r>
        <w:t xml:space="preserve"> </w:t>
      </w:r>
      <w:r>
        <w:t xml:space="preserve">“</w:t>
      </w:r>
      <w:r>
        <w:t xml:space="preserve">dollars per OWTS-delivered kg N</w:t>
      </w:r>
      <w:r>
        <w:t xml:space="preserve">”</w:t>
      </w:r>
      <w:r>
        <w:t xml:space="preserve"> </w:t>
      </w:r>
      <w:r>
        <w:t xml:space="preserve">and</w:t>
      </w:r>
      <w:r>
        <w:t xml:space="preserve"> </w:t>
      </w:r>
      <w:r>
        <w:t xml:space="preserve">“</w:t>
      </w:r>
      <w:r>
        <w:t xml:space="preserve">dollars per closure day per unit area</w:t>
      </w:r>
      <w:r>
        <w:t xml:space="preserve">”</w:t>
      </w:r>
      <w:r>
        <w:t xml:space="preserve"> </w:t>
      </w:r>
      <w:r>
        <w:t xml:space="preserve">estimates.</w:t>
      </w:r>
    </w:p>
    <w:p>
      <w:pPr>
        <w:numPr>
          <w:ilvl w:val="0"/>
          <w:numId w:val="1001"/>
        </w:numPr>
      </w:pPr>
      <w:r>
        <w:rPr>
          <w:iCs/>
          <w:i/>
        </w:rPr>
        <w:t xml:space="preserve">SLR trajectory for closure-day burden.</w:t>
      </w:r>
      <w:r>
        <w:t xml:space="preserve"> </w:t>
      </w:r>
      <w:r>
        <w:t xml:space="preserve">No study has combined Mitchell et al.’s OWTS-inundation projections with rainfall-pulse scenarios and DSS records to forecast 2030–2050 closure-day burden by ESVA growing area.</w:t>
      </w:r>
    </w:p>
    <w:p>
      <w:pPr>
        <w:numPr>
          <w:ilvl w:val="0"/>
          <w:numId w:val="1001"/>
        </w:numPr>
      </w:pPr>
      <w:r>
        <w:rPr>
          <w:iCs/>
          <w:i/>
        </w:rPr>
        <w:t xml:space="preserve">Gear-specific exposure geometry.</w:t>
      </w:r>
      <w:r>
        <w:t xml:space="preserve"> </w:t>
      </w:r>
      <w:r>
        <w:t xml:space="preserve">Cage-cultured floating oysters, bottom-planted oysters, and bottom hard clams experience different exposures to bottom-derived pathogens and HABs; these have not been quantified for ESVA practice.</w:t>
      </w:r>
    </w:p>
    <w:p>
      <w:pPr>
        <w:numPr>
          <w:ilvl w:val="0"/>
          <w:numId w:val="1001"/>
        </w:numPr>
      </w:pPr>
      <w:r>
        <w:rPr>
          <w:iCs/>
          <w:i/>
        </w:rPr>
        <w:t xml:space="preserve">Disease–water-quality interactions.</w:t>
      </w:r>
      <w:r>
        <w:t xml:space="preserve"> </w:t>
      </w:r>
      <w:r>
        <w:t xml:space="preserve">Interactions between chronic nutrient enrichment and susceptibility to</w:t>
      </w:r>
      <w:r>
        <w:t xml:space="preserve"> </w:t>
      </w:r>
      <w:r>
        <w:rPr>
          <w:iCs/>
          <w:i/>
        </w:rPr>
        <w:t xml:space="preserve">Perkinsus marinus</w:t>
      </w:r>
      <w:r>
        <w:t xml:space="preserve"> </w:t>
      </w:r>
      <w:r>
        <w:t xml:space="preserve">(Dermo) and</w:t>
      </w:r>
      <w:r>
        <w:t xml:space="preserve"> </w:t>
      </w:r>
      <w:r>
        <w:rPr>
          <w:iCs/>
          <w:i/>
        </w:rPr>
        <w:t xml:space="preserve">Haplosporidium nelsoni</w:t>
      </w:r>
      <w:r>
        <w:t xml:space="preserve"> </w:t>
      </w:r>
      <w:r>
        <w:t xml:space="preserve">(MSX) in ESVA cultured oyster stocks are documented only in general terms, despite disease being a major production driver.</w:t>
      </w:r>
    </w:p>
    <w:bookmarkEnd w:id="24"/>
    <w:bookmarkStart w:id="25" w:name="references"/>
    <w:p>
      <w:pPr>
        <w:pStyle w:val="Heading2"/>
      </w:pPr>
      <w:r>
        <w:t xml:space="preserve">References</w:t>
      </w:r>
    </w:p>
    <w:p>
      <w:pPr>
        <w:numPr>
          <w:ilvl w:val="0"/>
          <w:numId w:val="1002"/>
        </w:numPr>
        <w:pStyle w:val="Compact"/>
      </w:pPr>
      <w:r>
        <w:t xml:space="preserve">Camp, E. V., Pine, W. E. III, Havens, K., Kane, A. S., Walters, C. J., Irani, T., Lindsey, A. B., &amp; Morris, J. G. Jr. (2015). Collapse of a historic oyster fishery: diagnosing causes and identifying paths toward increased resilience.</w:t>
      </w:r>
      <w:r>
        <w:t xml:space="preserve"> </w:t>
      </w:r>
      <w:r>
        <w:rPr>
          <w:iCs/>
          <w:i/>
        </w:rPr>
        <w:t xml:space="preserve">Ecology and Society</w:t>
      </w:r>
      <w:r>
        <w:t xml:space="preserve"> </w:t>
      </w:r>
      <w:r>
        <w:t xml:space="preserve">20(3):45.</w:t>
      </w:r>
    </w:p>
    <w:p>
      <w:pPr>
        <w:numPr>
          <w:ilvl w:val="0"/>
          <w:numId w:val="1002"/>
        </w:numPr>
        <w:pStyle w:val="Compact"/>
      </w:pPr>
      <w:r>
        <w:t xml:space="preserve">Campos, C. J. A., Kershaw, S. R., &amp; Lees, D. N. (2013). Environmental influences on faecal indicator organisms in coastal waters and their accumulation in bivalve shellfish.</w:t>
      </w:r>
      <w:r>
        <w:t xml:space="preserve"> </w:t>
      </w:r>
      <w:r>
        <w:rPr>
          <w:iCs/>
          <w:i/>
        </w:rPr>
        <w:t xml:space="preserve">Estuaries and Coasts</w:t>
      </w:r>
      <w:r>
        <w:t xml:space="preserve"> </w:t>
      </w:r>
      <w:r>
        <w:t xml:space="preserve">36:834–853.</w:t>
      </w:r>
    </w:p>
    <w:p>
      <w:pPr>
        <w:numPr>
          <w:ilvl w:val="0"/>
          <w:numId w:val="1002"/>
        </w:numPr>
        <w:pStyle w:val="Compact"/>
      </w:pPr>
      <w:r>
        <w:t xml:space="preserve">Campos, C. J. A., Avant, J., Gustar, N., Lowther, J., Powell, A., Stockley, L., &amp; Lees, D. N. (2015). Fate of human noroviruses in shellfish and water impacted by frequent sewage pollution events.</w:t>
      </w:r>
      <w:r>
        <w:t xml:space="preserve"> </w:t>
      </w:r>
      <w:r>
        <w:rPr>
          <w:iCs/>
          <w:i/>
        </w:rPr>
        <w:t xml:space="preserve">Environmental Science &amp; Technology</w:t>
      </w:r>
      <w:r>
        <w:t xml:space="preserve"> </w:t>
      </w:r>
      <w:r>
        <w:t xml:space="preserve">49:8377–8385.</w:t>
      </w:r>
    </w:p>
    <w:p>
      <w:pPr>
        <w:numPr>
          <w:ilvl w:val="0"/>
          <w:numId w:val="1002"/>
        </w:numPr>
        <w:pStyle w:val="Compact"/>
      </w:pPr>
      <w:r>
        <w:t xml:space="preserve">Campos, C. J. A., Avant, J., Lowther, J., Till, D., Le Saux, J.-C., Atmar, R. L., &amp; Lees, D. N. (2017). Determination of norovirus concentrations in the digestive tissue of oysters: sampling and handling considerations.</w:t>
      </w:r>
      <w:r>
        <w:t xml:space="preserve"> </w:t>
      </w:r>
      <w:r>
        <w:rPr>
          <w:iCs/>
          <w:i/>
        </w:rPr>
        <w:t xml:space="preserve">Food and Environmental Virology</w:t>
      </w:r>
      <w:r>
        <w:t xml:space="preserve"> </w:t>
      </w:r>
      <w:r>
        <w:t xml:space="preserve">9:140–147.</w:t>
      </w:r>
    </w:p>
    <w:p>
      <w:pPr>
        <w:numPr>
          <w:ilvl w:val="0"/>
          <w:numId w:val="1002"/>
        </w:numPr>
        <w:pStyle w:val="Compact"/>
      </w:pPr>
      <w:r>
        <w:t xml:space="preserve">Capps, K. A., Bentsen, C. N., &amp; Ramírez, A. (2020). Poverty, race, and CKD in a regional U.S. South septic-dependent community: socio-environmental determinants of risk.</w:t>
      </w:r>
      <w:r>
        <w:t xml:space="preserve"> </w:t>
      </w:r>
      <w:r>
        <w:rPr>
          <w:iCs/>
          <w:i/>
        </w:rPr>
        <w:t xml:space="preserve">Environmental Science &amp; Technology</w:t>
      </w:r>
      <w:r>
        <w:t xml:space="preserve"> </w:t>
      </w:r>
      <w:r>
        <w:t xml:space="preserve">54:14585–14588.</w:t>
      </w:r>
    </w:p>
    <w:p>
      <w:pPr>
        <w:numPr>
          <w:ilvl w:val="0"/>
          <w:numId w:val="1002"/>
        </w:numPr>
        <w:pStyle w:val="Compact"/>
      </w:pPr>
      <w:r>
        <w:t xml:space="preserve">Coen, L. D., Brumbaugh, R. D., Bushek, D., Grizzle, R., Luckenbach, M. W., Posey, M. H., Powers, S. P., &amp; Tolley, S. G. (2007). Ecosystem services related to oyster restoration.</w:t>
      </w:r>
      <w:r>
        <w:t xml:space="preserve"> </w:t>
      </w:r>
      <w:r>
        <w:rPr>
          <w:iCs/>
          <w:i/>
        </w:rPr>
        <w:t xml:space="preserve">Marine Ecology Progress Series</w:t>
      </w:r>
      <w:r>
        <w:t xml:space="preserve"> </w:t>
      </w:r>
      <w:r>
        <w:t xml:space="preserve">341:303–307.</w:t>
      </w:r>
    </w:p>
    <w:p>
      <w:pPr>
        <w:numPr>
          <w:ilvl w:val="0"/>
          <w:numId w:val="1002"/>
        </w:numPr>
        <w:pStyle w:val="Compact"/>
      </w:pPr>
      <w:r>
        <w:t xml:space="preserve">FDA / Interstate Shellfish Sanitation Conference (2019). National Shellfish Sanitation Program Guide for the Control of Molluscan Shellfish: Model Ordinance.</w:t>
      </w:r>
    </w:p>
    <w:p>
      <w:pPr>
        <w:numPr>
          <w:ilvl w:val="0"/>
          <w:numId w:val="1002"/>
        </w:numPr>
        <w:pStyle w:val="Compact"/>
      </w:pPr>
      <w:r>
        <w:t xml:space="preserve">Gobler, C. J., Boneillo, G. E., Debenham, C. J., &amp; Caron, D. A. (2005). Nutrient limitation, organic matter cycling, and plankton dynamics during an</w:t>
      </w:r>
      <w:r>
        <w:t xml:space="preserve"> </w:t>
      </w:r>
      <w:r>
        <w:rPr>
          <w:iCs/>
          <w:i/>
        </w:rPr>
        <w:t xml:space="preserve">Aureococcus anophagefferens</w:t>
      </w:r>
      <w:r>
        <w:t xml:space="preserve"> </w:t>
      </w:r>
      <w:r>
        <w:t xml:space="preserve">bloom.</w:t>
      </w:r>
      <w:r>
        <w:t xml:space="preserve"> </w:t>
      </w:r>
      <w:r>
        <w:rPr>
          <w:iCs/>
          <w:i/>
        </w:rPr>
        <w:t xml:space="preserve">Aquatic Microbial Ecology</w:t>
      </w:r>
      <w:r>
        <w:t xml:space="preserve"> </w:t>
      </w:r>
      <w:r>
        <w:t xml:space="preserve">38:171–187.</w:t>
      </w:r>
    </w:p>
    <w:p>
      <w:pPr>
        <w:numPr>
          <w:ilvl w:val="0"/>
          <w:numId w:val="1002"/>
        </w:numPr>
        <w:pStyle w:val="Compact"/>
      </w:pPr>
      <w:r>
        <w:t xml:space="preserve">Gobler, C. J., &amp; Talmage, S. C. (2013). Short- and long-term consequences of larval stage exposure to constantly and ephemerally elevated carbon dioxide for marine bivalve populations.</w:t>
      </w:r>
      <w:r>
        <w:t xml:space="preserve"> </w:t>
      </w:r>
      <w:r>
        <w:rPr>
          <w:iCs/>
          <w:i/>
        </w:rPr>
        <w:t xml:space="preserve">Biogeosciences</w:t>
      </w:r>
      <w:r>
        <w:t xml:space="preserve"> </w:t>
      </w:r>
      <w:r>
        <w:t xml:space="preserve">10:2241–2253.</w:t>
      </w:r>
    </w:p>
    <w:p>
      <w:pPr>
        <w:numPr>
          <w:ilvl w:val="0"/>
          <w:numId w:val="1002"/>
        </w:numPr>
        <w:pStyle w:val="Compact"/>
      </w:pPr>
      <w:r>
        <w:t xml:space="preserve">Havens, K., Allen, M., Camp, E., Irani, T., Lindsey, A., Morris, J. G. Jr., Kane, A., &amp; Pine, W. E. III (2013). Apalachicola Bay Oyster Situation Report. University of Florida IFAS/Florida Sea Grant TP-200.</w:t>
      </w:r>
    </w:p>
    <w:p>
      <w:pPr>
        <w:numPr>
          <w:ilvl w:val="0"/>
          <w:numId w:val="1002"/>
        </w:numPr>
        <w:pStyle w:val="Compact"/>
      </w:pPr>
      <w:r>
        <w:t xml:space="preserve">Hudson, K. (2018, 2025). Virginia Shellfish Aquaculture Situation and Outlook Report. VIMS Marine Advisory Program / Virginia Sea Grant.</w:t>
      </w:r>
    </w:p>
    <w:p>
      <w:pPr>
        <w:numPr>
          <w:ilvl w:val="0"/>
          <w:numId w:val="1002"/>
        </w:numPr>
        <w:pStyle w:val="Compact"/>
      </w:pPr>
      <w:r>
        <w:t xml:space="preserve">Iwamoto, M., Ayers, T., Mahon, B. E., &amp; Swerdlow, D. L. (2010). Epidemiology of seafood-associated infections in the United States.</w:t>
      </w:r>
      <w:r>
        <w:t xml:space="preserve"> </w:t>
      </w:r>
      <w:r>
        <w:rPr>
          <w:iCs/>
          <w:i/>
        </w:rPr>
        <w:t xml:space="preserve">Clinical Microbiology Reviews</w:t>
      </w:r>
      <w:r>
        <w:t xml:space="preserve"> </w:t>
      </w:r>
      <w:r>
        <w:t xml:space="preserve">23:399–411.</w:t>
      </w:r>
    </w:p>
    <w:p>
      <w:pPr>
        <w:numPr>
          <w:ilvl w:val="0"/>
          <w:numId w:val="1002"/>
        </w:numPr>
        <w:pStyle w:val="Compact"/>
      </w:pPr>
      <w:r>
        <w:t xml:space="preserve">Kinney, E. L., &amp; Valiela, I. (2011). Nitrogen loading to Great South Bay: land use, sources, retention, and transport from land to bay.</w:t>
      </w:r>
      <w:r>
        <w:t xml:space="preserve"> </w:t>
      </w:r>
      <w:r>
        <w:rPr>
          <w:iCs/>
          <w:i/>
        </w:rPr>
        <w:t xml:space="preserve">Journal of Coastal Research</w:t>
      </w:r>
      <w:r>
        <w:t xml:space="preserve"> </w:t>
      </w:r>
      <w:r>
        <w:t xml:space="preserve">27:672–686.</w:t>
      </w:r>
    </w:p>
    <w:p>
      <w:pPr>
        <w:numPr>
          <w:ilvl w:val="0"/>
          <w:numId w:val="1002"/>
        </w:numPr>
        <w:pStyle w:val="Compact"/>
      </w:pPr>
      <w:r>
        <w:t xml:space="preserve">Lapointe, B. E., Herren, L. W., Debortoli, D. D., &amp; Vogel, M. A. (2015). Evidence of sewage-driven eutrophication and harmful algal blooms in Florida’s Indian River Lagoon.</w:t>
      </w:r>
      <w:r>
        <w:t xml:space="preserve"> </w:t>
      </w:r>
      <w:r>
        <w:rPr>
          <w:iCs/>
          <w:i/>
        </w:rPr>
        <w:t xml:space="preserve">Harmful Algae</w:t>
      </w:r>
      <w:r>
        <w:t xml:space="preserve"> </w:t>
      </w:r>
      <w:r>
        <w:t xml:space="preserve">43:82–102.</w:t>
      </w:r>
    </w:p>
    <w:p>
      <w:pPr>
        <w:numPr>
          <w:ilvl w:val="0"/>
          <w:numId w:val="1002"/>
        </w:numPr>
        <w:pStyle w:val="Compact"/>
      </w:pPr>
      <w:r>
        <w:t xml:space="preserve">Lapointe, B. E., Herren, L. W., &amp; Paule, A. L. (2017). Septic systems contribute to nutrient pollution and harmful algal blooms in the St. Lucie Estuary, Southeast Florida, USA.</w:t>
      </w:r>
      <w:r>
        <w:t xml:space="preserve"> </w:t>
      </w:r>
      <w:r>
        <w:rPr>
          <w:iCs/>
          <w:i/>
        </w:rPr>
        <w:t xml:space="preserve">Harmful Algae</w:t>
      </w:r>
      <w:r>
        <w:t xml:space="preserve"> </w:t>
      </w:r>
      <w:r>
        <w:t xml:space="preserve">70:1–22.</w:t>
      </w:r>
    </w:p>
    <w:p>
      <w:pPr>
        <w:numPr>
          <w:ilvl w:val="0"/>
          <w:numId w:val="1002"/>
        </w:numPr>
        <w:pStyle w:val="Compact"/>
      </w:pPr>
      <w:r>
        <w:t xml:space="preserve">Lapointe, B. E., Herren, L. W., Brewton, R. A., &amp; Alderman, P. K. (2020). Nutrient over-enrichment and light limitation of seagrass communities in the Indian River Lagoon.</w:t>
      </w:r>
      <w:r>
        <w:t xml:space="preserve"> </w:t>
      </w:r>
      <w:r>
        <w:rPr>
          <w:iCs/>
          <w:i/>
        </w:rPr>
        <w:t xml:space="preserve">Science of the Total Environment</w:t>
      </w:r>
      <w:r>
        <w:t xml:space="preserve"> </w:t>
      </w:r>
      <w:r>
        <w:t xml:space="preserve">699:134068.</w:t>
      </w:r>
    </w:p>
    <w:p>
      <w:pPr>
        <w:numPr>
          <w:ilvl w:val="0"/>
          <w:numId w:val="1002"/>
        </w:numPr>
        <w:pStyle w:val="Compact"/>
      </w:pPr>
      <w:r>
        <w:t xml:space="preserve">Lapointe, B. E., Brewton, R. A., Herren, L. W., Wang, M., Hu, C., McGillicuddy, D. J. Jr., et al. (2023). Nutrient source signatures in the Indian River Lagoon and St. Lucie Estuary reveal the relative importance of septic vs. fertilizer N.</w:t>
      </w:r>
      <w:r>
        <w:t xml:space="preserve"> </w:t>
      </w:r>
      <w:r>
        <w:rPr>
          <w:iCs/>
          <w:i/>
        </w:rPr>
        <w:t xml:space="preserve">Marine Pollution Bulletin</w:t>
      </w:r>
      <w:r>
        <w:t xml:space="preserve">.</w:t>
      </w:r>
    </w:p>
    <w:p>
      <w:pPr>
        <w:numPr>
          <w:ilvl w:val="0"/>
          <w:numId w:val="1002"/>
        </w:numPr>
        <w:pStyle w:val="Compact"/>
      </w:pPr>
      <w:r>
        <w:t xml:space="preserve">Lipp, E. K., Farrah, S. A., &amp; Rose, J. B. (2001). Assessment and impact of microbial fecal pollution and human enteric pathogens in a coastal community.</w:t>
      </w:r>
      <w:r>
        <w:t xml:space="preserve"> </w:t>
      </w:r>
      <w:r>
        <w:rPr>
          <w:iCs/>
          <w:i/>
        </w:rPr>
        <w:t xml:space="preserve">Marine Pollution Bulletin</w:t>
      </w:r>
      <w:r>
        <w:t xml:space="preserve"> </w:t>
      </w:r>
      <w:r>
        <w:t xml:space="preserve">42:286–293.</w:t>
      </w:r>
    </w:p>
    <w:p>
      <w:pPr>
        <w:numPr>
          <w:ilvl w:val="0"/>
          <w:numId w:val="1002"/>
        </w:numPr>
        <w:pStyle w:val="Compact"/>
      </w:pPr>
      <w:r>
        <w:t xml:space="preserve">Lowther, J. A., Gustar, N. E., Powell, A. L., Hartnell, R. E., &amp; Lees, D. N. (2021).</w:t>
      </w:r>
      <w:r>
        <w:t xml:space="preserve"> </w:t>
      </w:r>
      <w:r>
        <w:rPr>
          <w:iCs/>
          <w:i/>
        </w:rPr>
        <w:t xml:space="preserve">E. coli</w:t>
      </w:r>
      <w:r>
        <w:t xml:space="preserve"> </w:t>
      </w:r>
      <w:r>
        <w:t xml:space="preserve">is a poor end-product criterion for assessing the general microbial risk posed from consuming norovirus-contaminated shellfish.</w:t>
      </w:r>
      <w:r>
        <w:t xml:space="preserve"> </w:t>
      </w:r>
      <w:r>
        <w:rPr>
          <w:iCs/>
          <w:i/>
        </w:rPr>
        <w:t xml:space="preserve">Frontiers in Microbiology</w:t>
      </w:r>
      <w:r>
        <w:t xml:space="preserve"> </w:t>
      </w:r>
      <w:r>
        <w:t xml:space="preserve">12:608888.</w:t>
      </w:r>
    </w:p>
    <w:p>
      <w:pPr>
        <w:numPr>
          <w:ilvl w:val="0"/>
          <w:numId w:val="1002"/>
        </w:numPr>
        <w:pStyle w:val="Compact"/>
      </w:pPr>
      <w:r>
        <w:t xml:space="preserve">Mitchell, M., Isdell, R. E., Baldwin, J., Bilkovic, D. M., Chambers, R. M., Herman, J., Hershner, C., Pfirrmann, B. W., &amp; Walters, K. (2021). Impact assessment and management challenges of key rural human health infrastructure under sea level rise.</w:t>
      </w:r>
      <w:r>
        <w:t xml:space="preserve"> </w:t>
      </w:r>
      <w:r>
        <w:rPr>
          <w:iCs/>
          <w:i/>
        </w:rPr>
        <w:t xml:space="preserve">Frontiers in Marine Science</w:t>
      </w:r>
      <w:r>
        <w:t xml:space="preserve"> </w:t>
      </w:r>
      <w:r>
        <w:t xml:space="preserve">8:631757.</w:t>
      </w:r>
    </w:p>
    <w:p>
      <w:pPr>
        <w:numPr>
          <w:ilvl w:val="0"/>
          <w:numId w:val="1002"/>
        </w:numPr>
        <w:pStyle w:val="Compact"/>
      </w:pPr>
      <w:r>
        <w:t xml:space="preserve">Nelson, N. G., Coffey, R., Muñoz, D. F., Moftakhari, H., Moradkhani, H., &amp; Kim, S. H. (2022). ShellCast: a modelling framework for forecasting shellfish harvest closures.</w:t>
      </w:r>
      <w:r>
        <w:t xml:space="preserve"> </w:t>
      </w:r>
      <w:r>
        <w:rPr>
          <w:iCs/>
          <w:i/>
        </w:rPr>
        <w:t xml:space="preserve">Environmental Modelling &amp; Software</w:t>
      </w:r>
      <w:r>
        <w:t xml:space="preserve">.</w:t>
      </w:r>
    </w:p>
    <w:p>
      <w:pPr>
        <w:numPr>
          <w:ilvl w:val="0"/>
          <w:numId w:val="1002"/>
        </w:numPr>
        <w:pStyle w:val="Compac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23:51–61.</w:t>
      </w:r>
    </w:p>
    <w:p>
      <w:pPr>
        <w:numPr>
          <w:ilvl w:val="0"/>
          <w:numId w:val="1002"/>
        </w:numPr>
        <w:pStyle w:val="Compact"/>
      </w:pPr>
      <w:r>
        <w:t xml:space="preserve">Phlips, E. J., Badylak, S., Lasi, M. A., Chamberlain, R., Green, W. C., Hall, L. M., Hart, J. A., Lockwood, J. C., Miller, J. D., Morris, L. J., &amp; Steward, J. S. (2015). From red tides to green and brown tides: bloom dynamics in a restricted subtropical lagoon.</w:t>
      </w:r>
      <w:r>
        <w:t xml:space="preserve"> </w:t>
      </w:r>
      <w:r>
        <w:rPr>
          <w:iCs/>
          <w:i/>
        </w:rPr>
        <w:t xml:space="preserve">Estuaries and Coasts</w:t>
      </w:r>
      <w:r>
        <w:t xml:space="preserve"> </w:t>
      </w:r>
      <w:r>
        <w:t xml:space="preserve">38:886–904.</w:t>
      </w:r>
    </w:p>
    <w:p>
      <w:pPr>
        <w:numPr>
          <w:ilvl w:val="0"/>
          <w:numId w:val="1002"/>
        </w:numPr>
        <w:pStyle w:val="Compact"/>
      </w:pPr>
      <w:r>
        <w:t xml:space="preserve">Rothschild, B. J., Ault, J. S., Goulletquer, P., &amp; Héral, M. (1994). Decline of the Chesapeake Bay oyster population: a century of habitat destruction and overfishing.</w:t>
      </w:r>
      <w:r>
        <w:t xml:space="preserve"> </w:t>
      </w:r>
      <w:r>
        <w:rPr>
          <w:iCs/>
          <w:i/>
        </w:rPr>
        <w:t xml:space="preserve">Marine Ecology Progress Series</w:t>
      </w:r>
      <w:r>
        <w:t xml:space="preserve"> </w:t>
      </w:r>
      <w:r>
        <w:t xml:space="preserve">111:29–39.</w:t>
      </w:r>
    </w:p>
    <w:p>
      <w:pPr>
        <w:numPr>
          <w:ilvl w:val="0"/>
          <w:numId w:val="1002"/>
        </w:numPr>
        <w:pStyle w:val="Compact"/>
      </w:pPr>
      <w:r>
        <w:t xml:space="preserve">US FDA (2019). National Shellfish Sanitation Program Guide for the Control of Molluscan Shellfish. Washington DC.</w:t>
      </w:r>
    </w:p>
    <w:p>
      <w:pPr>
        <w:numPr>
          <w:ilvl w:val="0"/>
          <w:numId w:val="1002"/>
        </w:numPr>
        <w:pStyle w:val="Compact"/>
      </w:pPr>
      <w:r>
        <w:t xml:space="preserve">Valiela, I., Collins, G., Kremer, J., Lajtha, K., Geist, M., Seely, B., Brawley, J., &amp; Sham, C. H. (1997). Nitrogen loading from coastal watersheds to receiving estuaries: new method and application.</w:t>
      </w:r>
      <w:r>
        <w:t xml:space="preserve"> </w:t>
      </w:r>
      <w:r>
        <w:rPr>
          <w:iCs/>
          <w:i/>
        </w:rPr>
        <w:t xml:space="preserve">Ecological Applications</w:t>
      </w:r>
      <w:r>
        <w:t xml:space="preserve"> </w:t>
      </w:r>
      <w:r>
        <w:t xml:space="preserve">7:358–380.</w:t>
      </w:r>
    </w:p>
    <w:p>
      <w:pPr>
        <w:numPr>
          <w:ilvl w:val="0"/>
          <w:numId w:val="1002"/>
        </w:numPr>
        <w:pStyle w:val="Compact"/>
      </w:pPr>
      <w:r>
        <w:t xml:space="preserve">Virginia Department of Health, Division of Shellfish Safety. Classification of Shellfish Growing Areas; Conditional Shellfish Harvesting Area Status; Accomack County and Northampton County Shellfish Closure and Shoreline Survey Documents. https://www.vdh.virginia.gov/environmental-health/environmental-health-services/shellfish-safety/</w:t>
      </w:r>
    </w:p>
    <w:p>
      <w:pPr>
        <w:numPr>
          <w:ilvl w:val="0"/>
          <w:numId w:val="1002"/>
        </w:numPr>
        <w:pStyle w:val="Compact"/>
      </w:pPr>
      <w:r>
        <w:t xml:space="preserve">Virginia General Assembly (2021). Wastewater Infrastructure Policy Working Group Report, RD883.</w:t>
      </w:r>
    </w:p>
    <w:p>
      <w:pPr>
        <w:numPr>
          <w:ilvl w:val="0"/>
          <w:numId w:val="1002"/>
        </w:numPr>
        <w:pStyle w:val="Compact"/>
      </w:pPr>
      <w:r>
        <w:t xml:space="preserve">VMRC — Virginia Marine Resources Commission. Commercial Landings Statistics, Hard Clam / Eastern Oyster / Blue Crab, Accomack and Northampton Counties.</w:t>
      </w:r>
    </w:p>
    <w:p>
      <w:pPr>
        <w:numPr>
          <w:ilvl w:val="0"/>
          <w:numId w:val="1002"/>
        </w:numPr>
        <w:pStyle w:val="Compact"/>
      </w:pPr>
      <w:r>
        <w:t xml:space="preserve">Waldbusser, G. G., Hales, B., Langdon, C. J., Haley, B. A., Schrader, P., Brunner, E. L., Gray, M. W., Miller, C. A., &amp; Gimenez, I. (2015). Saturation-state sensitivity of marine bivalve larvae to ocean acidification.</w:t>
      </w:r>
      <w:r>
        <w:t xml:space="preserve"> </w:t>
      </w:r>
      <w:r>
        <w:rPr>
          <w:iCs/>
          <w:i/>
        </w:rPr>
        <w:t xml:space="preserve">Nature Climate Change</w:t>
      </w:r>
      <w:r>
        <w:t xml:space="preserve"> </w:t>
      </w:r>
      <w:r>
        <w:t xml:space="preserve">5:273–280.</w:t>
      </w:r>
    </w:p>
    <w:p>
      <w:pPr>
        <w:numPr>
          <w:ilvl w:val="0"/>
          <w:numId w:val="1002"/>
        </w:numPr>
        <w:pStyle w:val="Compact"/>
      </w:pPr>
      <w:r>
        <w:t xml:space="preserve">Webby, R. J., Carville, K. S., Kirk, M. D., Greening, G., Ratcliff, R. M., Crerar, S. K., Dempsey, K., Sarna, M., Stafford, R., Patel, M., &amp; Hall, G. (2007). Internationally distributed frozen oyster meat causing multiple outbreaks of norovirus infection in Australia.</w:t>
      </w:r>
      <w:r>
        <w:t xml:space="preserve"> </w:t>
      </w:r>
      <w:r>
        <w:rPr>
          <w:iCs/>
          <w:i/>
        </w:rPr>
        <w:t xml:space="preserve">Clinical Infectious Diseases</w:t>
      </w:r>
      <w:r>
        <w:t xml:space="preserve"> </w:t>
      </w:r>
      <w:r>
        <w:t xml:space="preserve">44:1026–1031.</w:t>
      </w:r>
    </w:p>
    <w:p>
      <w:pPr>
        <w:numPr>
          <w:ilvl w:val="0"/>
          <w:numId w:val="1002"/>
        </w:numPr>
        <w:pStyle w:val="Compact"/>
      </w:pPr>
      <w:r>
        <w:t xml:space="preserve">Zimmer-Faust, A. G., Thulsiraj, V., Lamparello, C., Williams, M., &amp; Jay, J. A. (2018). Precipitation thresholds for fecal bacterial indicators in the Chesapeake Bay.</w:t>
      </w:r>
      <w:r>
        <w:t xml:space="preserve"> </w:t>
      </w:r>
      <w:r>
        <w:rPr>
          <w:iCs/>
          <w:i/>
        </w:rPr>
        <w:t xml:space="preserve">Water Research</w:t>
      </w:r>
      <w:r>
        <w:t xml:space="preserve"> </w:t>
      </w:r>
      <w:r>
        <w:t xml:space="preserve">139:252–262.</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2026-06-25T18:18:33Z</dcterms:created>
  <dcterms:modified xsi:type="dcterms:W3CDTF">2026-06-25T18:18:33Z</dcterms:modified>
</cp:coreProperties>
</file>

<file path=docProps/custom.xml><?xml version="1.0" encoding="utf-8"?>
<Properties xmlns="http://schemas.openxmlformats.org/officeDocument/2006/custom-properties" xmlns:vt="http://schemas.openxmlformats.org/officeDocument/2006/docPropsVTypes"/>
</file>