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7b0e1be6fb12670ffabca0f57124b91e73466"/>
    <w:p>
      <w:pPr>
        <w:pStyle w:val="Heading1"/>
      </w:pPr>
      <w:r>
        <w:t xml:space="preserve">Ecological Effects of Failing Septic Systems on Virginia’s Eastern Shore: A Scholarly Synthesis</w:t>
      </w:r>
    </w:p>
    <w:p>
      <w:pPr>
        <w:pStyle w:val="FirstParagraph"/>
      </w:pPr>
      <w:r>
        <w:rPr>
          <w:iCs/>
          <w:i/>
        </w:rPr>
        <w:t xml:space="preserve">Master synthesis document — EI Climate Collaborative ESVA Septic Project (2026–2028).</w:t>
      </w:r>
      <w:r>
        <w:t xml:space="preserve"> </w:t>
      </w:r>
      <w:r>
        <w:rPr>
          <w:iCs/>
          <w:i/>
        </w:rPr>
        <w:t xml:space="preserve">Author-year citations inline; full reference list in</w:t>
      </w:r>
      <w:r>
        <w:rPr>
          <w:iCs/>
          <w:i/>
        </w:rPr>
        <w:t xml:space="preserve"> </w:t>
      </w:r>
      <w:r>
        <w:rPr>
          <w:rStyle w:val="VerbatimChar"/>
          <w:iCs/>
          <w:i/>
        </w:rPr>
        <w:t xml:space="preserve">ECOLOGICAL_BIBLIOGRAPHY.md</w:t>
      </w:r>
      <w:r>
        <w:rPr>
          <w:iCs/>
          <w:i/>
        </w:rPr>
        <w:t xml:space="preserve">.</w:t>
      </w:r>
      <w:r>
        <w:t xml:space="preserve"> </w:t>
      </w:r>
      <w:r>
        <w:rPr>
          <w:iCs/>
          <w:i/>
        </w:rPr>
        <w:t xml:space="preserve">Detailed pathway-by-pathway evidence in the</w:t>
      </w:r>
      <w:r>
        <w:rPr>
          <w:iCs/>
          <w:i/>
        </w:rPr>
        <w:t xml:space="preserve"> </w:t>
      </w:r>
      <w:r>
        <w:rPr>
          <w:rStyle w:val="VerbatimChar"/>
          <w:iCs/>
          <w:i/>
        </w:rPr>
        <w:t xml:space="preserve">research/pathway_*.md</w:t>
      </w:r>
      <w:r>
        <w:rPr>
          <w:iCs/>
          <w:i/>
        </w:rPr>
        <w:t xml:space="preserve"> </w:t>
      </w:r>
      <w:r>
        <w:rPr>
          <w:iCs/>
          <w:i/>
        </w:rPr>
        <w:t xml:space="preserve">files.</w:t>
      </w:r>
    </w:p>
    <w:bookmarkStart w:id="20" w:name="how-to-use-this-document"/>
    <w:p>
      <w:pPr>
        <w:pStyle w:val="Heading2"/>
      </w:pPr>
      <w:r>
        <w:t xml:space="preserve">How to use this document</w:t>
      </w:r>
    </w:p>
    <w:p>
      <w:pPr>
        <w:pStyle w:val="FirstParagraph"/>
      </w:pPr>
      <w:r>
        <w:t xml:space="preserve">This master synthesis is a modular overview. The authoritative technical content lives in the six pathway files in</w:t>
      </w:r>
      <w:r>
        <w:t xml:space="preserve"> </w:t>
      </w:r>
      <w:r>
        <w:rPr>
          <w:rStyle w:val="VerbatimChar"/>
        </w:rPr>
        <w:t xml:space="preserve">research/</w:t>
      </w:r>
      <w:r>
        <w:t xml:space="preserve">, each of which contains mechanism, ESVA-specific evidence, analogue-region evidence, strength-of-evidence labels, data gaps, and a full reference list for that pathway. This document does three things the pathway files do not:</w:t>
      </w:r>
    </w:p>
    <w:p>
      <w:pPr>
        <w:numPr>
          <w:ilvl w:val="0"/>
          <w:numId w:val="1001"/>
        </w:numPr>
        <w:pStyle w:val="Compact"/>
      </w:pPr>
      <w:r>
        <w:t xml:space="preserve">It places the six pathways into a single framework so a reader can see the full ecological footprint of a failing septic system on ESVA without reading ~27,000 words of pathway detail.</w:t>
      </w:r>
    </w:p>
    <w:p>
      <w:pPr>
        <w:numPr>
          <w:ilvl w:val="0"/>
          <w:numId w:val="1001"/>
        </w:numPr>
        <w:pStyle w:val="Compact"/>
      </w:pPr>
      <w:r>
        <w:t xml:space="preserve">It highlights cross-cutting themes — findings that emerged independently in multiple pathways and are therefore more robust than any single line of evidence.</w:t>
      </w:r>
    </w:p>
    <w:p>
      <w:pPr>
        <w:numPr>
          <w:ilvl w:val="0"/>
          <w:numId w:val="1001"/>
        </w:numPr>
        <w:pStyle w:val="Compact"/>
      </w:pPr>
      <w:r>
        <w:t xml:space="preserve">It provides an integrated strength-of-evidence summary and a consolidated list of the most important data gaps, framed so they can directly feed Expansion Stage grant proposals and ESCC capstone projects.</w:t>
      </w:r>
    </w:p>
    <w:p>
      <w:pPr>
        <w:pStyle w:val="FirstParagraph"/>
      </w:pPr>
      <w:r>
        <w:t xml:space="preserve">Every claim cited here is fully documented and sourced in the relevant pathway file. The deduplicated reference list for all six pathways lives in</w:t>
      </w:r>
      <w:r>
        <w:t xml:space="preserve"> </w:t>
      </w:r>
      <w:r>
        <w:rPr>
          <w:rStyle w:val="VerbatimChar"/>
        </w:rPr>
        <w:t xml:space="preserve">ECOLOGICAL_BIBLIOGRAPHY.md</w:t>
      </w:r>
      <w:r>
        <w:t xml:space="preserve">. Health-focused findings (cancer, thyroid, pathogens in human drinking water) are covered separately on the</w:t>
      </w:r>
      <w:r>
        <w:t xml:space="preserve"> </w:t>
      </w:r>
      <w:r>
        <w:rPr>
          <w:rStyle w:val="VerbatimChar"/>
        </w:rPr>
        <w:t xml:space="preserve">claude/summarize-project-files-9UwoB</w:t>
      </w:r>
      <w:r>
        <w:t xml:space="preserve"> </w:t>
      </w:r>
      <w:r>
        <w:t xml:space="preserve">branch and are deliberately excluded here; the scope of this synthesis is strictly ecological.</w:t>
      </w:r>
    </w:p>
    <w:bookmarkEnd w:id="20"/>
    <w:bookmarkStart w:id="21" w:name="context-and-framing"/>
    <w:p>
      <w:pPr>
        <w:pStyle w:val="Heading2"/>
      </w:pPr>
      <w:r>
        <w:t xml:space="preserve">1. Context and framing</w:t>
      </w:r>
    </w:p>
    <w:p>
      <w:pPr>
        <w:pStyle w:val="FirstParagraph"/>
      </w:pPr>
      <w:r>
        <w:t xml:space="preserve">Virginia’s Eastern Shore (ESVA) is a narrow, low-relief peninsula of two counties — Accomack and Northampton — separating the Chesapeake Bay from the Atlantic Ocean. Approximately 18,000 households rely on decentralized septic systems for wastewater disposal. The peninsula is underlain by the Columbia surficial aquifer, a shallow, sandy, unconfined groundwater body designated a sole-source aquifer by the U.S. Environmental Protection Agency in 1997 under §1424(e) of the Safe Drinking Water Act (EPA 1997). Groundwater flow paths across ESVA are short and nearly always terminate at a tidal shoreline — either a western-Shore creek draining to the Chesapeake Bay or an eastern-Shore creek and marsh draining to the Atlantic barrier-island lagoon system. The peninsula also experiences some of the fastest rates of relative sea-level rise on the US East Coast, with water tables rising to meet drainfields that were installed under drier historical conditions (Mitchell et al. 2021; Hesamfar et al. in review; Cox, Loomis, and Amador 2019; O’Driscoll et al. 2024).</w:t>
      </w:r>
    </w:p>
    <w:p>
      <w:pPr>
        <w:pStyle w:val="BodyText"/>
      </w:pPr>
      <w:r>
        <w:t xml:space="preserve">These four features — dense decentralized wastewater, shallow sole-source aquifer, short groundwater path to tidal waters, and rising water table — together create an unusually complete pathway from household septic system to coastal ecosystem. A failing drainfield on ESVA is rarely more than a few hundred meters and a few years of groundwater travel time from a tidal creek. This physical compression is what makes ESVA a consequential and tractable setting for studying septic-ecosystem coupling.</w:t>
      </w:r>
    </w:p>
    <w:p>
      <w:pPr>
        <w:pStyle w:val="BodyText"/>
      </w:pPr>
      <w:r>
        <w:t xml:space="preserve">The synthesis is organized around six distinct ecological pathways, chosen to cover the proximate subsurface pathway (1), the tidal creek and marsh pathway that dominates ESVA hydrography (2), the two hydrologically distinct receiving-water systems — Chesapeake Bay mainstem (3a) and the seaside barrier-island lagoon complex (3b) — that together drain ESVA in opposite directions, the shellfish grounds that tie ecology to economy (4), iconic and sensitive species for which the public is most likely to care about outcomes (5), and the terrestrial drainfield footprint that is often elided in septic-ecology literature (6). Each pathway has its own dominant mechanism, its own evidence base, and its own set of data gaps; several cross-cut, and those cross-cuts are drawn out in Section 3.</w:t>
      </w:r>
    </w:p>
    <w:p>
      <w:pPr>
        <w:pStyle w:val="BodyText"/>
      </w:pPr>
      <w:r>
        <w:t xml:space="preserve">The overriding message is that the ecological consequences of failing septic systems on ESVA are</w:t>
      </w:r>
      <w:r>
        <w:t xml:space="preserve"> </w:t>
      </w:r>
      <w:r>
        <w:rPr>
          <w:bCs/>
          <w:b/>
        </w:rPr>
        <w:t xml:space="preserve">mechanistically well understood and ecologically consequential</w:t>
      </w:r>
      <w:r>
        <w:t xml:space="preserve">, but</w:t>
      </w:r>
      <w:r>
        <w:t xml:space="preserve"> </w:t>
      </w:r>
      <w:r>
        <w:rPr>
          <w:bCs/>
          <w:b/>
        </w:rPr>
        <w:t xml:space="preserve">quantitative ESVA-specific attribution studies are largely absent</w:t>
      </w:r>
      <w:r>
        <w:t xml:space="preserve">. The mechanism–to–attribution gap is the single most important feature of the evidence base and drives most of the data-gap agenda in Section 5.</w:t>
      </w:r>
    </w:p>
    <w:bookmarkEnd w:id="21"/>
    <w:bookmarkStart w:id="29" w:name="pathway-summaries"/>
    <w:p>
      <w:pPr>
        <w:pStyle w:val="Heading2"/>
      </w:pPr>
      <w:r>
        <w:t xml:space="preserve">2. Pathway summaries</w:t>
      </w:r>
    </w:p>
    <w:bookmarkStart w:id="22" w:name="Xb644b2723dded56267f5bd6b96f6b1cfac08c1a"/>
    <w:p>
      <w:pPr>
        <w:pStyle w:val="Heading3"/>
      </w:pPr>
      <w:r>
        <w:t xml:space="preserve">2.1 Pathway 1 — Groundwater and the sole-source Columbia aquifer</w:t>
      </w:r>
    </w:p>
    <w:p>
      <w:pPr>
        <w:pStyle w:val="FirstParagraph"/>
      </w:pPr>
      <w:r>
        <w:rPr>
          <w:bCs/>
          <w:b/>
        </w:rPr>
        <w:t xml:space="preserve">See</w:t>
      </w:r>
      <w:r>
        <w:rPr>
          <w:bCs/>
          <w:b/>
        </w:rPr>
        <w:t xml:space="preserve"> </w:t>
      </w:r>
      <w:r>
        <w:rPr>
          <w:rStyle w:val="VerbatimChar"/>
          <w:bCs/>
          <w:b/>
        </w:rPr>
        <w:t xml:space="preserve">research/pathway_1_groundwater.md</w:t>
      </w:r>
      <w:r>
        <w:rPr>
          <w:bCs/>
          <w:b/>
        </w:rPr>
        <w:t xml:space="preserve"> </w:t>
      </w:r>
      <w:r>
        <w:rPr>
          <w:bCs/>
          <w:b/>
        </w:rPr>
        <w:t xml:space="preserve">for the full treatment.</w:t>
      </w:r>
    </w:p>
    <w:p>
      <w:pPr>
        <w:pStyle w:val="BodyText"/>
      </w:pPr>
      <w:r>
        <w:t xml:space="preserve">The Columbia aquifer is both the habitat and the delivery vector for every septic-derived contaminant that eventually reaches ESVA’s tidal receiving waters. Nitrate is mobile, essentially conservative in the oxic sandy aquifer, and reaches tidal discharge zones with limited denitrification — which is confined to thin riparian and tidal-fringe bands where groundwater encounters reducing, carbon-rich sediments (Speiran 1996, 2010; Böhlke 2002). Phosphorus is conventionally assumed to be soil-retained, but long-operating drainfields in sandy, low-iron coastal plain soils saturate and break through over decadal timescales (Robertson, Schiff, and Ptacek 1998; Lusk et al. 2017); ESVA’s Bojac, Munden, and related soils are plausibly in this regime. Pharmaceuticals, PFAS, and artificial sweeteners pass through conventional drainfield treatment with limited attenuation and have been tracked kilometers downgradient at analogue sites like Cape Cod (Barber et al. 2015; Schaider, Ackerman, and Rudel 2014; Swartz et al. 2006), though direct ESVA measurements are absent.</w:t>
      </w:r>
    </w:p>
    <w:p>
      <w:pPr>
        <w:pStyle w:val="BodyText"/>
      </w:pPr>
      <w:r>
        <w:t xml:space="preserve">The strongest novel ESVA-specific finding in this pathway is structural rather than analytical: sea-level rise is progressively</w:t>
      </w:r>
      <w:r>
        <w:t xml:space="preserve"> </w:t>
      </w:r>
      <w:r>
        <w:t xml:space="preserve">“</w:t>
      </w:r>
      <w:r>
        <w:t xml:space="preserve">de-rating</w:t>
      </w:r>
      <w:r>
        <w:t xml:space="preserve">”</w:t>
      </w:r>
      <w:r>
        <w:t xml:space="preserve"> </w:t>
      </w:r>
      <w:r>
        <w:t xml:space="preserve">existing drainfields by compressing the unsaturated zone between the infiltrative surface and the water table, converting nominally compliant systems into functionally failing ones without any physical change to the infrastructure (Mitchell et al. 2021; Hesamfar et al. in review, corroborated by Cox et al. 2019 and O’Driscoll et al. 2024). This mechanism is operating now and is projected to accelerate under mid-century sea-level scenarios, meaning failure is not an edge case but a design trajectory for the ESVA septic population as a whole. The pathway’s biggest data gap is the absence of any published ESVA dataset pairing upgradient and downgradient groundwater monitoring around septic clusters with a full analyte suite (N, P, PPCPs, PFAS, microbial community, ARGs). Current ESVA work is exposure modeling, not direct effects measurement.</w:t>
      </w:r>
    </w:p>
    <w:bookmarkEnd w:id="22"/>
    <w:bookmarkStart w:id="23" w:name="Xd90501ec8871bb6b085b364eb533d797350bd60"/>
    <w:p>
      <w:pPr>
        <w:pStyle w:val="Heading3"/>
      </w:pPr>
      <w:r>
        <w:t xml:space="preserve">2.2 Pathway 2 — Tidal creeks and salt marsh nutrient dynamics</w:t>
      </w:r>
    </w:p>
    <w:p>
      <w:pPr>
        <w:pStyle w:val="FirstParagraph"/>
      </w:pPr>
      <w:r>
        <w:rPr>
          <w:bCs/>
          <w:b/>
        </w:rPr>
        <w:t xml:space="preserve">See</w:t>
      </w:r>
      <w:r>
        <w:rPr>
          <w:bCs/>
          <w:b/>
        </w:rPr>
        <w:t xml:space="preserve"> </w:t>
      </w:r>
      <w:r>
        <w:rPr>
          <w:rStyle w:val="VerbatimChar"/>
          <w:bCs/>
          <w:b/>
        </w:rPr>
        <w:t xml:space="preserve">research/pathway_2_tidal_creeks_marshes.md</w:t>
      </w:r>
      <w:r>
        <w:rPr>
          <w:bCs/>
          <w:b/>
        </w:rPr>
        <w:t xml:space="preserve"> </w:t>
      </w:r>
      <w:r>
        <w:rPr>
          <w:bCs/>
          <w:b/>
        </w:rPr>
        <w:t xml:space="preserve">for the full treatment.</w:t>
      </w:r>
    </w:p>
    <w:p>
      <w:pPr>
        <w:pStyle w:val="BodyText"/>
      </w:pPr>
      <w:r>
        <w:t xml:space="preserve">Tidal creeks and their fringing salt marshes are the transitional zone where septic-derived groundwater first encounters the open estuary, and ESVA’s hydrography places nearly every drainfield in the contributing area of at least one tidal creek. Accomack County’s ~30 tidal creeks are estimated to derive about 80 percent of their baseflow from groundwater discharge rather than overland flow (A-NPDC 2022; Richardson 1994), meaning the coupling between subsurface septic leakage and tidal creek water quality is unusually direct. Speiran (1996, 2010) documented at ESVA-specific scale that nitrate travels long flow paths with limited attenuation except in thin riparian denitrifying zones, and that forest buffers cannot be assumed to intercept deep groundwater carrying high source concentrations.</w:t>
      </w:r>
    </w:p>
    <w:p>
      <w:pPr>
        <w:pStyle w:val="BodyText"/>
      </w:pPr>
      <w:r>
        <w:t xml:space="preserve">Once in the creek, dissolved inorganic nitrogen fuels macroalgal blooms — the non-native</w:t>
      </w:r>
      <w:r>
        <w:t xml:space="preserve"> </w:t>
      </w:r>
      <w:r>
        <w:rPr>
          <w:iCs/>
          <w:i/>
        </w:rPr>
        <w:t xml:space="preserve">Gracilaria vermiculophylla</w:t>
      </w:r>
      <w:r>
        <w:t xml:space="preserve"> </w:t>
      </w:r>
      <w:r>
        <w:t xml:space="preserve">dominates macroalgal biomass in Hog Island Bay at 74–90 percent and cycles N between water column and porewater in ways that sustain bloom biomass long after external inputs decline (Thomsen and McGlathery 2007; Tyler, McGlathery, and Anderson 2001, 2003). The VCR LTER has been measuring these dynamics at ESVA scale for more than three decades, providing one of the richest long-term records of coastal lagoon nutrient–algal coupling in North America.</w:t>
      </w:r>
    </w:p>
    <w:p>
      <w:pPr>
        <w:pStyle w:val="BodyText"/>
      </w:pPr>
      <w:r>
        <w:t xml:space="preserve">The pathway’s most consequential ecological finding comes from an analogue system: the nine-year TIDE whole-ecosystem nutrient enrichment experiment at Plum Island, Massachusetts, demonstrated that chronic nitrogen loading can drive outright salt marsh bank collapse through altered</w:t>
      </w:r>
      <w:r>
        <w:t xml:space="preserve"> </w:t>
      </w:r>
      <w:r>
        <w:rPr>
          <w:iCs/>
          <w:i/>
        </w:rPr>
        <w:t xml:space="preserve">Spartina</w:t>
      </w:r>
      <w:r>
        <w:t xml:space="preserve"> </w:t>
      </w:r>
      <w:r>
        <w:t xml:space="preserve">biomass allocation and accelerated microbial decomposition of peat, converting vegetated marsh to unvegetated mudflat (Deegan et al. 2012). The TIDE experiment is mechanistically transferable to ESVA marshes (comparable tidal regime, vegetation, organic peat), but it used ~10× ambient N loading; whether ESVA current loading is already producing measurable bank retreat attributable to nitrogen rather than to sea-level rise alone is PLAUSIBLE but not yet partitioned. The biggest gap is source attribution: no published work partitions ESVA creek N loads between septic, agricultural, and atmospheric sources — a fundamental piece of information that stable-isotope or co-tracer studies could produce on a single ESCC-capstone budget.</w:t>
      </w:r>
    </w:p>
    <w:bookmarkEnd w:id="23"/>
    <w:bookmarkStart w:id="24" w:name="Xaa41680140248a8ebf7d3ef14695761d49d36a9"/>
    <w:p>
      <w:pPr>
        <w:pStyle w:val="Heading3"/>
      </w:pPr>
      <w:r>
        <w:t xml:space="preserve">2.3 Pathway 3a — Chesapeake Bay mainstem and ESVA Bayside tributaries</w:t>
      </w:r>
    </w:p>
    <w:p>
      <w:pPr>
        <w:pStyle w:val="FirstParagraph"/>
      </w:pPr>
      <w:r>
        <w:rPr>
          <w:bCs/>
          <w:b/>
        </w:rPr>
        <w:t xml:space="preserve">See</w:t>
      </w:r>
      <w:r>
        <w:rPr>
          <w:bCs/>
          <w:b/>
        </w:rPr>
        <w:t xml:space="preserve"> </w:t>
      </w:r>
      <w:r>
        <w:rPr>
          <w:rStyle w:val="VerbatimChar"/>
          <w:bCs/>
          <w:b/>
        </w:rPr>
        <w:t xml:space="preserve">research/pathway_3a_chesapeake_mainstem.md</w:t>
      </w:r>
      <w:r>
        <w:rPr>
          <w:bCs/>
          <w:b/>
        </w:rPr>
        <w:t xml:space="preserve"> </w:t>
      </w:r>
      <w:r>
        <w:rPr>
          <w:bCs/>
          <w:b/>
        </w:rPr>
        <w:t xml:space="preserve">for the full treatment.</w:t>
      </w:r>
    </w:p>
    <w:p>
      <w:pPr>
        <w:pStyle w:val="BodyText"/>
      </w:pPr>
      <w:r>
        <w:t xml:space="preserve">On the Bayside, septic-derived nitrogen enters the Chesapeake Bay through a dense network of tidal creeks — Pocomoke Sound, Tangier Sound, Onancock Creek, Pungoteague Creek, Nassawadox Creek, Cherrystone Creek, Old Plantation Creek, and their tributaries — and contributes to the well-documented Bay-wide eutrophication problem: elevated chlorophyll, SAV decline, hypoxia in the deep channel, and harmful algal blooms of</w:t>
      </w:r>
      <w:r>
        <w:t xml:space="preserve"> </w:t>
      </w:r>
      <w:r>
        <w:rPr>
          <w:iCs/>
          <w:i/>
        </w:rPr>
        <w:t xml:space="preserve">Prorocentrum minimum</w:t>
      </w:r>
      <w:r>
        <w:t xml:space="preserve">,</w:t>
      </w:r>
      <w:r>
        <w:t xml:space="preserve"> </w:t>
      </w:r>
      <w:r>
        <w:rPr>
          <w:iCs/>
          <w:i/>
        </w:rPr>
        <w:t xml:space="preserve">Karlodinium veneficum</w:t>
      </w:r>
      <w:r>
        <w:t xml:space="preserve">, and</w:t>
      </w:r>
      <w:r>
        <w:t xml:space="preserve"> </w:t>
      </w:r>
      <w:r>
        <w:rPr>
          <w:iCs/>
          <w:i/>
        </w:rPr>
        <w:t xml:space="preserve">Microcystis aeruginosa</w:t>
      </w:r>
      <w:r>
        <w:t xml:space="preserve"> </w:t>
      </w:r>
      <w:r>
        <w:t xml:space="preserve">(Kemp et al. 2005; Glibert et al. 2001, 2014; Bricker et al. 2008; Lefcheck et al. 2018).</w:t>
      </w:r>
    </w:p>
    <w:p>
      <w:pPr>
        <w:pStyle w:val="BodyText"/>
      </w:pPr>
      <w:r>
        <w:rPr>
          <w:bCs/>
          <w:b/>
        </w:rPr>
        <w:t xml:space="preserve">Resolution of the 6% vs. 3.3% Bay-nitrogen-from-septic figure.</w:t>
      </w:r>
      <w:r>
        <w:t xml:space="preserve"> </w:t>
      </w:r>
      <w:r>
        <w:t xml:space="preserve">The synthesis explicitly resolved this discrepancy. Both numbers are correct for different frames. The ~6% figure traces to the Chesapeake Bay Program Phase 5.3 watershed model that supported the 2010 TMDL, which attributed roughly 15–17 million pounds of total nitrogen per year to septic out of a Bay-wide ~300 million pounds per year. The ~3.3% figure comes from the current CBP Phase 6 / CAST model (2018 and 2022 base years), which attributes roughly 8–10 million pounds per year to septic out of a revised ~260 million pounds per year, with changes driven by updated per-capita loading coefficients, revised attenuation coefficients, and a different denominator. Both are Bay-wide averages and both are defensible within their respective model frames.</w:t>
      </w:r>
      <w:r>
        <w:t xml:space="preserve"> </w:t>
      </w:r>
      <w:r>
        <w:rPr>
          <w:bCs/>
          <w:b/>
        </w:rPr>
        <w:t xml:space="preserve">Critically, for ESVA specifically, neither figure is the right number.</w:t>
      </w:r>
      <w:r>
        <w:t xml:space="preserve"> </w:t>
      </w:r>
      <w:r>
        <w:t xml:space="preserve">The Bay-wide share dramatically understates the local contribution in ESVA sub-basins where unsewered density is high, soils are sandy and oxic, and groundwater travel paths are short. The plausible local septic share of tidal-creek N loads in small Bayside ESVA catchments is on the order of 20–40 percent, and independent critiques (Ator et al. 2020; Sanford and Pope 2013) suggest that Phase 6’s uniform septic coefficients are a lower bound under Columbia-aquifer conditions. This reframing — that the right figure for ESVA is not the Bay-wide one — is the most important single finding in Pathway 3a.</w:t>
      </w:r>
    </w:p>
    <w:p>
      <w:pPr>
        <w:pStyle w:val="BodyText"/>
      </w:pPr>
      <w:r>
        <w:t xml:space="preserve">The strongest ESVA-specific finding is Mitchell, Isdell, Herman, and Tombleson’s (2021) parcel-level analysis showing that ESVA has Virginia’s highest at-risk septic densities and that a 1.5-foot sea-level-rise scenario would convert many Northampton Bayside drainfields into functionally direct discharges. The biggest data gap is the absence of any basin-specific septic-N mass balance for the major Bayside creeks, calibrated to Columbia aquifer conditions.</w:t>
      </w:r>
    </w:p>
    <w:bookmarkEnd w:id="24"/>
    <w:bookmarkStart w:id="25" w:name="X0a92719465738746b9a02207d8d3629b286fdd0"/>
    <w:p>
      <w:pPr>
        <w:pStyle w:val="Heading3"/>
      </w:pPr>
      <w:r>
        <w:t xml:space="preserve">2.4 Pathway 3b — The ESVA Seaside coastal lagoon system</w:t>
      </w:r>
    </w:p>
    <w:p>
      <w:pPr>
        <w:pStyle w:val="FirstParagraph"/>
      </w:pPr>
      <w:r>
        <w:rPr>
          <w:bCs/>
          <w:b/>
        </w:rPr>
        <w:t xml:space="preserve">See</w:t>
      </w:r>
      <w:r>
        <w:rPr>
          <w:bCs/>
          <w:b/>
        </w:rPr>
        <w:t xml:space="preserve"> </w:t>
      </w:r>
      <w:r>
        <w:rPr>
          <w:rStyle w:val="VerbatimChar"/>
          <w:bCs/>
          <w:b/>
        </w:rPr>
        <w:t xml:space="preserve">research/pathway_3b_seaside_lagoons.md</w:t>
      </w:r>
      <w:r>
        <w:rPr>
          <w:bCs/>
          <w:b/>
        </w:rPr>
        <w:t xml:space="preserve"> </w:t>
      </w:r>
      <w:r>
        <w:rPr>
          <w:bCs/>
          <w:b/>
        </w:rPr>
        <w:t xml:space="preserve">for the full treatment.</w:t>
      </w:r>
    </w:p>
    <w:p>
      <w:pPr>
        <w:pStyle w:val="BodyText"/>
      </w:pPr>
      <w:r>
        <w:t xml:space="preserve">The eastern side of ESVA drains through a series of shallow, flushing-limited bays behind the Virginia barrier islands — South Bay, Hog Island Bay, Cobb Bay, Spider Crab Bay, Mockhorn Bay, Magothy Bay — that together form one of the largest and most intact barrier-lagoon-marsh systems on the US Atlantic coast. It is home to the Virginia Coast Reserve LTER (NSF-funded since 1987) and to</w:t>
      </w:r>
      <w:r>
        <w:t xml:space="preserve"> </w:t>
      </w:r>
      <w:r>
        <w:rPr>
          <w:bCs/>
          <w:b/>
        </w:rPr>
        <w:t xml:space="preserve">the largest successful seagrass restoration in the world</w:t>
      </w:r>
      <w:r>
        <w:t xml:space="preserve">: 3,612 hectares (~8,900 acres) of</w:t>
      </w:r>
      <w:r>
        <w:t xml:space="preserve"> </w:t>
      </w:r>
      <w:r>
        <w:rPr>
          <w:iCs/>
          <w:i/>
        </w:rPr>
        <w:t xml:space="preserve">Zostera marina</w:t>
      </w:r>
      <w:r>
        <w:t xml:space="preserve"> </w:t>
      </w:r>
      <w:r>
        <w:t xml:space="preserve">eelgrass restored across South, Cobb, Spider Crab, and Hog Island Bays from more than 70 million seeds broadcast since 1999, expanding at approximately 240 hectares per year since 2007 (Orth, Lefcheck, McGlathery et al. 2020; Aoki, McGlathery, and Orth 2020). The restoration has re-established the physical structure, the clear-water state, the carbon-sequestration function, and the faunal community of a coastal ecosystem that had been lost for 75 years.</w:t>
      </w:r>
    </w:p>
    <w:p>
      <w:pPr>
        <w:pStyle w:val="BodyText"/>
      </w:pPr>
      <w:r>
        <w:t xml:space="preserve">The pathway’s central ecological finding is that shallow coastal lagoons of this type exhibit nonlinear regime shifts at surprisingly low N loadings — a well-established general result in the lagoon eutrophication literature (Cloern 2001; McGlathery, Sundbäck, and Anderson 2007) — and that the ESVA restoration therefore rests on a quantitatively narrow margin of safety. Lefcheck et al. (2017) showed that warming erodes eelgrass nutrient tolerance, compressing the safety margin further; the 2015 marine heat wave caused approximately 50 percent areal eelgrass loss in South and Hog Island Bays with incomplete recovery. Analogue regime shifts — Peconic Estuary and Great South Bay (NY) brown tides, Indian River Lagoon (FL) seagrass collapse — are each at least partly attributed to residential septic loading (Gobler, Boneillo, and Debenham 2005; Kinney and Valiela 2011; Lapointe et al. 2015, 2020), and each demonstrates that a shallow lagoon can flip from clear, seagrass-dominated to turbid, algae-dominated at septic-N loadings comparable to plausible ESVA trajectories.</w:t>
      </w:r>
    </w:p>
    <w:p>
      <w:pPr>
        <w:pStyle w:val="BodyText"/>
      </w:pPr>
      <w:r>
        <w:t xml:space="preserve">The biggest data gap is the absence of any published δ¹⁵N or hydrologic attribution study partitioning the dissolved inorganic and organic nitrogen reaching the seaside lagoons between septic, agricultural, atmospheric, and benthic-recycling sources. A Lapointe-style isotopic fingerprinting study across Hog Island Bay, South Bay, and Cobb Bay is the single most informative missing piece of the ESVA ecological evidence base. The scientific stakes are unusually high because the seagrass restoration is both internationally celebrated and inherently vulnerable.</w:t>
      </w:r>
    </w:p>
    <w:bookmarkEnd w:id="25"/>
    <w:bookmarkStart w:id="26" w:name="Xf89589fc54c3b7192a2bbdfde211729ab22e1e0"/>
    <w:p>
      <w:pPr>
        <w:pStyle w:val="Heading3"/>
      </w:pPr>
      <w:r>
        <w:t xml:space="preserve">2.5 Pathway 4 — Shellfish grounds, aquaculture, and commercial fisheries</w:t>
      </w:r>
    </w:p>
    <w:p>
      <w:pPr>
        <w:pStyle w:val="FirstParagraph"/>
      </w:pPr>
      <w:r>
        <w:rPr>
          <w:bCs/>
          <w:b/>
        </w:rPr>
        <w:t xml:space="preserve">See</w:t>
      </w:r>
      <w:r>
        <w:rPr>
          <w:bCs/>
          <w:b/>
        </w:rPr>
        <w:t xml:space="preserve"> </w:t>
      </w:r>
      <w:r>
        <w:rPr>
          <w:rStyle w:val="VerbatimChar"/>
          <w:bCs/>
          <w:b/>
        </w:rPr>
        <w:t xml:space="preserve">research/pathway_4_shellfish.md</w:t>
      </w:r>
      <w:r>
        <w:rPr>
          <w:bCs/>
          <w:b/>
        </w:rPr>
        <w:t xml:space="preserve"> </w:t>
      </w:r>
      <w:r>
        <w:rPr>
          <w:bCs/>
          <w:b/>
        </w:rPr>
        <w:t xml:space="preserve">for the full treatment.</w:t>
      </w:r>
    </w:p>
    <w:p>
      <w:pPr>
        <w:pStyle w:val="BodyText"/>
      </w:pPr>
      <w:r>
        <w:t xml:space="preserve">Accomack and Northampton counties produce roughly 99 percent of Virginia’s hard clam (</w:t>
      </w:r>
      <w:r>
        <w:rPr>
          <w:iCs/>
          <w:i/>
        </w:rPr>
        <w:t xml:space="preserve">Mercenaria mercenaria</w:t>
      </w:r>
      <w:r>
        <w:t xml:space="preserve">) harvest and an increasingly significant share of its aquaculture oyster (</w:t>
      </w:r>
      <w:r>
        <w:rPr>
          <w:iCs/>
          <w:i/>
        </w:rPr>
        <w:t xml:space="preserve">Crassostrea virginica</w:t>
      </w:r>
      <w:r>
        <w:t xml:space="preserve">) production. Virginia shellfish aquaculture farm-gate sales reached approximately $81 million in 2024, a 52 percent increase over 2018’s $53 million, and the industry supports more than 700 jobs (Hudson/VIMS 2024). Bay scallop has been successfully reintroduced in the seaside lagoons in coordination with the eelgrass restoration described under Pathway 3b, and blue crab is a major wild-capture fishery with nursery habitat in both Bayside and Seaside waters. Ecology and economy are tightly coupled in this pathway.</w:t>
      </w:r>
    </w:p>
    <w:p>
      <w:pPr>
        <w:pStyle w:val="BodyText"/>
      </w:pPr>
      <w:r>
        <w:t xml:space="preserve">The dominant septic-driven mechanism is fecal-indicator and viral contamination of shellfish waters reaching the thresholds that trigger VDH Division of Shellfish Safety classification changes — Approved, Conditionally Approved, Restricted, Conditionally Restricted, Prohibited — and the accompanying rain-triggered closures. Zimmer-Faust et al. (2018) demonstrated that fecal-coliform criterion exceedance in tidally influenced waters rises from about 7 percent during dry conditions to about 37 percent after rainfall events exceeding 1 inch in 24 hours. On ESVA, headwater-creek closure days can exceed 30–60 per year in wet years. Fecal coliform is a poor proxy for norovirus — the modern consensus is that indicator-virus discordance is substantial (Lipp, Farrah, and Rose 2001; Campos et al. 2015, 2017; Lowther et al. 2021) — which means that the closure system provides only partial protection from the ecological and food-safety risks that actually matter.</w:t>
      </w:r>
    </w:p>
    <w:p>
      <w:pPr>
        <w:pStyle w:val="BodyText"/>
      </w:pPr>
      <w:r>
        <w:t xml:space="preserve">The strongest ESVA-specific finding is the near-complete spatial overlap between Mitchell et al.’s (2021) sea-level-rise-vulnerable septic hot spots and VDH Division of Shellfish Safety condemnation zones in residentially developed creek headwaters — at Oyster, Willis Wharf, Quinby, Wachapreague, Saxis, Chincoteague, and Cape Charles. Where ESVA has residential septic density, ESVA has persistent shellfish closure — and the co-location is consistent with the mechanism even though the attribution chain has not been quantitatively closed.</w:t>
      </w:r>
    </w:p>
    <w:p>
      <w:pPr>
        <w:pStyle w:val="BodyText"/>
      </w:pPr>
      <w:r>
        <w:t xml:space="preserve">The biggest data gap is the absence of any published microbial source tracking work on ESVA (host-specific markers such as HF183 for human fecal sources, crAssphage, or enteric-virus PCR panels) that would quantitatively apportion closure days to septic sources as distinct from stormwater, wildlife, and agricultural sources. That attribution question — how much of ESVA’s closure burden is actually septic — is the dominant open question for shellfish management on the Shore.</w:t>
      </w:r>
    </w:p>
    <w:bookmarkEnd w:id="26"/>
    <w:bookmarkStart w:id="27" w:name="Xf31b252508fbfae65fc2863eedac4e4a1cf2ac0"/>
    <w:p>
      <w:pPr>
        <w:pStyle w:val="Heading3"/>
      </w:pPr>
      <w:r>
        <w:t xml:space="preserve">2.6 Pathway 5 — Iconic and sensitive species and habitats</w:t>
      </w:r>
    </w:p>
    <w:p>
      <w:pPr>
        <w:pStyle w:val="FirstParagraph"/>
      </w:pPr>
      <w:r>
        <w:rPr>
          <w:bCs/>
          <w:b/>
        </w:rPr>
        <w:t xml:space="preserve">See</w:t>
      </w:r>
      <w:r>
        <w:rPr>
          <w:bCs/>
          <w:b/>
        </w:rPr>
        <w:t xml:space="preserve"> </w:t>
      </w:r>
      <w:r>
        <w:rPr>
          <w:rStyle w:val="VerbatimChar"/>
          <w:bCs/>
          <w:b/>
        </w:rPr>
        <w:t xml:space="preserve">research/pathway_5_iconic_species.md</w:t>
      </w:r>
      <w:r>
        <w:rPr>
          <w:bCs/>
          <w:b/>
        </w:rPr>
        <w:t xml:space="preserve"> </w:t>
      </w:r>
      <w:r>
        <w:rPr>
          <w:bCs/>
          <w:b/>
        </w:rPr>
        <w:t xml:space="preserve">for the full treatment.</w:t>
      </w:r>
    </w:p>
    <w:p>
      <w:pPr>
        <w:pStyle w:val="BodyText"/>
      </w:pPr>
      <w:r>
        <w:t xml:space="preserve">Pathway 5 asks whether failing septic systems plausibly contribute to harm for the species ESVA residents, managers, and visitors recognize and care about: oysters, bay scallops, blue crabs, diamondback terrapins, horseshoe crabs, red knots, piping plovers, Chincoteague ponies, and several habitat-forming species. This is the pathway with the widest range of evidence strengths in the synthesis, and the synthesis is deliberately disciplined about that range.</w:t>
      </w:r>
    </w:p>
    <w:p>
      <w:pPr>
        <w:pStyle w:val="BodyText"/>
      </w:pPr>
      <w:r>
        <w:t xml:space="preserve">Three evidence patterns dominate. (1) For habitat-forming species and the fauna most tightly coupled to SAV or to salt marsh structure — eelgrass meadows as foundation habitat, oyster reefs as ecosystem engineers, ribbed mussels as marsh N cyclers — the mechanism linking septic-derived N to habitat change is well established and the ESVA-specific attribution is PLAUSIBLE. (2) For species that depend on SAV indirectly — bay scallop (obligate eelgrass associate), blue crab (SAV nursery habitat), brant and other SAV-dependent waterfowl — the habitat-mediated mechanism is strong but the attribution of population change specifically to ESVA septic sources is SPECULATIVE given multiple competing drivers (climate, harvest, predation, disease, overwintering conditions). (3) For several iconic species most closely associated with the Shore in the public imagination — the Chincoteague ponies, horseshoe crabs, red knot, piping plover — the septic pathway is real in principle but direct evidence is absent or very weak, and they are included for completeness and honest scoping rather than because they are the strongest links.</w:t>
      </w:r>
    </w:p>
    <w:p>
      <w:pPr>
        <w:pStyle w:val="BodyText"/>
      </w:pPr>
      <w:r>
        <w:t xml:space="preserve">The strongest faunal link is the bay scallop story, because the restored seaside population is the only successful reintroduction of its kind globally and rests entirely on the eelgrass meadow whose nutrient safety margin is narrow (Orth, Lefcheck, McGlathery et al. 2020; Peterson and Heck 2001; Gobler, Boneillo, and Debenham 2005). The weakest but most publicly resonant example is the historical irony of Chincoteague: since the 1970s the town has imported drinking water from Wallops Island because its own groundwater was contaminated by septic systems — a concrete local demonstration that septic-driven groundwater impairment has already materially affected ESVA, even though the ecological consequences for the feral pony population are largely undocumented. The biggest data gap is the absence of any quantitative partitioning of faunal population change on ESVA between septic-specific contributions and the larger portfolio of drivers; this is intrinsically hard but tractable at least for the most tightly coupled species.</w:t>
      </w:r>
    </w:p>
    <w:bookmarkEnd w:id="27"/>
    <w:bookmarkStart w:id="28" w:name="X6228f5b0d0dd2e59c1fb270ffe6ce24ba4dcd65"/>
    <w:p>
      <w:pPr>
        <w:pStyle w:val="Heading3"/>
      </w:pPr>
      <w:r>
        <w:t xml:space="preserve">2.7 Pathway 6 — Terrestrial drainfield footprint</w:t>
      </w:r>
    </w:p>
    <w:p>
      <w:pPr>
        <w:pStyle w:val="FirstParagraph"/>
      </w:pPr>
      <w:r>
        <w:rPr>
          <w:bCs/>
          <w:b/>
        </w:rPr>
        <w:t xml:space="preserve">See</w:t>
      </w:r>
      <w:r>
        <w:rPr>
          <w:bCs/>
          <w:b/>
        </w:rPr>
        <w:t xml:space="preserve"> </w:t>
      </w:r>
      <w:r>
        <w:rPr>
          <w:rStyle w:val="VerbatimChar"/>
          <w:bCs/>
          <w:b/>
        </w:rPr>
        <w:t xml:space="preserve">research/pathway_6_drainfield_footprint.md</w:t>
      </w:r>
      <w:r>
        <w:rPr>
          <w:bCs/>
          <w:b/>
        </w:rPr>
        <w:t xml:space="preserve"> </w:t>
      </w:r>
      <w:r>
        <w:rPr>
          <w:bCs/>
          <w:b/>
        </w:rPr>
        <w:t xml:space="preserve">for the full treatment.</w:t>
      </w:r>
    </w:p>
    <w:p>
      <w:pPr>
        <w:pStyle w:val="BodyText"/>
      </w:pPr>
      <w:r>
        <w:t xml:space="preserve">The drainfield is a small, household-scale ecosystem — a few hundred square meters of engineered soil column that receives a continuous flux of nutrient- and carbon-rich effluent and functions as a biological filter when unsaturated and aerobic. When the treatment zone saturates from above (hydraulic overload) or from below (rising water table), the drainfield transitions from a treatment asset into a distinctive and persistent habitat patch. Under ESVA conditions, saturation from below is the dominant failure mode and is the direct downstream consequence of the Columbia aquifer dynamics described in Pathway 1. The vegetation response at the footprint scale is predictable: oxygen-sensitive species are killed or suppressed, and a small set of opportunistic, hypoxia-tolerant species — bamboo, English ivy, periwinkle, mint, and in the coastal-plain context most consequentially</w:t>
      </w:r>
      <w:r>
        <w:t xml:space="preserve"> </w:t>
      </w:r>
      <w:r>
        <w:rPr>
          <w:iCs/>
          <w:i/>
        </w:rPr>
        <w:t xml:space="preserve">Phragmites australis</w:t>
      </w:r>
      <w:r>
        <w:t xml:space="preserve"> </w:t>
      </w:r>
      <w:r>
        <w:t xml:space="preserve">— establish and then spread outward from the drainfield margin (Clemson HGIC 2021; UF/IFAS EDIS SS687; Chambers, Meyerson, and Saltonstall 1999; Mozdzer and Zieman 2010).</w:t>
      </w:r>
    </w:p>
    <w:p>
      <w:pPr>
        <w:pStyle w:val="BodyText"/>
      </w:pPr>
      <w:r>
        <w:t xml:space="preserve">The pathway’s most distinctive ecological finding is that failing drainfields are a plausible but under-studied facilitator of</w:t>
      </w:r>
      <w:r>
        <w:t xml:space="preserve"> </w:t>
      </w:r>
      <w:r>
        <w:rPr>
          <w:iCs/>
          <w:i/>
        </w:rPr>
        <w:t xml:space="preserve">Phragmites</w:t>
      </w:r>
      <w:r>
        <w:t xml:space="preserve"> </w:t>
      </w:r>
      <w:r>
        <w:t xml:space="preserve">expansion in ESVA upland-to-marsh ecotones, adding a household-scale mechanism to the regional drivers (sea-level rise, disturbance, atmospheric deposition) that are already known. Surface ponding over failed drainfields also creates chronically wet, nutrient-rich habitat that is high-quality mosquito breeding substrate; this is under-studied but mechanistically sound. A legacy-loading tail — drainfields continuing to leach nitrogen for a decade or more after the septic system is taken out of service — has been documented at single-site studies (Robertson, Cherry, and Sudicky 1991) and means that remediation benefits (including sewer connection via the HRSD expansion) are delayed rather than immediate.</w:t>
      </w:r>
    </w:p>
    <w:p>
      <w:pPr>
        <w:pStyle w:val="BodyText"/>
      </w:pPr>
      <w:r>
        <w:t xml:space="preserve">At ESVA scale, ~18,000 septic systems represent roughly 5–11 km² of engineered drainfield soil, much of it in hydrologically sensitive positions. This cumulative footprint has not been systematically estimated for its ecological consequences. The biggest data gap is the complete absence of published field ecology for actual ESVA drainfield footprints: no vegetation surveys, no soil microbial community characterization, no adjacent-habitat impact assessments. This is also the pathway where an ESCC capstone project could most easily produce novel data at low cost.</w:t>
      </w:r>
    </w:p>
    <w:bookmarkEnd w:id="28"/>
    <w:bookmarkEnd w:id="29"/>
    <w:bookmarkStart w:id="30" w:name="cross-cutting-themes"/>
    <w:p>
      <w:pPr>
        <w:pStyle w:val="Heading2"/>
      </w:pPr>
      <w:r>
        <w:t xml:space="preserve">3. Cross-cutting themes</w:t>
      </w:r>
    </w:p>
    <w:p>
      <w:pPr>
        <w:pStyle w:val="FirstParagraph"/>
      </w:pPr>
      <w:r>
        <w:t xml:space="preserve">Several findings emerged independently in more than one pathway and are therefore more robust than any single line of evidence.</w:t>
      </w:r>
    </w:p>
    <w:p>
      <w:pPr>
        <w:pStyle w:val="BodyText"/>
      </w:pPr>
      <w:r>
        <w:rPr>
          <w:bCs/>
          <w:b/>
        </w:rPr>
        <w:t xml:space="preserve">3.1 Sea-level rise is</w:t>
      </w:r>
      <w:r>
        <w:rPr>
          <w:bCs/>
          <w:b/>
        </w:rPr>
        <w:t xml:space="preserve"> </w:t>
      </w:r>
      <w:r>
        <w:rPr>
          <w:bCs/>
          <w:b/>
        </w:rPr>
        <w:t xml:space="preserve">“</w:t>
      </w:r>
      <w:r>
        <w:rPr>
          <w:bCs/>
          <w:b/>
        </w:rPr>
        <w:t xml:space="preserve">de-rating</w:t>
      </w:r>
      <w:r>
        <w:rPr>
          <w:bCs/>
          <w:b/>
        </w:rPr>
        <w:t xml:space="preserve">”</w:t>
      </w:r>
      <w:r>
        <w:rPr>
          <w:bCs/>
          <w:b/>
        </w:rPr>
        <w:t xml:space="preserve"> </w:t>
      </w:r>
      <w:r>
        <w:rPr>
          <w:bCs/>
          <w:b/>
        </w:rPr>
        <w:t xml:space="preserve">ESVA drainfields without any physical change.</w:t>
      </w:r>
      <w:r>
        <w:t xml:space="preserve"> </w:t>
      </w:r>
      <w:r>
        <w:t xml:space="preserve">This is the single most important cross-cutting finding in the synthesis. It appears in Pathway 1 (groundwater) as the compression of the unsaturated zone beneath drainfields, in Pathway 2 (tidal creeks) as shortening groundwater travel paths, in Pathway 3a (Bay) as the mechanism by which Mitchell et al. 2021 project future Bay-side failures, in Pathway 4 (shellfish) as the explanation for the spatial co-location of vulnerable septics and closure zones, and in Pathway 6 (drainfield footprint) as the failure mode that drives footprint-scale vegetation and microbial changes. ESVA septic systems installed under drier historical conditions are becoming functionally failing without any infrastructure-level intervention — the system is being re-rated by climate change. The practical implication is that ESVA’s septic problem is not a one-time retrofit question; it is a moving target that worsens under all plausible sea-level trajectories.</w:t>
      </w:r>
    </w:p>
    <w:p>
      <w:pPr>
        <w:pStyle w:val="BodyText"/>
      </w:pPr>
      <w:r>
        <w:rPr>
          <w:bCs/>
          <w:b/>
        </w:rPr>
        <w:t xml:space="preserve">3.2 Mechanism is well understood; ESVA-specific attribution is not.</w:t>
      </w:r>
      <w:r>
        <w:t xml:space="preserve"> </w:t>
      </w:r>
      <w:r>
        <w:t xml:space="preserve">Every pathway repeats the same evidence pattern: the biogeochemical and ecological mechanisms linking septic effluent to receiving-ecosystem change are well established in the general literature and usually demonstrated rigorously in one or more analogue systems (Cape Cod, Rhode Island, Plum Island, Waquoit Bay, Dare County, Indian River Lagoon, Peconic Estuary, Great South Bay, coastal Georgia). What is missing in nearly every pathway is a quantitative ESVA-specific attribution study that closes the loop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state there.</w:t>
      </w:r>
      <w:r>
        <w:t xml:space="preserve">”</w:t>
      </w:r>
      <w:r>
        <w:t xml:space="preserve"> </w:t>
      </w:r>
      <w:r>
        <w:t xml:space="preserve">This is not because such studies are impossible — the methods exist and have been applied elsewhere — but because no one has done them on ESVA. The mechanism–to–attribution gap is the single biggest structural feature of the ESVA ecological evidence base.</w:t>
      </w:r>
    </w:p>
    <w:p>
      <w:pPr>
        <w:pStyle w:val="BodyText"/>
      </w:pPr>
      <w:r>
        <w:rPr>
          <w:bCs/>
          <w:b/>
        </w:rPr>
        <w:t xml:space="preserve">3.3 Sub-basin realities dominate Bay-wide averages.</w:t>
      </w:r>
      <w:r>
        <w:t xml:space="preserve"> </w:t>
      </w:r>
      <w:r>
        <w:t xml:space="preserve">The Pathway 3a resolution of the 6% vs. 3.3% figure makes this explicit for nitrogen loading, but the principle applies across pathways. ESVA sub-basins — small tidal creek watersheds with unsewered residential density on shallow sandy soils — routinely experience local contributions that are far higher than Bay-wide or state-wide averages would suggest. Management frameworks that rely on regional averages systematically understate ESVA exposure. Any decision-support tool the project builds should work at sub-basin resolution.</w:t>
      </w:r>
    </w:p>
    <w:p>
      <w:pPr>
        <w:pStyle w:val="BodyText"/>
      </w:pPr>
      <w:r>
        <w:rPr>
          <w:bCs/>
          <w:b/>
        </w:rPr>
        <w:t xml:space="preserve">3.4 The Bayside and Seaside are not the same system.</w:t>
      </w:r>
      <w:r>
        <w:t xml:space="preserve"> </w:t>
      </w:r>
      <w:r>
        <w:t xml:space="preserve">The Pathway 3 split into 3a and 3b is not cosmetic. The Chesapeake Bay mainstem (3a) is a large, deep, well-flushed, partially protected estuary where septic-derived N is one contributor among many to a Bay-wide problem with established management infrastructure. The seaside barrier-island lagoons (3b) are shallow, flushing-limited, biologically exceptional, and support the world’s largest successful seagrass restoration and the only successful bay scallop reintroduction. Identical N loadings produce very different ecological consequences in the two systems, and management frames appropriate for one are not necessarily appropriate for the other.</w:t>
      </w:r>
    </w:p>
    <w:p>
      <w:pPr>
        <w:pStyle w:val="BodyText"/>
      </w:pPr>
      <w:r>
        <w:rPr>
          <w:bCs/>
          <w:b/>
        </w:rPr>
        <w:t xml:space="preserve">3.5 The faunal cascade rests on SAV.</w:t>
      </w:r>
      <w:r>
        <w:t xml:space="preserve"> </w:t>
      </w:r>
      <w:r>
        <w:t xml:space="preserve">Pathway 3a, 3b, 4, and 5 all converge on submerged aquatic vegetation — eelgrass and widgeon grass — as the foundation habitat whose condition mediates ecological outcomes for most of the species the public cares about. Bay scallops are obligate, blue crab nurseries are SAV-dependent, brant and other waterfowl depend on SAV forage, faunal density is quantitatively tied to SAV area (Lefcheck et al. 2018, 2019; Orth et al. 2020). This means that the ecological stakes of even modest N loading changes on ESVA run through the SAV meadow, and that protecting SAV is effectively protecting the faunal cascade above it.</w:t>
      </w:r>
    </w:p>
    <w:p>
      <w:pPr>
        <w:pStyle w:val="BodyText"/>
      </w:pPr>
      <w:r>
        <w:rPr>
          <w:bCs/>
          <w:b/>
        </w:rPr>
        <w:t xml:space="preserve">3.6 The mosaic of evidence strengths is itself the finding.</w:t>
      </w:r>
      <w:r>
        <w:t xml:space="preserve"> </w:t>
      </w:r>
      <w:r>
        <w:t xml:space="preserve">Pathway 5’s strength-of-evidence table, Pathway 1’s disciplined labeling, and the analogous summaries in every other pathway together demonstrate that the ecological evidence base for septic effects on ESVA is a mosaic. Some links are ESTABLISHED (SAV–faunal coupling, mechanism of nitrate transport, soil saturation and treatment failure). Others are STRONGLY SUPPORTED (ESVA sub-basin sensitivity, rising water tables compromising drainfields, shellfish closure spatial overlap). Many are PLAUSIBLE (specific attribution of ESVA faunal change to septic sources). A few are SPECULATIVE (Chincoteague pony effects, horseshoe crab embryo exposure). Recognizing the mosaic — rather than either overclaiming or ignoring it — is a prerequisite for both defensible science and credible outreach.</w:t>
      </w:r>
    </w:p>
    <w:bookmarkEnd w:id="30"/>
    <w:bookmarkStart w:id="31" w:name="integrated-strength-of-evidence-summary"/>
    <w:p>
      <w:pPr>
        <w:pStyle w:val="Heading2"/>
      </w:pPr>
      <w:r>
        <w:t xml:space="preserve">4. Integrated strength-of-evidence summary</w:t>
      </w:r>
    </w:p>
    <w:p>
      <w:pPr>
        <w:pStyle w:val="FirstParagraph"/>
      </w:pPr>
      <w:r>
        <w:t xml:space="preserve">The headline ecological claims of this synthesis, with cross-pathway strength-of-evidence labels:</w:t>
      </w:r>
    </w:p>
    <w:p>
      <w:pPr>
        <w:numPr>
          <w:ilvl w:val="0"/>
          <w:numId w:val="1002"/>
        </w:numPr>
        <w:pStyle w:val="Compact"/>
      </w:pPr>
      <w:r>
        <w:rPr>
          <w:bCs/>
          <w:b/>
        </w:rPr>
        <w:t xml:space="preserve">ESTABLISHED — Septic effluent enters the shallow Columbia aquifer and is transported with limited attenuation to ESVA tidal shorelines.</w:t>
      </w:r>
      <w:r>
        <w:t xml:space="preserve"> </w:t>
      </w:r>
      <w:r>
        <w:t xml:space="preserve">Mechanism is universally accepted; ESVA-specific hydrogeologic characterization by Richardson (1994) and Speiran (1996, 2010) is strong.</w:t>
      </w:r>
    </w:p>
    <w:p>
      <w:pPr>
        <w:numPr>
          <w:ilvl w:val="0"/>
          <w:numId w:val="1002"/>
        </w:numPr>
        <w:pStyle w:val="Compact"/>
      </w:pPr>
      <w:r>
        <w:rPr>
          <w:bCs/>
          <w:b/>
        </w:rPr>
        <w:t xml:space="preserve">ESTABLISHED — ESVA tidal creeks are substantially groundwater-fed and are therefore direct conveyors of septic-derived solutes to receiving waters.</w:t>
      </w:r>
      <w:r>
        <w:t xml:space="preserve"> </w:t>
      </w:r>
      <w:r>
        <w:t xml:space="preserve">~80 percent baseflow figure for Accomack County creeks (A-NPDC 2022; Richardson 1994).</w:t>
      </w:r>
    </w:p>
    <w:p>
      <w:pPr>
        <w:numPr>
          <w:ilvl w:val="0"/>
          <w:numId w:val="1002"/>
        </w:numPr>
        <w:pStyle w:val="Compact"/>
      </w:pPr>
      <w:r>
        <w:rPr>
          <w:bCs/>
          <w:b/>
        </w:rPr>
        <w:t xml:space="preserve">ESTABLISHED — Nitrogen loading is a primary driver of SAV condition in Chesapeake Bay and its lagoon system.</w:t>
      </w:r>
      <w:r>
        <w:t xml:space="preserve"> </w:t>
      </w:r>
      <w:r>
        <w:t xml:space="preserve">Lefcheck et al. (2018, 2019); Orth et al. (2017, 2020); Kemp et al. (2005).</w:t>
      </w:r>
    </w:p>
    <w:p>
      <w:pPr>
        <w:numPr>
          <w:ilvl w:val="0"/>
          <w:numId w:val="1002"/>
        </w:numPr>
        <w:pStyle w:val="Compact"/>
      </w:pPr>
      <w:r>
        <w:rPr>
          <w:bCs/>
          <w:b/>
        </w:rPr>
        <w:t xml:space="preserve">STRONGLY SUPPORTED — Sea-level rise is compressing the unsaturated zone beneath ESVA drainfields and progressively compromising treatment without infrastructure change.</w:t>
      </w:r>
      <w:r>
        <w:t xml:space="preserve"> </w:t>
      </w:r>
      <w:r>
        <w:t xml:space="preserve">Mitchell et al. (2021); Hesamfar et al. (in review); Cox, Loomis, and Amador (2019); O’Driscoll et al. (2024).</w:t>
      </w:r>
    </w:p>
    <w:p>
      <w:pPr>
        <w:numPr>
          <w:ilvl w:val="0"/>
          <w:numId w:val="1002"/>
        </w:numPr>
        <w:pStyle w:val="Compact"/>
      </w:pPr>
      <w:r>
        <w:rPr>
          <w:bCs/>
          <w:b/>
        </w:rPr>
        <w:t xml:space="preserve">STRONGLY SUPPORTED — The local septic-N contribution in unsewered ESVA sub-basins exceeds the Bay-wide average share by an order of magnitude or more.</w:t>
      </w:r>
      <w:r>
        <w:t xml:space="preserve"> </w:t>
      </w:r>
      <w:r>
        <w:t xml:space="preserve">Ator et al. (2020); Sanford and Pope (2013); Pathway 3a sub-basin analysis.</w:t>
      </w:r>
    </w:p>
    <w:p>
      <w:pPr>
        <w:numPr>
          <w:ilvl w:val="0"/>
          <w:numId w:val="1002"/>
        </w:numPr>
        <w:pStyle w:val="Compact"/>
      </w:pPr>
      <w:r>
        <w:rPr>
          <w:bCs/>
          <w:b/>
        </w:rPr>
        <w:t xml:space="preserve">STRONGLY SUPPORTED — ESVA seaside eelgrass restoration rests on a quantitatively narrow nutrient-loading safety margin that warming is compressing further.</w:t>
      </w:r>
      <w:r>
        <w:t xml:space="preserve"> </w:t>
      </w:r>
      <w:r>
        <w:t xml:space="preserve">Lefcheck, Wilcox et al. (2017); Orth, Lefcheck, McGlathery et al. (2020).</w:t>
      </w:r>
    </w:p>
    <w:p>
      <w:pPr>
        <w:numPr>
          <w:ilvl w:val="0"/>
          <w:numId w:val="1002"/>
        </w:numPr>
        <w:pStyle w:val="Compact"/>
      </w:pPr>
      <w:r>
        <w:rPr>
          <w:bCs/>
          <w:b/>
        </w:rPr>
        <w:t xml:space="preserve">STRONGLY SUPPORTED — ESVA shellfish closure zones spatially co-locate with Mitchell-vulnerable septic hot spots in residential creek headwaters.</w:t>
      </w:r>
      <w:r>
        <w:t xml:space="preserve"> </w:t>
      </w:r>
      <w:r>
        <w:t xml:space="preserve">Mitchell et al. (2021); Pathway 4 synthesis.</w:t>
      </w:r>
    </w:p>
    <w:p>
      <w:pPr>
        <w:numPr>
          <w:ilvl w:val="0"/>
          <w:numId w:val="1002"/>
        </w:numPr>
        <w:pStyle w:val="Compact"/>
      </w:pPr>
      <w:r>
        <w:rPr>
          <w:bCs/>
          <w:b/>
        </w:rPr>
        <w:t xml:space="preserve">PLAUSIBLE — Failing ESVA drainfields are currently facilitating</w:t>
      </w:r>
      <w:r>
        <w:rPr>
          <w:bCs/>
          <w:b/>
        </w:rPr>
        <w:t xml:space="preserve"> </w:t>
      </w:r>
      <w:r>
        <w:rPr>
          <w:iCs/>
          <w:i/>
          <w:bCs/>
          <w:b/>
        </w:rPr>
        <w:t xml:space="preserve">Phragmites australis</w:t>
      </w:r>
      <w:r>
        <w:rPr>
          <w:bCs/>
          <w:b/>
        </w:rPr>
        <w:t xml:space="preserve"> </w:t>
      </w:r>
      <w:r>
        <w:rPr>
          <w:bCs/>
          <w:b/>
        </w:rPr>
        <w:t xml:space="preserve">expansion in upland-to-marsh ecotones, adding a household-scale mechanism to the regional drivers.</w:t>
      </w:r>
      <w:r>
        <w:t xml:space="preserve"> </w:t>
      </w:r>
      <w:r>
        <w:t xml:space="preserve">Chambers, Meyerson, and Saltonstall (1999); Mozdzer and Zieman (2010).</w:t>
      </w:r>
    </w:p>
    <w:p>
      <w:pPr>
        <w:numPr>
          <w:ilvl w:val="0"/>
          <w:numId w:val="1002"/>
        </w:numPr>
        <w:pStyle w:val="Compact"/>
      </w:pPr>
      <w:r>
        <w:rPr>
          <w:bCs/>
          <w:b/>
        </w:rPr>
        <w:t xml:space="preserve">PLAUSIBLE — Chronic N loading at current ESVA rates is contributing to salt marsh bank collapse in addition to sea-level-rise drowning.</w:t>
      </w:r>
      <w:r>
        <w:t xml:space="preserve"> </w:t>
      </w:r>
      <w:r>
        <w:t xml:space="preserve">Deegan et al. (2012) mechanism is established; ESVA-specific dose response is not quantified.</w:t>
      </w:r>
    </w:p>
    <w:p>
      <w:pPr>
        <w:numPr>
          <w:ilvl w:val="0"/>
          <w:numId w:val="1002"/>
        </w:numPr>
        <w:pStyle w:val="Compact"/>
      </w:pPr>
      <w:r>
        <w:rPr>
          <w:bCs/>
          <w:b/>
        </w:rPr>
        <w:t xml:space="preserve">PLAUSIBLE — ESVA septic N loading is materially contributing to current ESVA SAV status, blue crab nursery habitat quality, and bay scallop habitat security.</w:t>
      </w:r>
      <w:r>
        <w:t xml:space="preserve"> </w:t>
      </w:r>
      <w:r>
        <w:t xml:space="preserve">Mechanisms are established; ESVA attribution is not quantified.</w:t>
      </w:r>
    </w:p>
    <w:p>
      <w:pPr>
        <w:numPr>
          <w:ilvl w:val="0"/>
          <w:numId w:val="1002"/>
        </w:numPr>
        <w:pStyle w:val="Compact"/>
      </w:pPr>
      <w:r>
        <w:rPr>
          <w:bCs/>
          <w:b/>
        </w:rPr>
        <w:t xml:space="preserve">SPECULATIVE — Septic contamination of intertidal horseshoe crab spawning beaches affects embryo development or red knot staging.</w:t>
      </w:r>
      <w:r>
        <w:t xml:space="preserve"> </w:t>
      </w:r>
      <w:r>
        <w:t xml:space="preserve">Mechanism is imaginable; direct evidence absent.</w:t>
      </w:r>
    </w:p>
    <w:p>
      <w:pPr>
        <w:numPr>
          <w:ilvl w:val="0"/>
          <w:numId w:val="1002"/>
        </w:numPr>
        <w:pStyle w:val="Compact"/>
      </w:pPr>
      <w:r>
        <w:rPr>
          <w:bCs/>
          <w:b/>
        </w:rPr>
        <w:t xml:space="preserve">SPECULATIVE — Current septic loading is detectably affecting Chincoteague pony forage quality or health.</w:t>
      </w:r>
      <w:r>
        <w:t xml:space="preserve"> </w:t>
      </w:r>
      <w:r>
        <w:t xml:space="preserve">Included for completeness.</w:t>
      </w:r>
    </w:p>
    <w:bookmarkEnd w:id="31"/>
    <w:bookmarkStart w:id="32" w:name="cross-pathway-data-gaps"/>
    <w:p>
      <w:pPr>
        <w:pStyle w:val="Heading2"/>
      </w:pPr>
      <w:r>
        <w:t xml:space="preserve">5. Cross-pathway data gaps</w:t>
      </w:r>
    </w:p>
    <w:p>
      <w:pPr>
        <w:pStyle w:val="FirstParagraph"/>
      </w:pPr>
      <w:r>
        <w:t xml:space="preserve">Consolidating the data gaps across all six pathway files produces a small number of structural gaps that are worth attacking first because addressing them would materially improve confidence across multiple pathways simultaneously. Full pathway-specific gap lists remain in the individual files.</w:t>
      </w:r>
    </w:p>
    <w:p>
      <w:pPr>
        <w:numPr>
          <w:ilvl w:val="0"/>
          <w:numId w:val="1003"/>
        </w:numPr>
      </w:pPr>
      <w:r>
        <w:rPr>
          <w:bCs/>
          <w:b/>
        </w:rPr>
        <w:t xml:space="preserve">Source attribution for nitrogen loading in ESVA tidal creeks and lagoons.</w:t>
      </w:r>
      <w:r>
        <w:t xml:space="preserve"> </w:t>
      </w:r>
      <w:r>
        <w:t xml:space="preserve">Partitioning dissolved inorganic and organic N between septic, agricultural, atmospheric, and benthic-recycling sources using stable isotopes (δ¹⁵N–δ¹⁸O of NO₃⁻, δ¹⁵N in SAV and macroalgal tissue) and co-tracers (sucralose, acesulfame, caffeine) across a gradient of septic density and distance from urban centers. This single study design would inform Pathways 1, 2, 3a, 3b, and 5 simultaneously. Cost is tractable at the ESCC capstone scale for a subset of creeks; full coverage would be a larger federal or state proposal.</w:t>
      </w:r>
    </w:p>
    <w:p>
      <w:pPr>
        <w:numPr>
          <w:ilvl w:val="0"/>
          <w:numId w:val="1003"/>
        </w:numPr>
      </w:pPr>
      <w:r>
        <w:rPr>
          <w:bCs/>
          <w:b/>
        </w:rPr>
        <w:t xml:space="preserve">Microbial source tracking for ESVA shellfish closure zones.</w:t>
      </w:r>
      <w:r>
        <w:t xml:space="preserve"> </w:t>
      </w:r>
      <w:r>
        <w:t xml:space="preserve">HF183, crAssphage, enteric-virus PCR panels applied to closure-prone Bayside and Seaside creek headwaters, co-located with septic density maps. Would close the attribution chain from septic source to closure day for the first time on ESVA and would directly inform Pathway 4 and Pathway 5 (filter-feeding habitat-forming species).</w:t>
      </w:r>
    </w:p>
    <w:p>
      <w:pPr>
        <w:numPr>
          <w:ilvl w:val="0"/>
          <w:numId w:val="1003"/>
        </w:numPr>
      </w:pPr>
      <w:r>
        <w:rPr>
          <w:bCs/>
          <w:b/>
        </w:rPr>
        <w:t xml:space="preserve">Direct groundwater monitoring around ESVA septic clusters.</w:t>
      </w:r>
      <w:r>
        <w:t xml:space="preserve"> </w:t>
      </w:r>
      <w:r>
        <w:t xml:space="preserve">Upgradient and downgradient wells at representative Bayside and Seaside septic clusters, with a full analyte suite (N, P, boron, sucralose, PPCPs, PFAS, 16S microbial community, ARG markers). Would transform Pathway 1 from an exposure-modeling exercise into an effects-monitoring exercise.</w:t>
      </w:r>
    </w:p>
    <w:p>
      <w:pPr>
        <w:numPr>
          <w:ilvl w:val="0"/>
          <w:numId w:val="1003"/>
        </w:numPr>
      </w:pPr>
      <w:r>
        <w:rPr>
          <w:bCs/>
          <w:b/>
        </w:rPr>
        <w:t xml:space="preserve">Sub-basin septic-N mass balance calibrated to Columbia-aquifer conditions.</w:t>
      </w:r>
      <w:r>
        <w:t xml:space="preserve"> </w:t>
      </w:r>
      <w:r>
        <w:t xml:space="preserve">Downscale the CBP Phase 6 / CAST framework to ESVA sub-basin resolution with locally calibrated per-capita loading, attenuation, and denitrification coefficients. Would resolve the sub-basin realities problem flagged in cross-cutting theme 3.3 and give planners a defensible local number rather than a Bay-wide average.</w:t>
      </w:r>
    </w:p>
    <w:p>
      <w:pPr>
        <w:numPr>
          <w:ilvl w:val="0"/>
          <w:numId w:val="1003"/>
        </w:numPr>
      </w:pPr>
      <w:r>
        <w:rPr>
          <w:bCs/>
          <w:b/>
        </w:rPr>
        <w:t xml:space="preserve">Field ecology of actual ESVA drainfield footprints.</w:t>
      </w:r>
      <w:r>
        <w:t xml:space="preserve"> </w:t>
      </w:r>
      <w:r>
        <w:t xml:space="preserve">Paired vegetation, soil microbial, and adjacent-habitat surveys at a stratified sample of drainfields from functioning to severely failing. Would produce the first ESVA-specific ecological documentation of Pathway 6 and is an ideal ESCC capstone.</w:t>
      </w:r>
    </w:p>
    <w:p>
      <w:pPr>
        <w:numPr>
          <w:ilvl w:val="0"/>
          <w:numId w:val="1003"/>
        </w:numPr>
      </w:pPr>
      <w:r>
        <w:rPr>
          <w:bCs/>
          <w:b/>
        </w:rPr>
        <w:t xml:space="preserve">Seagrass meadow safety-margin modeling for the seaside restoration.</w:t>
      </w:r>
      <w:r>
        <w:t xml:space="preserve"> </w:t>
      </w:r>
      <w:r>
        <w:t xml:space="preserve">Couple Hesamfar et al. groundwater N delivery projections with VIMS</w:t>
      </w:r>
      <w:r>
        <w:t xml:space="preserve"> </w:t>
      </w:r>
      <w:r>
        <w:rPr>
          <w:iCs/>
          <w:i/>
        </w:rPr>
        <w:t xml:space="preserve">Zostera</w:t>
      </w:r>
      <w:r>
        <w:t xml:space="preserve"> </w:t>
      </w:r>
      <w:r>
        <w:t xml:space="preserve">meadow condition and bay scallop recruitment dynamics to quantify how close the restoration is to its loading threshold under plausible scenarios. Connects Pathways 1, 3b, and 5 into a single high-stakes modeling question.</w:t>
      </w:r>
    </w:p>
    <w:p>
      <w:pPr>
        <w:numPr>
          <w:ilvl w:val="0"/>
          <w:numId w:val="1003"/>
        </w:numPr>
      </w:pPr>
      <w:r>
        <w:rPr>
          <w:bCs/>
          <w:b/>
        </w:rPr>
        <w:t xml:space="preserve">Legacy-loading tail characterization.</w:t>
      </w:r>
      <w:r>
        <w:t xml:space="preserve"> </w:t>
      </w:r>
      <w:r>
        <w:t xml:space="preserve">How long after a septic system is taken out of service (through sewer connection, for instance) does the decommissioned drainfield soil continue to leach nitrogen to groundwater? This matters for HRSD Route 13 sewer expansion planning and for any retrofit cost-benefit analysis.</w:t>
      </w:r>
    </w:p>
    <w:p>
      <w:pPr>
        <w:numPr>
          <w:ilvl w:val="0"/>
          <w:numId w:val="1003"/>
        </w:numPr>
      </w:pPr>
      <w:r>
        <w:rPr>
          <w:bCs/>
          <w:b/>
        </w:rPr>
        <w:t xml:space="preserve">Partitioned marsh retreat attribution.</w:t>
      </w:r>
      <w:r>
        <w:t xml:space="preserve"> </w:t>
      </w:r>
      <w:r>
        <w:t xml:space="preserve">Distinguish the contribution of chronic N loading (the Deegan mechanism) from sea-level-rise drowning in observed ESVA marsh retreat rates, using either high-resolution aerial change analysis paired with loading estimates or experimental manipulation.</w:t>
      </w:r>
    </w:p>
    <w:p>
      <w:pPr>
        <w:pStyle w:val="FirstParagraph"/>
      </w:pPr>
      <w:r>
        <w:t xml:space="preserve">Together these eight gaps define a coherent research agenda for the Expansion Stage of the project and provide ready-made questions for ESCC capstone framing.</w:t>
      </w:r>
    </w:p>
    <w:bookmarkEnd w:id="32"/>
    <w:bookmarkStart w:id="33" w:name="Xeee81206d5d608405890e029cacd496d03cfd28"/>
    <w:p>
      <w:pPr>
        <w:pStyle w:val="Heading2"/>
      </w:pPr>
      <w:r>
        <w:t xml:space="preserve">6. What this synthesis means for the ESVA Septic Project</w:t>
      </w:r>
    </w:p>
    <w:p>
      <w:pPr>
        <w:pStyle w:val="FirstParagraph"/>
      </w:pPr>
      <w:r>
        <w:t xml:space="preserve">The synthesis produces a small number of findings that are directly actionable for the project’s thrusts and deliverables.</w:t>
      </w:r>
    </w:p>
    <w:p>
      <w:pPr>
        <w:pStyle w:val="BodyText"/>
      </w:pPr>
      <w:r>
        <w:rPr>
          <w:bCs/>
          <w:b/>
        </w:rPr>
        <w:t xml:space="preserve">For Thrust 1 (monitoring and early warning).</w:t>
      </w:r>
      <w:r>
        <w:t xml:space="preserve"> </w:t>
      </w:r>
      <w:r>
        <w:t xml:space="preserve">The Pathway 1 finding that sea-level rise is progressively de-rating drainfields provides the central scientific justification for a monitoring approach that measures the unsaturated-zone thickness beneath drainfields rather than failure events themselves. The cross-cutting message is that the project’s monitoring design should focus on precursors of failure (water-table proximity, saturation frequency) rather than outcomes (surfacing effluent), because the system is already on a failure trajectory and the useful signal is how fast it is moving.</w:t>
      </w:r>
    </w:p>
    <w:p>
      <w:pPr>
        <w:pStyle w:val="BodyText"/>
      </w:pPr>
      <w:r>
        <w:rPr>
          <w:bCs/>
          <w:b/>
        </w:rPr>
        <w:t xml:space="preserve">For Thrust 2 (decision-support platform).</w:t>
      </w:r>
      <w:r>
        <w:t xml:space="preserve"> </w:t>
      </w:r>
      <w:r>
        <w:t xml:space="preserve">The sub-basin realities theme (3.3) implies that the decision-support tool must operate at sub-basin resolution and must not rely on Bay-wide averages. The Pathway 3a resolution of the 6% vs. 3.3% figure gives the project defensible language for communicating why the local number is higher than the Bay-wide one. The faunal cascade through SAV (theme 3.5) gives the tool a clear way to represent ecological stakes: changes in septic loading map to changes in SAV condition map to changes in everything above SAV in the food web.</w:t>
      </w:r>
    </w:p>
    <w:p>
      <w:pPr>
        <w:pStyle w:val="BodyText"/>
      </w:pPr>
      <w:r>
        <w:rPr>
          <w:bCs/>
          <w:b/>
        </w:rPr>
        <w:t xml:space="preserve">For Thrust 3 (data infrastructure).</w:t>
      </w:r>
      <w:r>
        <w:t xml:space="preserve"> </w:t>
      </w:r>
      <w:r>
        <w:t xml:space="preserve">The consolidated data-gap list in Section 5 is itself the Thrust 3 roadmap. The top three gaps — source attribution, microbial source tracking, and direct groundwater monitoring — are the highest-value investments and should anchor the project’s outreach to agency and academic partners who can carry forward field sampling campaigns.</w:t>
      </w:r>
    </w:p>
    <w:p>
      <w:pPr>
        <w:pStyle w:val="BodyText"/>
      </w:pPr>
      <w:r>
        <w:rPr>
          <w:bCs/>
          <w:b/>
        </w:rPr>
        <w:t xml:space="preserve">For Thrust 4 (financing and regional coordination).</w:t>
      </w:r>
      <w:r>
        <w:t xml:space="preserve"> </w:t>
      </w:r>
      <w:r>
        <w:t xml:space="preserve">The cross-cutting finding that ESVA septic vulnerability is getting worse without any physical infrastructure change (theme 3.1) is the strongest possible argument for the project’s financing pathway work. A system whose functional failure rate is climbing under climate change is not a one-time retrofit question; it is a sustained infrastructure investment that will continue to need funding and governance attention for decades.</w:t>
      </w:r>
    </w:p>
    <w:p>
      <w:pPr>
        <w:pStyle w:val="BodyText"/>
      </w:pPr>
      <w:r>
        <w:rPr>
          <w:bCs/>
          <w:b/>
        </w:rPr>
        <w:t xml:space="preserve">For ESCC capstone projects.</w:t>
      </w:r>
      <w:r>
        <w:t xml:space="preserve"> </w:t>
      </w:r>
      <w:r>
        <w:t xml:space="preserve">The pathway files collectively identify roughly 30 actionable data gaps framed at a capstone-appropriate scale. The file</w:t>
      </w:r>
      <w:r>
        <w:t xml:space="preserve"> </w:t>
      </w:r>
      <w:r>
        <w:rPr>
          <w:rStyle w:val="VerbatimChar"/>
        </w:rPr>
        <w:t xml:space="preserve">ECOLOGICAL_CAPSTONE_IDEAS.md</w:t>
      </w:r>
      <w:r>
        <w:t xml:space="preserve"> </w:t>
      </w:r>
      <w:r>
        <w:t xml:space="preserve">(to be produced in a follow-up phase) will select and flesh out the highest-value subset, with method, data source, and deliverable specified for each.</w:t>
      </w:r>
    </w:p>
    <w:p>
      <w:pPr>
        <w:pStyle w:val="BodyText"/>
      </w:pPr>
      <w:r>
        <w:rPr>
          <w:bCs/>
          <w:b/>
        </w:rPr>
        <w:t xml:space="preserve">For future outreach adaptation.</w:t>
      </w:r>
      <w:r>
        <w:t xml:space="preserve"> </w:t>
      </w:r>
      <w:r>
        <w:t xml:space="preserve">This scholarly synthesis is intentionally not the public-facing version. The strength-of-evidence discipline developed here — ESTABLISHED / STRONGLY SUPPORTED / PLAUSIBLE / SPECULATIVE — should carry over into outreach materials, so that articles, fact sheets, and community presentations are accurate about what is known and what is inferred. The seaside seagrass restoration story and the Chincoteague drinking-water-pipe historical irony are examples of ESVA-specific ecological facts that are both defensible and narratively powerful, and that could anchor future outreach materials without stretching the evidence.</w:t>
      </w:r>
    </w:p>
    <w:p>
      <w:r>
        <w:pict>
          <v:rect style="width:0;height:1.5pt" o:hralign="center" o:hrstd="t" o:hr="t"/>
        </w:pict>
      </w:r>
    </w:p>
    <w:p>
      <w:pPr>
        <w:pStyle w:val="FirstParagraph"/>
      </w:pPr>
      <w:r>
        <w:rPr>
          <w:iCs/>
          <w:i/>
        </w:rPr>
        <w:t xml:space="preserve">End of master synthesis. Full pathway treatments in</w:t>
      </w:r>
      <w:r>
        <w:rPr>
          <w:iCs/>
          <w:i/>
        </w:rPr>
        <w:t xml:space="preserve"> </w:t>
      </w:r>
      <w:r>
        <w:rPr>
          <w:rStyle w:val="VerbatimChar"/>
          <w:iCs/>
          <w:i/>
        </w:rPr>
        <w:t xml:space="preserve">research/pathway_1</w:t>
      </w:r>
      <w:r>
        <w:rPr>
          <w:iCs/>
          <w:i/>
        </w:rPr>
        <w:t xml:space="preserve"> </w:t>
      </w:r>
      <w:r>
        <w:rPr>
          <w:iCs/>
          <w:i/>
        </w:rPr>
        <w:t xml:space="preserve">through</w:t>
      </w:r>
      <w:r>
        <w:rPr>
          <w:iCs/>
          <w:i/>
        </w:rPr>
        <w:t xml:space="preserve"> </w:t>
      </w:r>
      <w:r>
        <w:rPr>
          <w:rStyle w:val="VerbatimChar"/>
          <w:iCs/>
          <w:i/>
        </w:rPr>
        <w:t xml:space="preserve">research/pathway_6</w:t>
      </w:r>
      <w:r>
        <w:rPr>
          <w:iCs/>
          <w:i/>
        </w:rPr>
        <w:t xml:space="preserve">; deduplicated bibliography in</w:t>
      </w:r>
      <w:r>
        <w:rPr>
          <w:iCs/>
          <w:i/>
        </w:rPr>
        <w:t xml:space="preserve"> </w:t>
      </w:r>
      <w:r>
        <w:rPr>
          <w:rStyle w:val="VerbatimChar"/>
          <w:iCs/>
          <w:i/>
        </w:rPr>
        <w:t xml:space="preserve">ECOLOGICAL_BIBLIOGRAPHY.md</w:t>
      </w:r>
      <w:r>
        <w:rPr>
          <w:iCs/>
          <w:i/>
        </w:rPr>
        <w:t xml:space="preserve">; project scoping in</w:t>
      </w:r>
      <w:r>
        <w:rPr>
          <w:iCs/>
          <w:i/>
        </w:rPr>
        <w:t xml:space="preserve"> </w:t>
      </w:r>
      <w:r>
        <w:rPr>
          <w:rStyle w:val="VerbatimChar"/>
          <w:iCs/>
          <w:i/>
        </w:rPr>
        <w:t xml:space="preserve">ECOLOGICAL_RESEARCH_STRATEGY.md</w:t>
      </w:r>
      <w:r>
        <w:rPr>
          <w:iCs/>
          <w:i/>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2026-07-27T20:22:33Z</dcterms:created>
  <dcterms:modified xsi:type="dcterms:W3CDTF">2026-07-27T20:22:33Z</dcterms:modified>
</cp:coreProperties>
</file>

<file path=docProps/custom.xml><?xml version="1.0" encoding="utf-8"?>
<Properties xmlns="http://schemas.openxmlformats.org/officeDocument/2006/custom-properties" xmlns:vt="http://schemas.openxmlformats.org/officeDocument/2006/docPropsVTypes"/>
</file>