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Subhead: Three things compound it</w:t>
      </w:r>
    </w:p>
    <w:p>
      <w:pPr>
        <w:numPr>
          <w:ilvl w:val="0"/>
          <w:numId w:val="1001"/>
        </w:numPr>
        <w:pStyle w:val="Compact"/>
      </w:pPr>
      <w:r>
        <w:rPr>
          <w:bCs/>
          <w:b/>
        </w:rPr>
        <w:t xml:space="preserve">Age.</w:t>
      </w:r>
      <w:r>
        <w:t xml:space="preserve"> </w:t>
      </w:r>
      <w:r>
        <w:t xml:space="preserve">Many Shore systems date to the 1970s–80s. Installers report age and what gets flushed as the leading causes of failure they see.</w:t>
      </w:r>
    </w:p>
    <w:p>
      <w:pPr>
        <w:numPr>
          <w:ilvl w:val="0"/>
          <w:numId w:val="1001"/>
        </w:numPr>
        <w:pStyle w:val="Compact"/>
      </w:pPr>
      <w:r>
        <w:rPr>
          <w:bCs/>
          <w:b/>
        </w:rPr>
        <w:t xml:space="preserve">No reliable inventory.</w:t>
      </w:r>
      <w:r>
        <w:t xml:space="preserve"> </w:t>
      </w:r>
      <w:r>
        <w:t xml:space="preserve">Virginia has no complete record of where septic systems are, how old they are, or what condition they are in. State databases are sparsely populated for the Shore, so neither agencies nor owners can target maintenance.</w:t>
      </w:r>
    </w:p>
    <w:p>
      <w:pPr>
        <w:numPr>
          <w:ilvl w:val="0"/>
          <w:numId w:val="1001"/>
        </w:numPr>
        <w:pStyle w:val="Compact"/>
      </w:pPr>
      <w:r>
        <w:rPr>
          <w:bCs/>
          <w:b/>
        </w:rPr>
        <w:t xml:space="preserve">Information and cost barriers.</w:t>
      </w:r>
      <w:r>
        <w:t xml:space="preserve"> </w:t>
      </w:r>
      <w:r>
        <w:t xml:space="preserve">Nationally only</w:t>
      </w:r>
      <w:r>
        <w:t xml:space="preserve"> </w:t>
      </w:r>
      <w:r>
        <w:rPr>
          <w:bCs/>
          <w:b/>
        </w:rPr>
        <w:t xml:space="preserve">~32%</w:t>
      </w:r>
      <w:r>
        <w:t xml:space="preserve"> </w:t>
      </w:r>
      <w:r>
        <w:t xml:space="preserve">of owners meet recommended inspection intervals, and</w:t>
      </w:r>
      <w:r>
        <w:t xml:space="preserve"> </w:t>
      </w:r>
      <w:r>
        <w:rPr>
          <w:bCs/>
          <w:b/>
        </w:rPr>
        <w:t xml:space="preserve">~60%</w:t>
      </w:r>
      <w:r>
        <w:t xml:space="preserve"> </w:t>
      </w:r>
      <w:r>
        <w:t xml:space="preserve">of systems over 20 years old have</w:t>
      </w:r>
      <w:r>
        <w:t xml:space="preserve"> </w:t>
      </w:r>
      <w:r>
        <w:rPr>
          <w:bCs/>
          <w:b/>
        </w:rPr>
        <w:t xml:space="preserve">never been inspected</w:t>
      </w:r>
      <w:r>
        <w:t xml:space="preserve">. A pump-out runs $250–500 — a genuine barrier at Shore incomes, and assistance programs are under-used.</w:t>
      </w:r>
    </w:p>
    <w:p>
      <w:pPr>
        <w:pStyle w:val="FirstParagraph"/>
      </w:pPr>
      <w:r>
        <w:rPr>
          <w:bCs/>
          <w:b/>
        </w:rPr>
        <w:t xml:space="preserve">Caption:</w:t>
      </w:r>
      <w:r>
        <w:t xml:space="preserve"> </w:t>
      </w:r>
      <w:r>
        <w:t xml:space="preserve">Rising groundwater makes failure</w:t>
      </w:r>
      <w:r>
        <w:t xml:space="preserve"> </w:t>
      </w:r>
      <w:r>
        <w:rPr>
          <w:iCs/>
          <w:i/>
        </w:rPr>
        <w:t xml:space="preserve">progressive and unavoidable</w:t>
      </w:r>
      <w:r>
        <w:t xml:space="preserve">; age, records and maintenance determine</w:t>
      </w:r>
      <w:r>
        <w:t xml:space="preserve"> </w:t>
      </w:r>
      <w:r>
        <w:rPr>
          <w:iCs/>
          <w:i/>
        </w:rPr>
        <w:t xml:space="preserve">which systems fail first</w:t>
      </w:r>
      <w:r>
        <w:t xml:space="preserve">. Both are systemic, not individual, failings.</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the water supplying</w:t>
      </w:r>
      <w:r>
        <w:t xml:space="preserve"> </w:t>
      </w:r>
      <w:r>
        <w:rPr>
          <w:bCs/>
          <w:b/>
        </w:rPr>
        <w:t xml:space="preserve">Accomack County’s 30 tidal creeks</w:t>
      </w:r>
      <w:r>
        <w:t xml:space="preserve"> </w:t>
      </w:r>
      <w:r>
        <w:t xml:space="preserve">comes from</w:t>
      </w:r>
      <w:r>
        <w:t xml:space="preserve"> </w:t>
      </w:r>
      <w:r>
        <w:rPr>
          <w:bCs/>
          <w:b/>
        </w:rPr>
        <w:t xml:space="preserve">groundwater discharge</w:t>
      </w:r>
      <w:r>
        <w:t xml:space="preserve"> </w:t>
      </w:r>
      <w:r>
        <w:t xml:space="preserve">(Accomack County Regional Water Supply Plan, 2010). Shore-wide there are no significant surface streams — a fact EPA cited in the sole-source designation.</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Source resolved in v4 — see §11.</w:t>
      </w:r>
      <w:r>
        <w:t xml:space="preserve"> </w:t>
      </w:r>
      <w:r>
        <w:t xml:space="preserve">The 80% figure traces to the</w:t>
      </w:r>
      <w:r>
        <w:t xml:space="preserve"> </w:t>
      </w:r>
      <w:r>
        <w:rPr>
          <w:iCs/>
          <w:i/>
        </w:rPr>
        <w:t xml:space="preserve">Accomack County Regional Water Supply Plan</w:t>
      </w:r>
      <w:r>
        <w:t xml:space="preserve"> </w:t>
      </w:r>
      <w:r>
        <w:t xml:space="preserve">(April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Two things changed from the earlier draft: the figure is now attributed to its actual primary source rather than to sources that were never checked, and it is described as a share of the creeks’</w:t>
      </w:r>
      <w:r>
        <w:t xml:space="preserve"> </w:t>
      </w:r>
      <w:r>
        <w:rPr>
          <w:bCs/>
          <w:b/>
        </w:rPr>
        <w:t xml:space="preserve">supply/flow</w:t>
      </w:r>
      <w:r>
        <w:t xml:space="preserve"> </w:t>
      </w:r>
      <w:r>
        <w:t xml:space="preserve">rather than of</w:t>
      </w:r>
      <w:r>
        <w:t xml:space="preserve"> </w:t>
      </w:r>
      <w:r>
        <w:rPr>
          <w:bCs/>
          <w:b/>
        </w:rPr>
        <w:t xml:space="preserve">baseflow</w:t>
      </w:r>
      <w:r>
        <w:t xml:space="preserve"> </w:t>
      </w:r>
      <w:r>
        <w:t xml:space="preserve">(the earlier phrasing was near-tautological).</w:t>
      </w:r>
      <w:r>
        <w:t xml:space="preserve"> </w:t>
      </w:r>
      <w:r>
        <w:rPr>
          <w:bCs/>
          <w:b/>
        </w:rPr>
        <w:t xml:space="preserve">Scope note: this is an Accomack County figure. Do not present it as Shore-wide.</w:t>
      </w:r>
      <w:r>
        <w:t xml:space="preserve"> </w:t>
      </w:r>
      <w:r>
        <w:t xml:space="preserve">Northampton’s hydrogeologic setting is broadly similar, but no equivalent published figure has been located for it.</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Failure-driven?</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YES</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PARTLY</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NO</w:t>
            </w:r>
            <w:r>
              <w:t xml:space="preserve"> </w:t>
            </w:r>
            <w:r>
              <w:t xml:space="preserve">(gray)</w:t>
            </w:r>
          </w:p>
        </w:tc>
      </w:tr>
      <w:tr>
        <w:tc>
          <w:tcPr/>
          <w:p>
            <w:pPr>
              <w:pStyle w:val="Compact"/>
              <w:jc w:val="left"/>
            </w:pPr>
            <w:r>
              <w:rPr>
                <w:bCs/>
                <w:b/>
              </w:rPr>
              <w:t xml:space="preserve">PFAS &amp; pharmaceuticals</w:t>
            </w:r>
          </w:p>
        </w:tc>
        <w:tc>
          <w:tcPr/>
          <w:p>
            <w:pPr>
              <w:pStyle w:val="Compact"/>
              <w:jc w:val="left"/>
            </w:pPr>
            <w:r>
              <w:t xml:space="preserve">Pass through essentially unaltered</w:t>
            </w:r>
          </w:p>
        </w:tc>
        <w:tc>
          <w:tcPr/>
          <w:p>
            <w:pPr>
              <w:pStyle w:val="Compact"/>
              <w:jc w:val="left"/>
            </w:pPr>
            <w:r>
              <w:rPr>
                <w:bCs/>
                <w:b/>
              </w:rPr>
              <w:t xml:space="preserve">NO</w:t>
            </w:r>
            <w:r>
              <w:t xml:space="preserve"> </w:t>
            </w:r>
            <w:r>
              <w:t xml:space="preserve">(gray)</w:t>
            </w:r>
          </w:p>
        </w:tc>
      </w:tr>
    </w:tbl>
    <w:p>
      <w:pPr>
        <w:pStyle w:val="BodyText"/>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w:t>
            </w:r>
            <w:r>
              <w:t xml:space="preserve"> </w:t>
            </w:r>
            <w:r>
              <w:rPr>
                <w:bCs/>
                <w:b/>
              </w:rPr>
              <w:t xml:space="preserve">The aquifer is the delivery system</w:t>
            </w:r>
            <w:r>
              <w:t xml:space="preserve"> </w:t>
            </w:r>
            <w:r>
              <w:t xml:space="preserve">— what enters here arrives in the creeks, where nitrogen is the nutrient that drives coastal algal growth</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Algal mats; and — counter-intuitively —</w:t>
            </w:r>
            <w:r>
              <w:t xml:space="preserve"> </w:t>
            </w:r>
            <w:r>
              <w:rPr>
                <w:bCs/>
                <w:b/>
              </w:rPr>
              <w:t xml:space="preserve">marsh loss</w:t>
            </w:r>
            <w:r>
              <w:t xml:space="preserve">: enrichment grows more leaf but</w:t>
            </w:r>
            <w:r>
              <w:t xml:space="preserve"> </w:t>
            </w:r>
            <w:r>
              <w:rPr>
                <w:iCs/>
                <w:i/>
              </w:rPr>
              <w:t xml:space="preserve">fewer</w:t>
            </w:r>
            <w:r>
              <w:t xml:space="preserve"> </w:t>
            </w:r>
            <w:r>
              <w:t xml:space="preserve">bank-holding roots, so creek banks slump into the channel</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Subhead: Why marshes collapse when fertilised</w:t>
      </w:r>
    </w:p>
    <w:p>
      <w:pPr>
        <w:pStyle w:val="BodyText"/>
      </w:pPr>
      <w:r>
        <w:t xml:space="preserve">A creek bank is held together not by the stems you can see but by the dense mat of</w:t>
      </w:r>
      <w:r>
        <w:t xml:space="preserve"> </w:t>
      </w:r>
      <w:r>
        <w:rPr>
          <w:bCs/>
          <w:b/>
        </w:rPr>
        <w:t xml:space="preserve">roots and rhizomes</w:t>
      </w:r>
      <w:r>
        <w:t xml:space="preserve"> </w:t>
      </w:r>
      <w:r>
        <w:t xml:space="preserve">beneath it. Given abundant nitrogen, marsh grass stops investing in deep roots and puts growth into leaves instead — while the extra nitrogen also speeds microbial</w:t>
      </w:r>
      <w:r>
        <w:t xml:space="preserve"> </w:t>
      </w:r>
      <w:r>
        <w:rPr>
          <w:bCs/>
          <w:b/>
        </w:rPr>
        <w:t xml:space="preserve">decay of the peat</w:t>
      </w:r>
      <w:r>
        <w:t xml:space="preserve"> </w:t>
      </w:r>
      <w:r>
        <w:t xml:space="preserve">itself. The marsh looks greener above while losing its structure below, and banks crack and slump into the channel (Deegan et al. 2012).</w:t>
      </w:r>
    </w:p>
    <w:p>
      <w:pPr>
        <w:pStyle w:val="BodyText"/>
      </w:pPr>
      <w:r>
        <w:rPr>
          <w:iCs/>
          <w:i/>
        </w:rPr>
        <w:t xml:space="preserve">(Place this after the callout box below.)</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2"/>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2"/>
        </w:numPr>
        <w:pStyle w:val="Compact"/>
      </w:pPr>
      <w:r>
        <w:t xml:space="preserve">Warming</w:t>
      </w:r>
      <w:r>
        <w:t xml:space="preserve"> </w:t>
      </w:r>
      <w:r>
        <w:rPr>
          <w:bCs/>
          <w:b/>
        </w:rPr>
        <w:t xml:space="preserve">lowers eelgrass tolerance for nutrients</w:t>
      </w:r>
      <w:r>
        <w:t xml:space="preserve"> </w:t>
      </w:r>
      <w:r>
        <w:t xml:space="preserve">(Lefcheck et al. 2017). The link is</w:t>
      </w:r>
      <w:r>
        <w:t xml:space="preserve"> </w:t>
      </w:r>
      <w:r>
        <w:rPr>
          <w:bCs/>
          <w:b/>
        </w:rPr>
        <w:t xml:space="preserve">light</w:t>
      </w:r>
      <w:r>
        <w:t xml:space="preserve">: warm water forces the plant to respire faster, so it needs</w:t>
      </w:r>
      <w:r>
        <w:t xml:space="preserve"> </w:t>
      </w:r>
      <w:r>
        <w:rPr>
          <w:iCs/>
          <w:i/>
        </w:rPr>
        <w:t xml:space="preserve">more</w:t>
      </w:r>
      <w:r>
        <w:t xml:space="preserve"> </w:t>
      </w:r>
      <w:r>
        <w:t xml:space="preserve">light to break even — while nutrients feed a film of algae on the blades and in the water that delivers</w:t>
      </w:r>
      <w:r>
        <w:t xml:space="preserve"> </w:t>
      </w:r>
      <w:r>
        <w:rPr>
          <w:iCs/>
          <w:i/>
        </w:rPr>
        <w:t xml:space="preserve">less</w:t>
      </w:r>
      <w:r>
        <w:t xml:space="preserve">. The two stressors squeeze from opposite sides.</w:t>
      </w:r>
    </w:p>
    <w:p>
      <w:pPr>
        <w:numPr>
          <w:ilvl w:val="0"/>
          <w:numId w:val="1002"/>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2"/>
        </w:numPr>
        <w:pStyle w:val="Compact"/>
      </w:pPr>
      <w:r>
        <w:t xml:space="preserve">Sea-level-vulnerable septic systems concentrate in the low-lying shoreline parcels that sit</w:t>
      </w:r>
      <w:r>
        <w:t xml:space="preserve"> </w:t>
      </w:r>
      <w:r>
        <w:rPr>
          <w:bCs/>
          <w:b/>
        </w:rPr>
        <w:t xml:space="preserve">directly above classified shellfish waters</w:t>
      </w:r>
      <w:r>
        <w:t xml:space="preserve">. Oyster, Willis Wharf, Quinby, Wachapreague, Saxis, Chincoteague and Cape Charles are named as particularly exposed (Mitchell et al. 2021; Va. Wastewater Infrastructure Working Group, RD883, 2021).</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3"/>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3"/>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3"/>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3"/>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3"/>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3"/>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4"/>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4"/>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4"/>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4"/>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4"/>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4"/>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5"/>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5"/>
        </w:numPr>
        <w:pStyle w:val="Compact"/>
      </w:pPr>
      <w:r>
        <w:t xml:space="preserve">Press</w:t>
      </w:r>
      <w:r>
        <w:t xml:space="preserve"> </w:t>
      </w:r>
      <w:r>
        <w:rPr>
          <w:bCs/>
          <w:b/>
        </w:rPr>
        <w:t xml:space="preserve">Ctrl/Cmd + P</w:t>
      </w:r>
      <w:r>
        <w:t xml:space="preserve">.</w:t>
      </w:r>
    </w:p>
    <w:p>
      <w:pPr>
        <w:numPr>
          <w:ilvl w:val="0"/>
          <w:numId w:val="1005"/>
        </w:numPr>
        <w:pStyle w:val="Compact"/>
      </w:pPr>
      <w:r>
        <w:t xml:space="preserve">Destination:</w:t>
      </w:r>
      <w:r>
        <w:t xml:space="preserve"> </w:t>
      </w:r>
      <w:r>
        <w:rPr>
          <w:bCs/>
          <w:b/>
        </w:rPr>
        <w:t xml:space="preserve">Save as PDF</w:t>
      </w:r>
    </w:p>
    <w:p>
      <w:pPr>
        <w:numPr>
          <w:ilvl w:val="0"/>
          <w:numId w:val="1005"/>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5"/>
        </w:numPr>
        <w:pStyle w:val="Compact"/>
      </w:pPr>
      <w:r>
        <w:t xml:space="preserve">Margins:</w:t>
      </w:r>
      <w:r>
        <w:t xml:space="preserve"> </w:t>
      </w:r>
      <w:r>
        <w:rPr>
          <w:bCs/>
          <w:b/>
        </w:rPr>
        <w:t xml:space="preserve">None</w:t>
      </w:r>
    </w:p>
    <w:p>
      <w:pPr>
        <w:numPr>
          <w:ilvl w:val="0"/>
          <w:numId w:val="1005"/>
        </w:numPr>
        <w:pStyle w:val="Compact"/>
      </w:pPr>
      <w:r>
        <w:rPr>
          <w:bCs/>
          <w:b/>
        </w:rPr>
        <w:t xml:space="preserve">Background graphics: ON</w:t>
      </w:r>
      <w:r>
        <w:t xml:space="preserve"> </w:t>
      </w:r>
      <w:r>
        <w:t xml:space="preserve">← essential, or all color blocks disappear</w:t>
      </w:r>
    </w:p>
    <w:p>
      <w:pPr>
        <w:numPr>
          <w:ilvl w:val="0"/>
          <w:numId w:val="1005"/>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6"/>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6"/>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6"/>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6"/>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6"/>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6"/>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6"/>
        </w:numPr>
        <w:pStyle w:val="Compact"/>
      </w:pPr>
      <w:r>
        <w:t xml:space="preserve">☐ Proofread the pathway table — it is the densest text on the poster</w:t>
      </w:r>
    </w:p>
    <w:p>
      <w:pPr>
        <w:numPr>
          <w:ilvl w:val="0"/>
          <w:numId w:val="1006"/>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6"/>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Added and verified in v5: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Nutrient enrichment increases above-ground leaf biomass,</w:t>
            </w:r>
            <w:r>
              <w:t xml:space="preserve"> </w:t>
            </w:r>
            <w:r>
              <w:rPr>
                <w:bCs/>
                <w:b/>
              </w:rPr>
              <w:t xml:space="preserve">decreases</w:t>
            </w:r>
            <w:r>
              <w:t xml:space="preserve"> </w:t>
            </w:r>
            <w:r>
              <w:t xml:space="preserve">below-ground bank-stabilising root biomass, and increases microbial decomposition — reducing geomorphic stability and causing creek-bank collapse</w:t>
            </w:r>
          </w:p>
        </w:tc>
        <w:tc>
          <w:tcPr/>
          <w:p>
            <w:pPr>
              <w:pStyle w:val="Compact"/>
              <w:jc w:val="left"/>
            </w:pPr>
            <w:r>
              <w:t xml:space="preserve">✅ Verified</w:t>
            </w:r>
          </w:p>
        </w:tc>
        <w:tc>
          <w:tcPr/>
          <w:p>
            <w:pPr>
              <w:pStyle w:val="Compact"/>
              <w:jc w:val="left"/>
            </w:pPr>
            <w:r>
              <w:t xml:space="preserve">Deegan et al. 2012,</w:t>
            </w:r>
            <w:r>
              <w:t xml:space="preserve"> </w:t>
            </w:r>
            <w:r>
              <w:rPr>
                <w:iCs/>
                <w:i/>
              </w:rPr>
              <w:t xml:space="preserve">Nature</w:t>
            </w:r>
            <w:r>
              <w:t xml:space="preserve"> </w:t>
            </w:r>
            <w:r>
              <w:t xml:space="preserve">490:388–392 (9-yr whole-ecosystem experiment).</w:t>
            </w:r>
            <w:r>
              <w:t xml:space="preserve"> </w:t>
            </w:r>
            <w:r>
              <w:rPr>
                <w:bCs/>
                <w:b/>
              </w:rPr>
              <w:t xml:space="preserve">Caveat retained:</w:t>
            </w:r>
            <w:r>
              <w:t xml:space="preserve"> </w:t>
            </w:r>
            <w:r>
              <w:t xml:space="preserve">loading was ~10× ambient; operation at current ESVA loading is PLAUSIBLE, not established.</w:t>
            </w:r>
          </w:p>
        </w:tc>
      </w:tr>
      <w:tr>
        <w:tc>
          <w:tcPr/>
          <w:p>
            <w:pPr>
              <w:pStyle w:val="Compact"/>
              <w:jc w:val="left"/>
            </w:pPr>
            <w:r>
              <w:t xml:space="preserve">Warming raises eelgrass light requirement (faster respiration → more light needed for positive carbon balance) while nutrients reduce light via epiphytes on the blades and water-column algae</w:t>
            </w:r>
          </w:p>
        </w:tc>
        <w:tc>
          <w:tcPr/>
          <w:p>
            <w:pPr>
              <w:pStyle w:val="Compact"/>
              <w:jc w:val="left"/>
            </w:pPr>
            <w:r>
              <w:t xml:space="preserve">✅ Verified</w:t>
            </w:r>
          </w:p>
        </w:tc>
        <w:tc>
          <w:tcPr/>
          <w:p>
            <w:pPr>
              <w:pStyle w:val="Compact"/>
              <w:jc w:val="left"/>
            </w:pPr>
            <w:r>
              <w:t xml:space="preserve">Lefcheck et al. 2017,</w:t>
            </w:r>
            <w:r>
              <w:t xml:space="preserve"> </w:t>
            </w:r>
            <w:r>
              <w:rPr>
                <w:iCs/>
                <w:i/>
              </w:rPr>
              <w:t xml:space="preserve">Glob. Change Biol.</w:t>
            </w:r>
            <w:r>
              <w:t xml:space="preserve"> </w:t>
            </w:r>
            <w:r>
              <w:t xml:space="preserve">23:3474–3483; corroborated by the seagrass–eutrophication literature (Burkholder et al. 2007). Mechanism is</w:t>
            </w:r>
            <w:r>
              <w:t xml:space="preserve"> </w:t>
            </w:r>
            <w:r>
              <w:rPr>
                <w:bCs/>
                <w:b/>
              </w:rPr>
              <w:t xml:space="preserve">light limitation</w:t>
            </w:r>
            <w:r>
              <w:t xml:space="preserve">, not direct nutrient toxicity.</w:t>
            </w:r>
          </w:p>
        </w:tc>
      </w:tr>
      <w:tr>
        <w:tc>
          <w:tcPr/>
          <w:p>
            <w:pPr>
              <w:pStyle w:val="Compact"/>
              <w:jc w:val="left"/>
            </w:pPr>
            <w:r>
              <w:t xml:space="preserve">~32% of owners meet recommended inspection intervals; ~60% of systems &gt;20 yrs old never inspected; pump-out $250–500</w:t>
            </w:r>
          </w:p>
        </w:tc>
        <w:tc>
          <w:tcPr/>
          <w:p>
            <w:pPr>
              <w:pStyle w:val="Compact"/>
              <w:jc w:val="left"/>
            </w:pPr>
            <w:r>
              <w:t xml:space="preserve">✅ Verified —</w:t>
            </w:r>
            <w:r>
              <w:t xml:space="preserve"> </w:t>
            </w:r>
            <w:r>
              <w:rPr>
                <w:bCs/>
                <w:b/>
              </w:rPr>
              <w:t xml:space="preserve">scope note</w:t>
            </w:r>
          </w:p>
        </w:tc>
        <w:tc>
          <w:tcPr/>
          <w:p>
            <w:pPr>
              <w:pStyle w:val="Compact"/>
              <w:jc w:val="left"/>
            </w:pPr>
            <w:r>
              <w:t xml:space="preserve">Center for Rural Pennsylvania homeowner survey; EPA guidance.</w:t>
            </w:r>
            <w:r>
              <w:t xml:space="preserve"> </w:t>
            </w:r>
            <w:r>
              <w:rPr>
                <w:bCs/>
                <w:b/>
              </w:rPr>
              <w:t xml:space="preserve">These are rural-analogue/national figures, not ESVA-specific.</w:t>
            </w:r>
            <w:r>
              <w:t xml:space="preserve"> </w:t>
            </w:r>
            <w:r>
              <w:t xml:space="preserve">Label them as such on the poster if challenged.</w:t>
            </w:r>
          </w:p>
        </w:tc>
      </w:tr>
      <w:tr>
        <w:tc>
          <w:tcPr/>
          <w:p>
            <w:pPr>
              <w:pStyle w:val="Compact"/>
              <w:jc w:val="left"/>
            </w:pPr>
            <w:r>
              <w:t xml:space="preserve">ESVA septic vulnerability concentrates in shoreline-proximal, low-elevation parcels above classified shellfish waters; Oyster, Willis Wharf, Quinby, Wachapreague, Saxis, Chincoteague, Cape Charles named as particularly exposed</w:t>
            </w:r>
          </w:p>
        </w:tc>
        <w:tc>
          <w:tcPr/>
          <w:p>
            <w:pPr>
              <w:pStyle w:val="Compact"/>
              <w:jc w:val="left"/>
            </w:pPr>
            <w:r>
              <w:t xml:space="preserve">✅ Verified —</w:t>
            </w:r>
            <w:r>
              <w:t xml:space="preserve"> </w:t>
            </w:r>
            <w:r>
              <w:rPr>
                <w:bCs/>
                <w:b/>
              </w:rPr>
              <w:t xml:space="preserve">phrasing tightened</w:t>
            </w:r>
          </w:p>
        </w:tc>
        <w:tc>
          <w:tcPr/>
          <w:p>
            <w:pPr>
              <w:pStyle w:val="Compact"/>
              <w:jc w:val="left"/>
            </w:pPr>
            <w:r>
              <w:t xml:space="preserve">Mitchell et al. 2021 (parcel-level vulnerability mapping); Va. Wastewater Infrastructure Policy Working Group, RD883 (2021) (town list).</w:t>
            </w:r>
            <w:r>
              <w:t xml:space="preserve"> </w:t>
            </w:r>
            <w:r>
              <w:rPr>
                <w:bCs/>
                <w:b/>
              </w:rPr>
              <w:t xml:space="preserve">An earlier draft said closure areas and septic clusters</w:t>
            </w:r>
            <w:r>
              <w:rPr>
                <w:bCs/>
                <w:b/>
              </w:rPr>
              <w:t xml:space="preserve"> </w:t>
            </w:r>
            <w:r>
              <w:rPr>
                <w:bCs/>
                <w:b/>
              </w:rPr>
              <w:t xml:space="preserve">“</w:t>
            </w:r>
            <w:r>
              <w:rPr>
                <w:bCs/>
                <w:b/>
              </w:rPr>
              <w:t xml:space="preserve">occupy the same ground.</w:t>
            </w:r>
            <w:r>
              <w:rPr>
                <w:bCs/>
                <w:b/>
              </w:rPr>
              <w:t xml:space="preserve">”</w:t>
            </w:r>
            <w:r>
              <w:t xml:space="preserve"> </w:t>
            </w:r>
            <w:r>
              <w:t xml:space="preserve">The sources support</w:t>
            </w:r>
            <w:r>
              <w:t xml:space="preserve"> </w:t>
            </w:r>
            <w:r>
              <w:rPr>
                <w:iCs/>
                <w:i/>
              </w:rPr>
              <w:t xml:space="preserve">vulnerability concentrating adjacent to classified shellfish waters</w:t>
            </w:r>
            <w:r>
              <w:t xml:space="preserve">; they do</w:t>
            </w:r>
            <w:r>
              <w:t xml:space="preserve"> </w:t>
            </w:r>
            <w:r>
              <w:rPr>
                <w:bCs/>
                <w:b/>
              </w:rPr>
              <w:t xml:space="preserve">not</w:t>
            </w:r>
            <w:r>
              <w:t xml:space="preserve"> </w:t>
            </w:r>
            <w:r>
              <w:t xml:space="preserve">publish a joint overlay of DSS closure areas against septic vulnerability. See the student-project note below.</w:t>
            </w:r>
          </w:p>
        </w:tc>
      </w:tr>
    </w:tbl>
    <w:p>
      <w:pPr>
        <w:pStyle w:val="BlockText"/>
      </w:pPr>
      <w:r>
        <w:rPr>
          <w:bCs/>
          <w:b/>
        </w:rPr>
        <w:t xml:space="preserve">★ Student project opportunity.</w:t>
      </w:r>
      <w:r>
        <w:t xml:space="preserve"> </w:t>
      </w:r>
      <w:r>
        <w:t xml:space="preserve">The stronger version of that last claim — an actual overlay of VDH Division of Shellfish Safety closure areas against Mitchell’s septic-vulnerability layer —</w:t>
      </w:r>
      <w:r>
        <w:t xml:space="preserve"> </w:t>
      </w:r>
      <w:r>
        <w:rPr>
          <w:bCs/>
          <w:b/>
        </w:rPr>
        <w:t xml:space="preserve">has not been published and both datasets are public.</w:t>
      </w:r>
      <w:r>
        <w:t xml:space="preserve"> </w:t>
      </w:r>
      <w:r>
        <w:t xml:space="preserve">Doing that overlay would (a) make the claim citable as</w:t>
      </w:r>
      <w:r>
        <w:t xml:space="preserve"> </w:t>
      </w:r>
      <w:r>
        <w:t xml:space="preserve">“</w:t>
      </w:r>
      <w:r>
        <w:t xml:space="preserve">this study,</w:t>
      </w:r>
      <w:r>
        <w:t xml:space="preserve">”</w:t>
      </w:r>
      <w:r>
        <w:t xml:space="preserve"> </w:t>
      </w:r>
      <w:r>
        <w:t xml:space="preserve">(b) produce a genuine figure for the poster, and (c) be a real, semester-scale contribution with the student as first author. This is the highest-value single addition available to this poster.</w:t>
      </w:r>
    </w:p>
    <w:p>
      <w:pPr>
        <w:pStyle w:val="FirstParagraph"/>
      </w:pPr>
      <w:r>
        <w:rPr>
          <w:bCs/>
          <w:b/>
        </w:rPr>
        <w:t xml:space="preserve">✅ RESOLVED in v4 — source located: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w:t>
            </w:r>
            <w:r>
              <w:t xml:space="preserve">~80% of the water supplying Accomack County’s 30 tidal creeks comes from groundwater discharge</w:t>
            </w:r>
            <w:r>
              <w:t xml:space="preserve">”</w:t>
            </w:r>
          </w:p>
        </w:tc>
        <w:tc>
          <w:tcPr/>
          <w:p>
            <w:pPr>
              <w:pStyle w:val="Compact"/>
              <w:jc w:val="left"/>
            </w:pPr>
            <w:r>
              <w:rPr>
                <w:bCs/>
                <w:b/>
              </w:rPr>
              <w:t xml:space="preserve">Verified.</w:t>
            </w:r>
            <w:r>
              <w:t xml:space="preserve"> </w:t>
            </w:r>
            <w:r>
              <w:rPr>
                <w:iCs/>
                <w:i/>
              </w:rPr>
              <w:t xml:space="preserve">Accomack County Regional Water Supply Plan</w:t>
            </w:r>
            <w:r>
              <w:t xml:space="preserve">, 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Available via A-NPDC (</w:t>
            </w:r>
            <w:r>
              <w:rPr>
                <w:rStyle w:val="VerbatimChar"/>
              </w:rPr>
              <w:t xml:space="preserve">a-npdc.org/groundwater/</w:t>
            </w:r>
            <w:r>
              <w:t xml:space="preserve">) and esvaplan.org.</w:t>
            </w:r>
            <w:r>
              <w:t xml:space="preserve"> </w:t>
            </w:r>
            <w:r>
              <w:rPr>
                <w:bCs/>
                <w:b/>
              </w:rPr>
              <w:t xml:space="preserve">Scope: Accomack County only</w:t>
            </w:r>
            <w:r>
              <w:t xml:space="preserve"> </w:t>
            </w:r>
            <w:r>
              <w:t xml:space="preserve">— do not extend to Northampton or present as Shore-wide.</w:t>
            </w:r>
            <w:r>
              <w:t xml:space="preserve"> </w:t>
            </w:r>
            <w:r>
              <w:rPr>
                <w:bCs/>
                <w:b/>
              </w:rPr>
              <w:t xml:space="preserve">Phrasing: a share of creek supply/flow, not of</w:t>
            </w:r>
            <w:r>
              <w:rPr>
                <w:bCs/>
                <w:b/>
              </w:rPr>
              <w:t xml:space="preserve"> </w:t>
            </w:r>
            <w:r>
              <w:rPr>
                <w:bCs/>
                <w:b/>
              </w:rPr>
              <w:t xml:space="preserve">“</w:t>
            </w:r>
            <w:r>
              <w:rPr>
                <w:bCs/>
                <w:b/>
              </w:rPr>
              <w:t xml:space="preserve">baseflow</w:t>
            </w:r>
            <w:r>
              <w:rPr>
                <w:bCs/>
                <w:b/>
              </w:rPr>
              <w:t xml:space="preserve">”</w:t>
            </w:r>
            <w:r>
              <w:t xml:space="preserve"> </w:t>
            </w:r>
            <w:r>
              <w:t xml:space="preserve">(baseflow is by definition the groundwater component, so the earlier wording was near-tautological).</w:t>
            </w:r>
          </w:p>
        </w:tc>
      </w:tr>
    </w:tbl>
    <w:p>
      <w:pPr>
        <w:pStyle w:val="BodyText"/>
      </w:pPr>
      <w:r>
        <w:rPr>
          <w:iCs/>
          <w:i/>
        </w:rPr>
        <w:t xml:space="preserve">History of this figure, kept as a caution:</w:t>
      </w:r>
      <w:r>
        <w:t xml:space="preserve"> </w:t>
      </w:r>
      <w:r>
        <w:t xml:space="preserve">it first entered the project via a web-search snippet from virginiaplaces.org (a secondary educational site) and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w:t>
      </w:r>
      <w:r>
        <w:t xml:space="preserve"> </w:t>
      </w:r>
      <w:r>
        <w:rPr>
          <w:bCs/>
          <w:b/>
        </w:rPr>
        <w:t xml:space="preserve">sources that were never checked and do not appear to be its origin.</w:t>
      </w:r>
      <w:r>
        <w:t xml:space="preserve"> </w:t>
      </w:r>
      <w:r>
        <w:t xml:space="preserve">The number was real all along; the failure was citing plausible-sounding sources instead of tracking down the actual one. Alex Foxworthy located the primary source. Treat this as the standard for every other quantitative claim in the repository.</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7"/>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7"/>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7"/>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12</w:t>
            </w:r>
          </w:p>
        </w:tc>
        <w:tc>
          <w:tcPr/>
          <w:p>
            <w:pPr>
              <w:pStyle w:val="Compact"/>
              <w:jc w:val="left"/>
            </w:pPr>
            <w:r>
              <w:t xml:space="preserve">Failure framed as driven solely by the rising water table</w:t>
            </w:r>
          </w:p>
        </w:tc>
        <w:tc>
          <w:tcPr/>
          <w:p>
            <w:pPr>
              <w:pStyle w:val="Compact"/>
              <w:jc w:val="left"/>
            </w:pPr>
            <w:r>
              <w:rPr>
                <w:bCs/>
                <w:b/>
              </w:rPr>
              <w:t xml:space="preserve">Broadened (v5).</w:t>
            </w:r>
            <w:r>
              <w:t xml:space="preserve"> </w:t>
            </w:r>
            <w:r>
              <w:t xml:space="preserve">Added</w:t>
            </w:r>
            <w:r>
              <w:t xml:space="preserve"> </w:t>
            </w:r>
            <w:r>
              <w:t xml:space="preserve">“</w:t>
            </w:r>
            <w:r>
              <w:t xml:space="preserve">Three things compound it</w:t>
            </w:r>
            <w:r>
              <w:t xml:space="preserve">”</w:t>
            </w:r>
            <w:r>
              <w:t xml:space="preserve">: age, absence of any reliable septic inventory, and information/cost barriers (~32% meet inspection intervals; ~60% of 20-yr-old systems never inspected). Framed as</w:t>
            </w:r>
            <w:r>
              <w:t xml:space="preserve"> </w:t>
            </w:r>
            <w:r>
              <w:rPr>
                <w:iCs/>
                <w:i/>
              </w:rPr>
              <w:t xml:space="preserve">systemic</w:t>
            </w:r>
            <w:r>
              <w:t xml:space="preserve">, not individual, failings so the</w:t>
            </w:r>
            <w:r>
              <w:t xml:space="preserve"> </w:t>
            </w:r>
            <w:r>
              <w:t xml:space="preserve">“</w:t>
            </w:r>
            <w:r>
              <w:t xml:space="preserve">not your fault</w:t>
            </w:r>
            <w:r>
              <w:t xml:space="preserve">”</w:t>
            </w:r>
            <w:r>
              <w:t xml:space="preserve"> </w:t>
            </w:r>
            <w:r>
              <w:t xml:space="preserve">message survives.</w:t>
            </w:r>
          </w:p>
        </w:tc>
      </w:tr>
      <w:tr>
        <w:tc>
          <w:tcPr/>
          <w:p>
            <w:pPr>
              <w:pStyle w:val="Compact"/>
              <w:jc w:val="left"/>
            </w:pPr>
            <w:r>
              <w:t xml:space="preserve">13</w:t>
            </w:r>
          </w:p>
        </w:tc>
        <w:tc>
          <w:tcPr/>
          <w:p>
            <w:pPr>
              <w:pStyle w:val="Compact"/>
              <w:jc w:val="left"/>
            </w:pPr>
            <w:r>
              <w:t xml:space="preserve">Pathway 1 gave mechanism but never said why it matters</w:t>
            </w:r>
          </w:p>
        </w:tc>
        <w:tc>
          <w:tcPr/>
          <w:p>
            <w:pPr>
              <w:pStyle w:val="Compact"/>
              <w:jc w:val="left"/>
            </w:pPr>
            <w:r>
              <w:rPr>
                <w:bCs/>
                <w:b/>
              </w:rPr>
              <w:t xml:space="preserve">Fixed.</w:t>
            </w:r>
            <w:r>
              <w:t xml:space="preserve"> </w:t>
            </w:r>
            <w:r>
              <w:t xml:space="preserve">Now:</w:t>
            </w:r>
            <w:r>
              <w:t xml:space="preserve"> </w:t>
            </w:r>
            <w:r>
              <w:t xml:space="preserve">“</w:t>
            </w:r>
            <w:r>
              <w:t xml:space="preserve">The aquifer is the delivery system — what enters here arrives in the creeks, where nitrogen is the nutrient that drives coastal algal growth.</w:t>
            </w:r>
            <w:r>
              <w:t xml:space="preserve">”</w:t>
            </w:r>
          </w:p>
        </w:tc>
      </w:tr>
      <w:tr>
        <w:tc>
          <w:tcPr/>
          <w:p>
            <w:pPr>
              <w:pStyle w:val="Compact"/>
              <w:jc w:val="left"/>
            </w:pPr>
            <w:r>
              <w:t xml:space="preserve">14</w:t>
            </w:r>
          </w:p>
        </w:tc>
        <w:tc>
          <w:tcPr/>
          <w:p>
            <w:pPr>
              <w:pStyle w:val="Compact"/>
              <w:jc w:val="left"/>
            </w:pPr>
            <w:r>
              <w:t xml:space="preserve">“</w:t>
            </w:r>
            <w:r>
              <w:t xml:space="preserve">Marsh peat breakdown and creek-bank collapse</w:t>
            </w:r>
            <w:r>
              <w:t xml:space="preserve">”</w:t>
            </w:r>
            <w:r>
              <w:t xml:space="preserve"> </w:t>
            </w:r>
            <w:r>
              <w:t xml:space="preserve">was opaque</w:t>
            </w:r>
          </w:p>
        </w:tc>
        <w:tc>
          <w:tcPr/>
          <w:p>
            <w:pPr>
              <w:pStyle w:val="Compact"/>
              <w:jc w:val="left"/>
            </w:pPr>
            <w:r>
              <w:rPr>
                <w:bCs/>
                <w:b/>
              </w:rPr>
              <w:t xml:space="preserve">Explained.</w:t>
            </w:r>
            <w:r>
              <w:t xml:space="preserve"> </w:t>
            </w:r>
            <w:r>
              <w:t xml:space="preserve">New Column 3 block: banks are held by the below-ground root/rhizome mat, not visible stems; nitrogen shifts growth to leaves and speeds peat decay, so the marsh looks greener above while losing structure below. This is exactly the intuition Deegan et al. 2012 overturned.</w:t>
            </w:r>
          </w:p>
        </w:tc>
      </w:tr>
      <w:tr>
        <w:tc>
          <w:tcPr/>
          <w:p>
            <w:pPr>
              <w:pStyle w:val="Compact"/>
              <w:jc w:val="left"/>
            </w:pPr>
            <w:r>
              <w:t xml:space="preserve">15</w:t>
            </w:r>
          </w:p>
        </w:tc>
        <w:tc>
          <w:tcPr/>
          <w:p>
            <w:pPr>
              <w:pStyle w:val="Compact"/>
              <w:jc w:val="left"/>
            </w:pPr>
            <w:r>
              <w:t xml:space="preserve">“</w:t>
            </w:r>
            <w:r>
              <w:t xml:space="preserve">Warming lowers eelgrass tolerance for nutrients</w:t>
            </w:r>
            <w:r>
              <w:t xml:space="preserve">”</w:t>
            </w:r>
            <w:r>
              <w:t xml:space="preserve"> </w:t>
            </w:r>
            <w:r>
              <w:t xml:space="preserve">unexplained</w:t>
            </w:r>
          </w:p>
        </w:tc>
        <w:tc>
          <w:tcPr/>
          <w:p>
            <w:pPr>
              <w:pStyle w:val="Compact"/>
              <w:jc w:val="left"/>
            </w:pPr>
            <w:r>
              <w:rPr>
                <w:bCs/>
                <w:b/>
              </w:rPr>
              <w:t xml:space="preserve">Explained.</w:t>
            </w:r>
            <w:r>
              <w:t xml:space="preserve"> </w:t>
            </w:r>
            <w:r>
              <w:t xml:space="preserve">The mechanism is</w:t>
            </w:r>
            <w:r>
              <w:t xml:space="preserve"> </w:t>
            </w:r>
            <w:r>
              <w:rPr>
                <w:bCs/>
                <w:b/>
              </w:rPr>
              <w:t xml:space="preserve">light</w:t>
            </w:r>
            <w:r>
              <w:t xml:space="preserve">, not toxicity or resource competition: warming raises the light requirement; nutrients grow algae on the blades and in the water that lower light delivered.</w:t>
            </w:r>
          </w:p>
        </w:tc>
      </w:tr>
      <w:tr>
        <w:tc>
          <w:tcPr/>
          <w:p>
            <w:pPr>
              <w:pStyle w:val="Compact"/>
              <w:jc w:val="left"/>
            </w:pPr>
            <w:r>
              <w:t xml:space="preserve">16</w:t>
            </w:r>
          </w:p>
        </w:tc>
        <w:tc>
          <w:tcPr/>
          <w:p>
            <w:pPr>
              <w:pStyle w:val="Compact"/>
              <w:jc w:val="left"/>
            </w:pPr>
            <w:r>
              <w:t xml:space="preserve">Shellfish/septic overlap had no citation</w:t>
            </w:r>
          </w:p>
        </w:tc>
        <w:tc>
          <w:tcPr/>
          <w:p>
            <w:pPr>
              <w:pStyle w:val="Compact"/>
              <w:jc w:val="left"/>
            </w:pPr>
            <w:r>
              <w:rPr>
                <w:bCs/>
                <w:b/>
              </w:rPr>
              <w:t xml:space="preserve">Cited and tightened</w:t>
            </w:r>
            <w:r>
              <w:t xml:space="preserve"> </w:t>
            </w:r>
            <w:r>
              <w:t xml:space="preserve">(Mitchell et al. 2021; RD883 2021), with the claim narrowed to what those sources actually support. Flagged as a student-project opportunity.</w:t>
            </w:r>
          </w:p>
        </w:tc>
      </w:tr>
      <w:tr>
        <w:tc>
          <w:tcPr/>
          <w:p>
            <w:pPr>
              <w:pStyle w:val="Compact"/>
              <w:jc w:val="left"/>
            </w:pPr>
            <w:r>
              <w:t xml:space="preserve">11</w:t>
            </w:r>
          </w:p>
        </w:tc>
        <w:tc>
          <w:tcPr/>
          <w:p>
            <w:pPr>
              <w:pStyle w:val="Compact"/>
              <w:jc w:val="left"/>
            </w:pPr>
            <w:r>
              <w:t xml:space="preserve">The ~80% groundwater figure was removed in v3 as unverifiable</w:t>
            </w:r>
          </w:p>
        </w:tc>
        <w:tc>
          <w:tcPr/>
          <w:p>
            <w:pPr>
              <w:pStyle w:val="Compact"/>
              <w:jc w:val="left"/>
            </w:pPr>
            <w:r>
              <w:rPr>
                <w:bCs/>
                <w:b/>
              </w:rPr>
              <w:t xml:space="preserve">Restored in v4</w:t>
            </w:r>
            <w:r>
              <w:t xml:space="preserve"> </w:t>
            </w:r>
            <w:r>
              <w:t xml:space="preserve">with its true source —</w:t>
            </w:r>
            <w:r>
              <w:t xml:space="preserve"> </w:t>
            </w:r>
            <w:r>
              <w:rPr>
                <w:iCs/>
                <w:i/>
              </w:rPr>
              <w:t xml:space="preserve">Accomack County Regional Water Supply Plan</w:t>
            </w:r>
            <w:r>
              <w:t xml:space="preserve"> </w:t>
            </w:r>
            <w:r>
              <w:t xml:space="preserve">(April 2010) — corrected phrasing (share of creek</w:t>
            </w:r>
            <w:r>
              <w:t xml:space="preserve"> </w:t>
            </w:r>
            <w:r>
              <w:rPr>
                <w:bCs/>
                <w:b/>
              </w:rPr>
              <w:t xml:space="preserve">supply</w:t>
            </w:r>
            <w:r>
              <w:t xml:space="preserve">, not baseflow), and an explicit</w:t>
            </w:r>
            <w:r>
              <w:t xml:space="preserve"> </w:t>
            </w:r>
            <w:r>
              <w:rPr>
                <w:bCs/>
                <w:b/>
              </w:rPr>
              <w:t xml:space="preserve">Accomack-only</w:t>
            </w:r>
            <w:r>
              <w:t xml:space="preserve"> </w:t>
            </w:r>
            <w:r>
              <w:t xml:space="preserve">scope note.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8"/>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8"/>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2026-07-27T20:22:35Z</dcterms:created>
  <dcterms:modified xsi:type="dcterms:W3CDTF">2026-07-27T20:22:35Z</dcterms:modified>
</cp:coreProperties>
</file>

<file path=docProps/custom.xml><?xml version="1.0" encoding="utf-8"?>
<Properties xmlns="http://schemas.openxmlformats.org/officeDocument/2006/custom-properties" xmlns:vt="http://schemas.openxmlformats.org/officeDocument/2006/docPropsVTypes"/>
</file>