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Nexus AI Growth Platform</w:t>
      </w:r>
    </w:p>
    <w:p>
      <w:pPr>
        <w:pStyle w:val="Subtitle"/>
      </w:pPr>
      <w:r>
        <w:t>Software Requirements Specification</w:t>
      </w:r>
    </w:p>
    <w:p>
      <w:r>
        <w:t>Version 1.0 | 24 October 2026 | Proposed full product scope</w:t>
      </w:r>
    </w:p>
    <w:p>
      <w:r>
        <w:t>This specification defines a subscription software product that business owners purchase to operate an AI growth team. Each customer connects their own business knowledge and tools, manages agent work, controls automation and pays for the software and applicable usage. The platform owner operates the service through a separate administration interface.</w:t>
      </w:r>
    </w:p>
    <w:p>
      <w:r>
        <w:t>The document describes the full target system, not a selected first release. Requirements marked “shall” describe the proposed baseline and become contractual only after stakeholder approval. Proposed numerical targets and unresolved commercial choices are explicitly identified. No delivery dates, final prices, revenue guarantees or completed backend implementation are implied.</w:t>
      </w:r>
    </w:p>
    <w:p>
      <w:r>
        <w:t>The product has one customer business workspace per tenant. There is no agency parent account, client subaccount hierarchy, reseller portal or cross-client operating model in this baseline. An agency can subscribe as an ordinary business customer for its own operations.</w:t>
      </w:r>
    </w:p>
    <w:p>
      <w:pPr>
        <w:pStyle w:val="Heading1"/>
      </w:pPr>
      <w:r>
        <w:t>Contents</w:t>
      </w:r>
    </w:p>
    <w:p>
      <w:r>
        <w:t>1. Purpose and product boundaries</w:t>
      </w:r>
    </w:p>
    <w:p>
      <w:r>
        <w:t>2. Terminology and actors</w:t>
      </w:r>
    </w:p>
    <w:p>
      <w:r>
        <w:t>3. Account model and permissions</w:t>
      </w:r>
    </w:p>
    <w:p>
      <w:r>
        <w:t>4. Customer journeys</w:t>
      </w:r>
    </w:p>
    <w:p>
      <w:r>
        <w:t>5. Functional requirements</w:t>
      </w:r>
    </w:p>
    <w:p>
      <w:r>
        <w:t>6. The 27 agent specifications</w:t>
      </w:r>
    </w:p>
    <w:p>
      <w:r>
        <w:t>7. Execution states and automation policy</w:t>
      </w:r>
    </w:p>
    <w:p>
      <w:r>
        <w:t>8. Credits and subscription rules</w:t>
      </w:r>
    </w:p>
    <w:p>
      <w:r>
        <w:t>9. System architecture</w:t>
      </w:r>
    </w:p>
    <w:p>
      <w:r>
        <w:t>10. Data model and isolation</w:t>
      </w:r>
    </w:p>
    <w:p>
      <w:r>
        <w:t>11. Interfaces and integration contracts</w:t>
      </w:r>
    </w:p>
    <w:p>
      <w:r>
        <w:t>12. Dashboard and user experience</w:t>
      </w:r>
    </w:p>
    <w:p>
      <w:r>
        <w:t>13. Nonfunctional requirements</w:t>
      </w:r>
    </w:p>
    <w:p>
      <w:r>
        <w:t>14. Security and data governance</w:t>
      </w:r>
    </w:p>
    <w:p>
      <w:r>
        <w:t>15. AI evaluation and release control</w:t>
      </w:r>
    </w:p>
    <w:p>
      <w:r>
        <w:t>16. Acceptance tests and traceability</w:t>
      </w:r>
    </w:p>
    <w:p>
      <w:r>
        <w:t>17. Measurement and product validation</w:t>
      </w:r>
    </w:p>
    <w:p>
      <w:r>
        <w:t>18. Dependencies and open decisions</w:t>
      </w:r>
    </w:p>
    <w:p>
      <w:r>
        <w:t>19. Scope decision worksheet</w:t>
      </w:r>
    </w:p>
    <w:p>
      <w:r>
        <w:t>20. Completion criteria</w:t>
      </w:r>
    </w:p>
    <w:p>
      <w:pPr>
        <w:pStyle w:val="Heading1"/>
      </w:pPr>
      <w:r>
        <w:t>1 Purpose and product boundaries</w:t>
      </w:r>
    </w:p>
    <w:p>
      <w:pPr>
        <w:pStyle w:val="Heading2"/>
      </w:pPr>
      <w:r>
        <w:t>1.1 Product purpose</w:t>
      </w:r>
    </w:p>
    <w:p>
      <w:r>
        <w:t>Nexus is a working name. The product enables customers to use specialist AI roles for prospect research, content preparation, outreach assistance, reply handling, sales preparation, proposals, call review and business reporting. Its visual headquarters makes operational work understandable; execution records, rather than animation, determine the state shown to the customer.</w:t>
      </w:r>
    </w:p>
    <w:p>
      <w:r>
        <w:t>The reference blueprint supplies the organizational concept of 12 operational departments, a shared Core and a Bank. The target product contains 14 rooms and 27 agent roles. Shared Core is provider-neutral. Bank is a read-only revenue reporting department, not a financial account or payment execution agent.</w:t>
      </w:r>
    </w:p>
    <w:p>
      <w:pPr>
        <w:pStyle w:val="Heading2"/>
      </w:pPr>
      <w:r>
        <w:t>1.2 Full baseline scope</w:t>
      </w:r>
    </w:p>
    <w:p>
      <w:r>
        <w:t>The baseline includes account registration, team membership within one business, business onboarding, knowledge management, all 27 role templates, workflow configuration, manual and automatic execution, approvals, a lightweight CRM, conversations, scheduling, content and proposal artifacts, channel integrations, notifications, usage accounting, subscriptions, customer support administration, observability, security, export and deletion.</w:t>
      </w:r>
    </w:p>
    <w:p>
      <w:r>
        <w:t>The reference dashboard concepts provide the visual direction: a dark holographic interface with an optional pixel-office view. A conventional accessible task interface is equally important and must expose the same controls and data.</w:t>
      </w:r>
    </w:p>
    <w:p>
      <w:pPr>
        <w:pStyle w:val="Heading2"/>
      </w:pPr>
      <w:r>
        <w:t>1.3 Explicitly outside the baseline</w:t>
      </w:r>
    </w:p>
    <w:p>
      <w:pPr>
        <w:pStyle w:val="ListBullet"/>
      </w:pPr>
      <w:r>
        <w:t>Agency-to-client account hierarchies, white-label resale and marketplace commissions.</w:t>
      </w:r>
    </w:p>
    <w:p>
      <w:pPr>
        <w:pStyle w:val="ListBullet"/>
      </w:pPr>
      <w:r>
        <w:t>A guarantee that all third-party platforms permit automated outreach or offer unrestricted APIs.</w:t>
      </w:r>
    </w:p>
    <w:p>
      <w:pPr>
        <w:pStyle w:val="ListBullet"/>
      </w:pPr>
      <w:r>
        <w:t>Unlimited AI usage, permanently free hosting or permanently free channel services.</w:t>
      </w:r>
    </w:p>
    <w:p>
      <w:pPr>
        <w:pStyle w:val="ListBullet"/>
      </w:pPr>
      <w:r>
        <w:t>Fully autonomous contract execution, money transfers, ad budget increases or pricing exceptions.</w:t>
      </w:r>
    </w:p>
    <w:p>
      <w:pPr>
        <w:pStyle w:val="ListBullet"/>
      </w:pPr>
      <w:r>
        <w:t>Development of a foundation model, telephone network, email hosting service or full accounting platform.</w:t>
      </w:r>
    </w:p>
    <w:p>
      <w:pPr>
        <w:pStyle w:val="ListBullet"/>
      </w:pPr>
      <w:r>
        <w:t>Native mobile applications, arbitrary customer code execution and a public third-party agent marketplace.</w:t>
      </w:r>
    </w:p>
    <w:p>
      <w:pPr>
        <w:pStyle w:val="ListBullet"/>
      </w:pPr>
      <w:r>
        <w:t>Guaranteed revenue increases, booked meetings or investor funding.</w:t>
      </w:r>
    </w:p>
    <w:p>
      <w:r>
        <w:t>These exclusions do not prevent future proposals. Adding them requires a scope change, dependency review and acceptance criteria.</w:t>
      </w:r>
    </w:p>
    <w:p>
      <w:pPr>
        <w:pStyle w:val="Heading1"/>
      </w:pPr>
      <w:r>
        <w:t>2 Terminology and actors</w:t>
      </w:r>
    </w:p>
    <w:p>
      <w:r>
        <w:t>Tenant means one subscribed customer business and its isolation boundary. Workspace means that business's working environment; the two are one-to-one in this specification. An agent role is a reusable task definition, while an agent instance is that role configured for a particular workspace. A run is one execution of a task or workflow. A step is a bounded action inside a run. A tool action changes or reads an external system. A credit is a customer-facing usage unit; it is distinct from provider tokens and actual provider cost.</w:t>
      </w:r>
    </w:p>
    <w:p>
      <w:r>
        <w:t>Customer Owner manages subscription, members, knowledge, integrations and automation policy. Customer Manager operates approved workflows and reviews output. Operator prepares work and executes permitted tasks. Viewer reads authorized records and reports. Billing Manager handles financial account settings without automatically receiving access to message bodies or business documents.</w:t>
      </w:r>
    </w:p>
    <w:p>
      <w:r>
        <w:t>Platform Administrator operates the service, plans, feature flags and incidents. Platform Support receives limited diagnostics and, where explicitly granted, temporary customer support access. Background workers and webhook receivers are service actors with scoped credentials, not human owners.</w:t>
      </w:r>
    </w:p>
    <w:p>
      <w:pPr>
        <w:pStyle w:val="Heading1"/>
      </w:pPr>
      <w:r>
        <w:t>3 Account model and permissions</w:t>
      </w:r>
    </w:p>
    <w:p>
      <w:pPr>
        <w:pStyle w:val="Heading2"/>
      </w:pPr>
      <w:r>
        <w:t>3.1 Permission baseline</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952"/>
        <w:gridCol w:w="864"/>
        <w:gridCol w:w="1080"/>
        <w:gridCol w:w="1008"/>
        <w:gridCol w:w="864"/>
        <w:gridCol w:w="1627"/>
      </w:tblGrid>
      <w:tr>
        <w:trPr>
          <w:cantSplit/>
          <w:tblHeader/>
        </w:trPr>
        <w:tc>
          <w:tcPr>
            <w:tcW w:type="dxa" w:w="2952"/>
            <w:vAlign w:val="center"/>
            <w:shd w:fill="20344A"/>
            <w:tcMar>
              <w:top w:w="85" w:type="dxa"/>
              <w:bottom w:w="85" w:type="dxa"/>
              <w:left w:w="85" w:type="dxa"/>
              <w:right w:w="85" w:type="dxa"/>
            </w:tcMar>
          </w:tcPr>
          <w:p>
            <w:pPr>
              <w:spacing w:before="80" w:after="80" w:line="252" w:lineRule="auto"/>
            </w:pPr>
            <w:r>
              <w:rPr>
                <w:b/>
                <w:color w:val="FFFFFF"/>
                <w:sz w:val="18"/>
              </w:rPr>
              <w:t>Capability</w:t>
            </w:r>
          </w:p>
        </w:tc>
        <w:tc>
          <w:tcPr>
            <w:tcW w:type="dxa" w:w="864"/>
            <w:vAlign w:val="center"/>
            <w:shd w:fill="20344A"/>
            <w:tcMar>
              <w:top w:w="85" w:type="dxa"/>
              <w:bottom w:w="85" w:type="dxa"/>
              <w:left w:w="85" w:type="dxa"/>
              <w:right w:w="85" w:type="dxa"/>
            </w:tcMar>
          </w:tcPr>
          <w:p>
            <w:pPr>
              <w:spacing w:before="80" w:after="80" w:line="252" w:lineRule="auto"/>
              <w:jc w:val="center"/>
            </w:pPr>
            <w:r>
              <w:rPr>
                <w:b/>
                <w:color w:val="FFFFFF"/>
                <w:sz w:val="18"/>
              </w:rPr>
              <w:t>Owner</w:t>
            </w:r>
          </w:p>
        </w:tc>
        <w:tc>
          <w:tcPr>
            <w:tcW w:type="dxa" w:w="1080"/>
            <w:vAlign w:val="center"/>
            <w:shd w:fill="20344A"/>
            <w:tcMar>
              <w:top w:w="85" w:type="dxa"/>
              <w:bottom w:w="85" w:type="dxa"/>
              <w:left w:w="85" w:type="dxa"/>
              <w:right w:w="85" w:type="dxa"/>
            </w:tcMar>
          </w:tcPr>
          <w:p>
            <w:pPr>
              <w:spacing w:before="80" w:after="80" w:line="252" w:lineRule="auto"/>
              <w:jc w:val="center"/>
            </w:pPr>
            <w:r>
              <w:rPr>
                <w:b/>
                <w:color w:val="FFFFFF"/>
                <w:sz w:val="18"/>
              </w:rPr>
              <w:t>Manager</w:t>
            </w:r>
          </w:p>
        </w:tc>
        <w:tc>
          <w:tcPr>
            <w:tcW w:type="dxa" w:w="1008"/>
            <w:vAlign w:val="center"/>
            <w:shd w:fill="20344A"/>
            <w:tcMar>
              <w:top w:w="85" w:type="dxa"/>
              <w:bottom w:w="85" w:type="dxa"/>
              <w:left w:w="85" w:type="dxa"/>
              <w:right w:w="85" w:type="dxa"/>
            </w:tcMar>
          </w:tcPr>
          <w:p>
            <w:pPr>
              <w:spacing w:before="80" w:after="80" w:line="252" w:lineRule="auto"/>
              <w:jc w:val="center"/>
            </w:pPr>
            <w:r>
              <w:rPr>
                <w:b/>
                <w:color w:val="FFFFFF"/>
                <w:sz w:val="18"/>
              </w:rPr>
              <w:t>Operator</w:t>
            </w:r>
          </w:p>
        </w:tc>
        <w:tc>
          <w:tcPr>
            <w:tcW w:type="dxa" w:w="864"/>
            <w:vAlign w:val="center"/>
            <w:shd w:fill="20344A"/>
            <w:tcMar>
              <w:top w:w="85" w:type="dxa"/>
              <w:bottom w:w="85" w:type="dxa"/>
              <w:left w:w="85" w:type="dxa"/>
              <w:right w:w="85" w:type="dxa"/>
            </w:tcMar>
          </w:tcPr>
          <w:p>
            <w:pPr>
              <w:spacing w:before="80" w:after="80" w:line="252" w:lineRule="auto"/>
              <w:jc w:val="center"/>
            </w:pPr>
            <w:r>
              <w:rPr>
                <w:b/>
                <w:color w:val="FFFFFF"/>
                <w:sz w:val="18"/>
              </w:rPr>
              <w:t>Viewer</w:t>
            </w:r>
          </w:p>
        </w:tc>
        <w:tc>
          <w:tcPr>
            <w:tcW w:type="dxa" w:w="1627"/>
            <w:vAlign w:val="center"/>
            <w:shd w:fill="20344A"/>
            <w:tcMar>
              <w:top w:w="85" w:type="dxa"/>
              <w:bottom w:w="85" w:type="dxa"/>
              <w:left w:w="85" w:type="dxa"/>
              <w:right w:w="85" w:type="dxa"/>
            </w:tcMar>
          </w:tcPr>
          <w:p>
            <w:pPr>
              <w:spacing w:before="80" w:after="80" w:line="252" w:lineRule="auto"/>
              <w:jc w:val="center"/>
            </w:pPr>
            <w:r>
              <w:rPr>
                <w:b/>
                <w:color w:val="FFFFFF"/>
                <w:sz w:val="18"/>
              </w:rPr>
              <w:t>Billing Manager</w:t>
            </w:r>
          </w:p>
        </w:tc>
      </w:tr>
      <w:tr>
        <w:trPr>
          <w:cantSplit/>
        </w:trPr>
        <w:tc>
          <w:tcPr>
            <w:tcW w:type="dxa" w:w="2952"/>
            <w:vAlign w:val="center"/>
            <w:shd w:fill="F1F4F7"/>
            <w:tcMar>
              <w:top w:w="85" w:type="dxa"/>
              <w:bottom w:w="85" w:type="dxa"/>
              <w:left w:w="85" w:type="dxa"/>
              <w:right w:w="85" w:type="dxa"/>
            </w:tcMar>
          </w:tcPr>
          <w:p>
            <w:pPr>
              <w:spacing w:before="80" w:after="80" w:line="252" w:lineRule="auto"/>
            </w:pPr>
            <w:r>
              <w:rPr>
                <w:sz w:val="18"/>
              </w:rPr>
              <w:t>Read permitted business records</w:t>
            </w:r>
          </w:p>
        </w:tc>
        <w:tc>
          <w:tcPr>
            <w:tcW w:type="dxa" w:w="864"/>
            <w:vAlign w:val="center"/>
            <w:shd w:fill="F1F4F7"/>
            <w:tcMar>
              <w:top w:w="85" w:type="dxa"/>
              <w:bottom w:w="85" w:type="dxa"/>
              <w:left w:w="85" w:type="dxa"/>
              <w:right w:w="85" w:type="dxa"/>
            </w:tcMar>
          </w:tcPr>
          <w:p>
            <w:pPr>
              <w:spacing w:before="80" w:after="80" w:line="252" w:lineRule="auto"/>
              <w:jc w:val="center"/>
            </w:pPr>
            <w:r>
              <w:rPr>
                <w:sz w:val="18"/>
              </w:rPr>
              <w:t>Yes</w:t>
            </w:r>
          </w:p>
        </w:tc>
        <w:tc>
          <w:tcPr>
            <w:tcW w:type="dxa" w:w="1080"/>
            <w:vAlign w:val="center"/>
            <w:shd w:fill="F1F4F7"/>
            <w:tcMar>
              <w:top w:w="85" w:type="dxa"/>
              <w:bottom w:w="85" w:type="dxa"/>
              <w:left w:w="85" w:type="dxa"/>
              <w:right w:w="85" w:type="dxa"/>
            </w:tcMar>
          </w:tcPr>
          <w:p>
            <w:pPr>
              <w:spacing w:before="80" w:after="80" w:line="252" w:lineRule="auto"/>
              <w:jc w:val="center"/>
            </w:pPr>
            <w:r>
              <w:rPr>
                <w:sz w:val="18"/>
              </w:rPr>
              <w:t>Yes</w:t>
            </w:r>
          </w:p>
        </w:tc>
        <w:tc>
          <w:tcPr>
            <w:tcW w:type="dxa" w:w="1008"/>
            <w:vAlign w:val="center"/>
            <w:shd w:fill="F1F4F7"/>
            <w:tcMar>
              <w:top w:w="85" w:type="dxa"/>
              <w:bottom w:w="85" w:type="dxa"/>
              <w:left w:w="85" w:type="dxa"/>
              <w:right w:w="85" w:type="dxa"/>
            </w:tcMar>
          </w:tcPr>
          <w:p>
            <w:pPr>
              <w:spacing w:before="80" w:after="80" w:line="252" w:lineRule="auto"/>
              <w:jc w:val="center"/>
            </w:pPr>
            <w:r>
              <w:rPr>
                <w:sz w:val="18"/>
              </w:rPr>
              <w:t>Yes</w:t>
            </w:r>
          </w:p>
        </w:tc>
        <w:tc>
          <w:tcPr>
            <w:tcW w:type="dxa" w:w="864"/>
            <w:vAlign w:val="center"/>
            <w:shd w:fill="F1F4F7"/>
            <w:tcMar>
              <w:top w:w="85" w:type="dxa"/>
              <w:bottom w:w="85" w:type="dxa"/>
              <w:left w:w="85" w:type="dxa"/>
              <w:right w:w="85" w:type="dxa"/>
            </w:tcMar>
          </w:tcPr>
          <w:p>
            <w:pPr>
              <w:spacing w:before="80" w:after="80" w:line="252" w:lineRule="auto"/>
              <w:jc w:val="center"/>
            </w:pPr>
            <w:r>
              <w:rPr>
                <w:sz w:val="18"/>
              </w:rPr>
              <w:t>Yes</w:t>
            </w:r>
          </w:p>
        </w:tc>
        <w:tc>
          <w:tcPr>
            <w:tcW w:type="dxa" w:w="1627"/>
            <w:vAlign w:val="center"/>
            <w:shd w:fill="F1F4F7"/>
            <w:tcMar>
              <w:top w:w="85" w:type="dxa"/>
              <w:bottom w:w="85" w:type="dxa"/>
              <w:left w:w="85" w:type="dxa"/>
              <w:right w:w="85" w:type="dxa"/>
            </w:tcMar>
          </w:tcPr>
          <w:p>
            <w:pPr>
              <w:spacing w:before="80" w:after="80" w:line="252" w:lineRule="auto"/>
              <w:jc w:val="center"/>
            </w:pPr>
            <w:r>
              <w:rPr>
                <w:sz w:val="18"/>
              </w:rPr>
              <w:t>No by default</w:t>
            </w:r>
          </w:p>
        </w:tc>
      </w:tr>
      <w:tr>
        <w:trPr>
          <w:cantSplit/>
        </w:trPr>
        <w:tc>
          <w:tcPr>
            <w:tcW w:type="dxa" w:w="2952"/>
            <w:vAlign w:val="center"/>
            <w:shd w:fill="FFFFFF"/>
            <w:tcMar>
              <w:top w:w="85" w:type="dxa"/>
              <w:bottom w:w="85" w:type="dxa"/>
              <w:left w:w="85" w:type="dxa"/>
              <w:right w:w="85" w:type="dxa"/>
            </w:tcMar>
          </w:tcPr>
          <w:p>
            <w:pPr>
              <w:spacing w:before="80" w:after="80" w:line="252" w:lineRule="auto"/>
            </w:pPr>
            <w:r>
              <w:rPr>
                <w:sz w:val="18"/>
              </w:rPr>
              <w:t>Create drafts and tasks</w:t>
            </w:r>
          </w:p>
        </w:tc>
        <w:tc>
          <w:tcPr>
            <w:tcW w:type="dxa" w:w="864"/>
            <w:vAlign w:val="center"/>
            <w:shd w:fill="FFFFFF"/>
            <w:tcMar>
              <w:top w:w="85" w:type="dxa"/>
              <w:bottom w:w="85" w:type="dxa"/>
              <w:left w:w="85" w:type="dxa"/>
              <w:right w:w="85" w:type="dxa"/>
            </w:tcMar>
          </w:tcPr>
          <w:p>
            <w:pPr>
              <w:spacing w:before="80" w:after="80" w:line="252" w:lineRule="auto"/>
              <w:jc w:val="center"/>
            </w:pPr>
            <w:r>
              <w:rPr>
                <w:sz w:val="18"/>
              </w:rPr>
              <w:t>Yes</w:t>
            </w:r>
          </w:p>
        </w:tc>
        <w:tc>
          <w:tcPr>
            <w:tcW w:type="dxa" w:w="1080"/>
            <w:vAlign w:val="center"/>
            <w:shd w:fill="FFFFFF"/>
            <w:tcMar>
              <w:top w:w="85" w:type="dxa"/>
              <w:bottom w:w="85" w:type="dxa"/>
              <w:left w:w="85" w:type="dxa"/>
              <w:right w:w="85" w:type="dxa"/>
            </w:tcMar>
          </w:tcPr>
          <w:p>
            <w:pPr>
              <w:spacing w:before="80" w:after="80" w:line="252" w:lineRule="auto"/>
              <w:jc w:val="center"/>
            </w:pPr>
            <w:r>
              <w:rPr>
                <w:sz w:val="18"/>
              </w:rPr>
              <w:t>Yes</w:t>
            </w:r>
          </w:p>
        </w:tc>
        <w:tc>
          <w:tcPr>
            <w:tcW w:type="dxa" w:w="1008"/>
            <w:vAlign w:val="center"/>
            <w:shd w:fill="FFFFFF"/>
            <w:tcMar>
              <w:top w:w="85" w:type="dxa"/>
              <w:bottom w:w="85" w:type="dxa"/>
              <w:left w:w="85" w:type="dxa"/>
              <w:right w:w="85" w:type="dxa"/>
            </w:tcMar>
          </w:tcPr>
          <w:p>
            <w:pPr>
              <w:spacing w:before="80" w:after="80" w:line="252" w:lineRule="auto"/>
              <w:jc w:val="center"/>
            </w:pPr>
            <w:r>
              <w:rPr>
                <w:sz w:val="18"/>
              </w:rPr>
              <w:t>Yes</w:t>
            </w:r>
          </w:p>
        </w:tc>
        <w:tc>
          <w:tcPr>
            <w:tcW w:type="dxa" w:w="864"/>
            <w:vAlign w:val="center"/>
            <w:shd w:fill="FFFFFF"/>
            <w:tcMar>
              <w:top w:w="85" w:type="dxa"/>
              <w:bottom w:w="85" w:type="dxa"/>
              <w:left w:w="85" w:type="dxa"/>
              <w:right w:w="85" w:type="dxa"/>
            </w:tcMar>
          </w:tcPr>
          <w:p>
            <w:pPr>
              <w:spacing w:before="80" w:after="80" w:line="252" w:lineRule="auto"/>
              <w:jc w:val="center"/>
            </w:pPr>
            <w:r>
              <w:rPr>
                <w:sz w:val="18"/>
              </w:rPr>
              <w:t>No</w:t>
            </w:r>
          </w:p>
        </w:tc>
        <w:tc>
          <w:tcPr>
            <w:tcW w:type="dxa" w:w="1627"/>
            <w:vAlign w:val="center"/>
            <w:shd w:fill="FFFFFF"/>
            <w:tcMar>
              <w:top w:w="85" w:type="dxa"/>
              <w:bottom w:w="85" w:type="dxa"/>
              <w:left w:w="85" w:type="dxa"/>
              <w:right w:w="85" w:type="dxa"/>
            </w:tcMar>
          </w:tcPr>
          <w:p>
            <w:pPr>
              <w:spacing w:before="80" w:after="80" w:line="252" w:lineRule="auto"/>
              <w:jc w:val="center"/>
            </w:pPr>
            <w:r>
              <w:rPr>
                <w:sz w:val="18"/>
              </w:rPr>
              <w:t>No</w:t>
            </w:r>
          </w:p>
        </w:tc>
      </w:tr>
      <w:tr>
        <w:trPr>
          <w:cantSplit/>
        </w:trPr>
        <w:tc>
          <w:tcPr>
            <w:tcW w:type="dxa" w:w="2952"/>
            <w:vAlign w:val="center"/>
            <w:shd w:fill="F1F4F7"/>
            <w:tcMar>
              <w:top w:w="85" w:type="dxa"/>
              <w:bottom w:w="85" w:type="dxa"/>
              <w:left w:w="85" w:type="dxa"/>
              <w:right w:w="85" w:type="dxa"/>
            </w:tcMar>
          </w:tcPr>
          <w:p>
            <w:pPr>
              <w:spacing w:before="80" w:after="80" w:line="252" w:lineRule="auto"/>
            </w:pPr>
            <w:r>
              <w:rPr>
                <w:sz w:val="18"/>
              </w:rPr>
              <w:t>Approve outbound work</w:t>
            </w:r>
          </w:p>
        </w:tc>
        <w:tc>
          <w:tcPr>
            <w:tcW w:type="dxa" w:w="864"/>
            <w:vAlign w:val="center"/>
            <w:shd w:fill="F1F4F7"/>
            <w:tcMar>
              <w:top w:w="85" w:type="dxa"/>
              <w:bottom w:w="85" w:type="dxa"/>
              <w:left w:w="85" w:type="dxa"/>
              <w:right w:w="85" w:type="dxa"/>
            </w:tcMar>
          </w:tcPr>
          <w:p>
            <w:pPr>
              <w:spacing w:before="80" w:after="80" w:line="252" w:lineRule="auto"/>
              <w:jc w:val="center"/>
            </w:pPr>
            <w:r>
              <w:rPr>
                <w:sz w:val="18"/>
              </w:rPr>
              <w:t>Yes</w:t>
            </w:r>
          </w:p>
        </w:tc>
        <w:tc>
          <w:tcPr>
            <w:tcW w:type="dxa" w:w="1080"/>
            <w:vAlign w:val="center"/>
            <w:shd w:fill="F1F4F7"/>
            <w:tcMar>
              <w:top w:w="85" w:type="dxa"/>
              <w:bottom w:w="85" w:type="dxa"/>
              <w:left w:w="85" w:type="dxa"/>
              <w:right w:w="85" w:type="dxa"/>
            </w:tcMar>
          </w:tcPr>
          <w:p>
            <w:pPr>
              <w:spacing w:before="80" w:after="80" w:line="252" w:lineRule="auto"/>
              <w:jc w:val="center"/>
            </w:pPr>
            <w:r>
              <w:rPr>
                <w:sz w:val="18"/>
              </w:rPr>
              <w:t>Granted scope</w:t>
            </w:r>
          </w:p>
        </w:tc>
        <w:tc>
          <w:tcPr>
            <w:tcW w:type="dxa" w:w="1008"/>
            <w:vAlign w:val="center"/>
            <w:shd w:fill="F1F4F7"/>
            <w:tcMar>
              <w:top w:w="85" w:type="dxa"/>
              <w:bottom w:w="85" w:type="dxa"/>
              <w:left w:w="85" w:type="dxa"/>
              <w:right w:w="85" w:type="dxa"/>
            </w:tcMar>
          </w:tcPr>
          <w:p>
            <w:pPr>
              <w:spacing w:before="80" w:after="80" w:line="252" w:lineRule="auto"/>
              <w:jc w:val="center"/>
            </w:pPr>
            <w:r>
              <w:rPr>
                <w:sz w:val="18"/>
              </w:rPr>
              <w:t>No by default</w:t>
            </w:r>
          </w:p>
        </w:tc>
        <w:tc>
          <w:tcPr>
            <w:tcW w:type="dxa" w:w="864"/>
            <w:vAlign w:val="center"/>
            <w:shd w:fill="F1F4F7"/>
            <w:tcMar>
              <w:top w:w="85" w:type="dxa"/>
              <w:bottom w:w="85" w:type="dxa"/>
              <w:left w:w="85" w:type="dxa"/>
              <w:right w:w="85" w:type="dxa"/>
            </w:tcMar>
          </w:tcPr>
          <w:p>
            <w:pPr>
              <w:spacing w:before="80" w:after="80" w:line="252" w:lineRule="auto"/>
              <w:jc w:val="center"/>
            </w:pPr>
            <w:r>
              <w:rPr>
                <w:sz w:val="18"/>
              </w:rPr>
              <w:t>No</w:t>
            </w:r>
          </w:p>
        </w:tc>
        <w:tc>
          <w:tcPr>
            <w:tcW w:type="dxa" w:w="1627"/>
            <w:vAlign w:val="center"/>
            <w:shd w:fill="F1F4F7"/>
            <w:tcMar>
              <w:top w:w="85" w:type="dxa"/>
              <w:bottom w:w="85" w:type="dxa"/>
              <w:left w:w="85" w:type="dxa"/>
              <w:right w:w="85" w:type="dxa"/>
            </w:tcMar>
          </w:tcPr>
          <w:p>
            <w:pPr>
              <w:spacing w:before="80" w:after="80" w:line="252" w:lineRule="auto"/>
              <w:jc w:val="center"/>
            </w:pPr>
            <w:r>
              <w:rPr>
                <w:sz w:val="18"/>
              </w:rPr>
              <w:t>No</w:t>
            </w:r>
          </w:p>
        </w:tc>
      </w:tr>
      <w:tr>
        <w:trPr>
          <w:cantSplit/>
        </w:trPr>
        <w:tc>
          <w:tcPr>
            <w:tcW w:type="dxa" w:w="2952"/>
            <w:vAlign w:val="center"/>
            <w:shd w:fill="FFFFFF"/>
            <w:tcMar>
              <w:top w:w="85" w:type="dxa"/>
              <w:bottom w:w="85" w:type="dxa"/>
              <w:left w:w="85" w:type="dxa"/>
              <w:right w:w="85" w:type="dxa"/>
            </w:tcMar>
          </w:tcPr>
          <w:p>
            <w:pPr>
              <w:spacing w:before="80" w:after="80" w:line="252" w:lineRule="auto"/>
            </w:pPr>
            <w:r>
              <w:rPr>
                <w:sz w:val="18"/>
              </w:rPr>
              <w:t>Enable automatic external actions</w:t>
            </w:r>
          </w:p>
        </w:tc>
        <w:tc>
          <w:tcPr>
            <w:tcW w:type="dxa" w:w="864"/>
            <w:vAlign w:val="center"/>
            <w:shd w:fill="FFFFFF"/>
            <w:tcMar>
              <w:top w:w="85" w:type="dxa"/>
              <w:bottom w:w="85" w:type="dxa"/>
              <w:left w:w="85" w:type="dxa"/>
              <w:right w:w="85" w:type="dxa"/>
            </w:tcMar>
          </w:tcPr>
          <w:p>
            <w:pPr>
              <w:spacing w:before="80" w:after="80" w:line="252" w:lineRule="auto"/>
              <w:jc w:val="center"/>
            </w:pPr>
            <w:r>
              <w:rPr>
                <w:sz w:val="18"/>
              </w:rPr>
              <w:t>Yes</w:t>
            </w:r>
          </w:p>
        </w:tc>
        <w:tc>
          <w:tcPr>
            <w:tcW w:type="dxa" w:w="1080"/>
            <w:vAlign w:val="center"/>
            <w:shd w:fill="FFFFFF"/>
            <w:tcMar>
              <w:top w:w="85" w:type="dxa"/>
              <w:bottom w:w="85" w:type="dxa"/>
              <w:left w:w="85" w:type="dxa"/>
              <w:right w:w="85" w:type="dxa"/>
            </w:tcMar>
          </w:tcPr>
          <w:p>
            <w:pPr>
              <w:spacing w:before="80" w:after="80" w:line="252" w:lineRule="auto"/>
              <w:jc w:val="center"/>
            </w:pPr>
            <w:r>
              <w:rPr>
                <w:sz w:val="18"/>
              </w:rPr>
              <w:t>No by default</w:t>
            </w:r>
          </w:p>
        </w:tc>
        <w:tc>
          <w:tcPr>
            <w:tcW w:type="dxa" w:w="1008"/>
            <w:vAlign w:val="center"/>
            <w:shd w:fill="FFFFFF"/>
            <w:tcMar>
              <w:top w:w="85" w:type="dxa"/>
              <w:bottom w:w="85" w:type="dxa"/>
              <w:left w:w="85" w:type="dxa"/>
              <w:right w:w="85" w:type="dxa"/>
            </w:tcMar>
          </w:tcPr>
          <w:p>
            <w:pPr>
              <w:spacing w:before="80" w:after="80" w:line="252" w:lineRule="auto"/>
              <w:jc w:val="center"/>
            </w:pPr>
            <w:r>
              <w:rPr>
                <w:sz w:val="18"/>
              </w:rPr>
              <w:t>No</w:t>
            </w:r>
          </w:p>
        </w:tc>
        <w:tc>
          <w:tcPr>
            <w:tcW w:type="dxa" w:w="864"/>
            <w:vAlign w:val="center"/>
            <w:shd w:fill="FFFFFF"/>
            <w:tcMar>
              <w:top w:w="85" w:type="dxa"/>
              <w:bottom w:w="85" w:type="dxa"/>
              <w:left w:w="85" w:type="dxa"/>
              <w:right w:w="85" w:type="dxa"/>
            </w:tcMar>
          </w:tcPr>
          <w:p>
            <w:pPr>
              <w:spacing w:before="80" w:after="80" w:line="252" w:lineRule="auto"/>
              <w:jc w:val="center"/>
            </w:pPr>
            <w:r>
              <w:rPr>
                <w:sz w:val="18"/>
              </w:rPr>
              <w:t>No</w:t>
            </w:r>
          </w:p>
        </w:tc>
        <w:tc>
          <w:tcPr>
            <w:tcW w:type="dxa" w:w="1627"/>
            <w:vAlign w:val="center"/>
            <w:shd w:fill="FFFFFF"/>
            <w:tcMar>
              <w:top w:w="85" w:type="dxa"/>
              <w:bottom w:w="85" w:type="dxa"/>
              <w:left w:w="85" w:type="dxa"/>
              <w:right w:w="85" w:type="dxa"/>
            </w:tcMar>
          </w:tcPr>
          <w:p>
            <w:pPr>
              <w:spacing w:before="80" w:after="80" w:line="252" w:lineRule="auto"/>
              <w:jc w:val="center"/>
            </w:pPr>
            <w:r>
              <w:rPr>
                <w:sz w:val="18"/>
              </w:rPr>
              <w:t>No</w:t>
            </w:r>
          </w:p>
        </w:tc>
      </w:tr>
      <w:tr>
        <w:trPr>
          <w:cantSplit/>
        </w:trPr>
        <w:tc>
          <w:tcPr>
            <w:tcW w:type="dxa" w:w="2952"/>
            <w:vAlign w:val="center"/>
            <w:shd w:fill="F1F4F7"/>
            <w:tcMar>
              <w:top w:w="85" w:type="dxa"/>
              <w:bottom w:w="85" w:type="dxa"/>
              <w:left w:w="85" w:type="dxa"/>
              <w:right w:w="85" w:type="dxa"/>
            </w:tcMar>
          </w:tcPr>
          <w:p>
            <w:pPr>
              <w:spacing w:before="80" w:after="80" w:line="252" w:lineRule="auto"/>
            </w:pPr>
            <w:r>
              <w:rPr>
                <w:sz w:val="18"/>
              </w:rPr>
              <w:t>Connect or revoke integrations</w:t>
            </w:r>
          </w:p>
        </w:tc>
        <w:tc>
          <w:tcPr>
            <w:tcW w:type="dxa" w:w="864"/>
            <w:vAlign w:val="center"/>
            <w:shd w:fill="F1F4F7"/>
            <w:tcMar>
              <w:top w:w="85" w:type="dxa"/>
              <w:bottom w:w="85" w:type="dxa"/>
              <w:left w:w="85" w:type="dxa"/>
              <w:right w:w="85" w:type="dxa"/>
            </w:tcMar>
          </w:tcPr>
          <w:p>
            <w:pPr>
              <w:spacing w:before="80" w:after="80" w:line="252" w:lineRule="auto"/>
              <w:jc w:val="center"/>
            </w:pPr>
            <w:r>
              <w:rPr>
                <w:sz w:val="18"/>
              </w:rPr>
              <w:t>Yes</w:t>
            </w:r>
          </w:p>
        </w:tc>
        <w:tc>
          <w:tcPr>
            <w:tcW w:type="dxa" w:w="1080"/>
            <w:vAlign w:val="center"/>
            <w:shd w:fill="F1F4F7"/>
            <w:tcMar>
              <w:top w:w="85" w:type="dxa"/>
              <w:bottom w:w="85" w:type="dxa"/>
              <w:left w:w="85" w:type="dxa"/>
              <w:right w:w="85" w:type="dxa"/>
            </w:tcMar>
          </w:tcPr>
          <w:p>
            <w:pPr>
              <w:spacing w:before="80" w:after="80" w:line="252" w:lineRule="auto"/>
              <w:jc w:val="center"/>
            </w:pPr>
            <w:r>
              <w:rPr>
                <w:sz w:val="18"/>
              </w:rPr>
              <w:t>Granted scope</w:t>
            </w:r>
          </w:p>
        </w:tc>
        <w:tc>
          <w:tcPr>
            <w:tcW w:type="dxa" w:w="1008"/>
            <w:vAlign w:val="center"/>
            <w:shd w:fill="F1F4F7"/>
            <w:tcMar>
              <w:top w:w="85" w:type="dxa"/>
              <w:bottom w:w="85" w:type="dxa"/>
              <w:left w:w="85" w:type="dxa"/>
              <w:right w:w="85" w:type="dxa"/>
            </w:tcMar>
          </w:tcPr>
          <w:p>
            <w:pPr>
              <w:spacing w:before="80" w:after="80" w:line="252" w:lineRule="auto"/>
              <w:jc w:val="center"/>
            </w:pPr>
            <w:r>
              <w:rPr>
                <w:sz w:val="18"/>
              </w:rPr>
              <w:t>No</w:t>
            </w:r>
          </w:p>
        </w:tc>
        <w:tc>
          <w:tcPr>
            <w:tcW w:type="dxa" w:w="864"/>
            <w:vAlign w:val="center"/>
            <w:shd w:fill="F1F4F7"/>
            <w:tcMar>
              <w:top w:w="85" w:type="dxa"/>
              <w:bottom w:w="85" w:type="dxa"/>
              <w:left w:w="85" w:type="dxa"/>
              <w:right w:w="85" w:type="dxa"/>
            </w:tcMar>
          </w:tcPr>
          <w:p>
            <w:pPr>
              <w:spacing w:before="80" w:after="80" w:line="252" w:lineRule="auto"/>
              <w:jc w:val="center"/>
            </w:pPr>
            <w:r>
              <w:rPr>
                <w:sz w:val="18"/>
              </w:rPr>
              <w:t>No</w:t>
            </w:r>
          </w:p>
        </w:tc>
        <w:tc>
          <w:tcPr>
            <w:tcW w:type="dxa" w:w="1627"/>
            <w:vAlign w:val="center"/>
            <w:shd w:fill="F1F4F7"/>
            <w:tcMar>
              <w:top w:w="85" w:type="dxa"/>
              <w:bottom w:w="85" w:type="dxa"/>
              <w:left w:w="85" w:type="dxa"/>
              <w:right w:w="85" w:type="dxa"/>
            </w:tcMar>
          </w:tcPr>
          <w:p>
            <w:pPr>
              <w:spacing w:before="80" w:after="80" w:line="252" w:lineRule="auto"/>
              <w:jc w:val="center"/>
            </w:pPr>
            <w:r>
              <w:rPr>
                <w:sz w:val="18"/>
              </w:rPr>
              <w:t>No</w:t>
            </w:r>
          </w:p>
        </w:tc>
      </w:tr>
      <w:tr>
        <w:trPr>
          <w:cantSplit/>
        </w:trPr>
        <w:tc>
          <w:tcPr>
            <w:tcW w:type="dxa" w:w="2952"/>
            <w:vAlign w:val="center"/>
            <w:shd w:fill="FFFFFF"/>
            <w:tcMar>
              <w:top w:w="85" w:type="dxa"/>
              <w:bottom w:w="85" w:type="dxa"/>
              <w:left w:w="85" w:type="dxa"/>
              <w:right w:w="85" w:type="dxa"/>
            </w:tcMar>
          </w:tcPr>
          <w:p>
            <w:pPr>
              <w:spacing w:before="80" w:after="80" w:line="252" w:lineRule="auto"/>
            </w:pPr>
            <w:r>
              <w:rPr>
                <w:sz w:val="18"/>
              </w:rPr>
              <w:t>Manage knowledge</w:t>
            </w:r>
          </w:p>
        </w:tc>
        <w:tc>
          <w:tcPr>
            <w:tcW w:type="dxa" w:w="864"/>
            <w:vAlign w:val="center"/>
            <w:shd w:fill="FFFFFF"/>
            <w:tcMar>
              <w:top w:w="85" w:type="dxa"/>
              <w:bottom w:w="85" w:type="dxa"/>
              <w:left w:w="85" w:type="dxa"/>
              <w:right w:w="85" w:type="dxa"/>
            </w:tcMar>
          </w:tcPr>
          <w:p>
            <w:pPr>
              <w:spacing w:before="80" w:after="80" w:line="252" w:lineRule="auto"/>
              <w:jc w:val="center"/>
            </w:pPr>
            <w:r>
              <w:rPr>
                <w:sz w:val="18"/>
              </w:rPr>
              <w:t>Yes</w:t>
            </w:r>
          </w:p>
        </w:tc>
        <w:tc>
          <w:tcPr>
            <w:tcW w:type="dxa" w:w="1080"/>
            <w:vAlign w:val="center"/>
            <w:shd w:fill="FFFFFF"/>
            <w:tcMar>
              <w:top w:w="85" w:type="dxa"/>
              <w:bottom w:w="85" w:type="dxa"/>
              <w:left w:w="85" w:type="dxa"/>
              <w:right w:w="85" w:type="dxa"/>
            </w:tcMar>
          </w:tcPr>
          <w:p>
            <w:pPr>
              <w:spacing w:before="80" w:after="80" w:line="252" w:lineRule="auto"/>
              <w:jc w:val="center"/>
            </w:pPr>
            <w:r>
              <w:rPr>
                <w:sz w:val="18"/>
              </w:rPr>
              <w:t>Yes</w:t>
            </w:r>
          </w:p>
        </w:tc>
        <w:tc>
          <w:tcPr>
            <w:tcW w:type="dxa" w:w="1008"/>
            <w:vAlign w:val="center"/>
            <w:shd w:fill="FFFFFF"/>
            <w:tcMar>
              <w:top w:w="85" w:type="dxa"/>
              <w:bottom w:w="85" w:type="dxa"/>
              <w:left w:w="85" w:type="dxa"/>
              <w:right w:w="85" w:type="dxa"/>
            </w:tcMar>
          </w:tcPr>
          <w:p>
            <w:pPr>
              <w:spacing w:before="80" w:after="80" w:line="252" w:lineRule="auto"/>
              <w:jc w:val="center"/>
            </w:pPr>
            <w:r>
              <w:rPr>
                <w:sz w:val="18"/>
              </w:rPr>
              <w:t>Draft changes</w:t>
            </w:r>
          </w:p>
        </w:tc>
        <w:tc>
          <w:tcPr>
            <w:tcW w:type="dxa" w:w="864"/>
            <w:vAlign w:val="center"/>
            <w:shd w:fill="FFFFFF"/>
            <w:tcMar>
              <w:top w:w="85" w:type="dxa"/>
              <w:bottom w:w="85" w:type="dxa"/>
              <w:left w:w="85" w:type="dxa"/>
              <w:right w:w="85" w:type="dxa"/>
            </w:tcMar>
          </w:tcPr>
          <w:p>
            <w:pPr>
              <w:spacing w:before="80" w:after="80" w:line="252" w:lineRule="auto"/>
              <w:jc w:val="center"/>
            </w:pPr>
            <w:r>
              <w:rPr>
                <w:sz w:val="18"/>
              </w:rPr>
              <w:t>No</w:t>
            </w:r>
          </w:p>
        </w:tc>
        <w:tc>
          <w:tcPr>
            <w:tcW w:type="dxa" w:w="1627"/>
            <w:vAlign w:val="center"/>
            <w:shd w:fill="FFFFFF"/>
            <w:tcMar>
              <w:top w:w="85" w:type="dxa"/>
              <w:bottom w:w="85" w:type="dxa"/>
              <w:left w:w="85" w:type="dxa"/>
              <w:right w:w="85" w:type="dxa"/>
            </w:tcMar>
          </w:tcPr>
          <w:p>
            <w:pPr>
              <w:spacing w:before="80" w:after="80" w:line="252" w:lineRule="auto"/>
              <w:jc w:val="center"/>
            </w:pPr>
            <w:r>
              <w:rPr>
                <w:sz w:val="18"/>
              </w:rPr>
              <w:t>No</w:t>
            </w:r>
          </w:p>
        </w:tc>
      </w:tr>
      <w:tr>
        <w:trPr>
          <w:cantSplit/>
        </w:trPr>
        <w:tc>
          <w:tcPr>
            <w:tcW w:type="dxa" w:w="2952"/>
            <w:vAlign w:val="center"/>
            <w:shd w:fill="F1F4F7"/>
            <w:tcMar>
              <w:top w:w="85" w:type="dxa"/>
              <w:bottom w:w="85" w:type="dxa"/>
              <w:left w:w="85" w:type="dxa"/>
              <w:right w:w="85" w:type="dxa"/>
            </w:tcMar>
          </w:tcPr>
          <w:p>
            <w:pPr>
              <w:spacing w:before="80" w:after="80" w:line="252" w:lineRule="auto"/>
            </w:pPr>
            <w:r>
              <w:rPr>
                <w:sz w:val="18"/>
              </w:rPr>
              <w:t>Invite members and assign roles</w:t>
            </w:r>
          </w:p>
        </w:tc>
        <w:tc>
          <w:tcPr>
            <w:tcW w:type="dxa" w:w="864"/>
            <w:vAlign w:val="center"/>
            <w:shd w:fill="F1F4F7"/>
            <w:tcMar>
              <w:top w:w="85" w:type="dxa"/>
              <w:bottom w:w="85" w:type="dxa"/>
              <w:left w:w="85" w:type="dxa"/>
              <w:right w:w="85" w:type="dxa"/>
            </w:tcMar>
          </w:tcPr>
          <w:p>
            <w:pPr>
              <w:spacing w:before="80" w:after="80" w:line="252" w:lineRule="auto"/>
              <w:jc w:val="center"/>
            </w:pPr>
            <w:r>
              <w:rPr>
                <w:sz w:val="18"/>
              </w:rPr>
              <w:t>Yes</w:t>
            </w:r>
          </w:p>
        </w:tc>
        <w:tc>
          <w:tcPr>
            <w:tcW w:type="dxa" w:w="1080"/>
            <w:vAlign w:val="center"/>
            <w:shd w:fill="F1F4F7"/>
            <w:tcMar>
              <w:top w:w="85" w:type="dxa"/>
              <w:bottom w:w="85" w:type="dxa"/>
              <w:left w:w="85" w:type="dxa"/>
              <w:right w:w="85" w:type="dxa"/>
            </w:tcMar>
          </w:tcPr>
          <w:p>
            <w:pPr>
              <w:spacing w:before="80" w:after="80" w:line="252" w:lineRule="auto"/>
              <w:jc w:val="center"/>
            </w:pPr>
            <w:r>
              <w:rPr>
                <w:sz w:val="18"/>
              </w:rPr>
              <w:t>Granted scope</w:t>
            </w:r>
          </w:p>
        </w:tc>
        <w:tc>
          <w:tcPr>
            <w:tcW w:type="dxa" w:w="1008"/>
            <w:vAlign w:val="center"/>
            <w:shd w:fill="F1F4F7"/>
            <w:tcMar>
              <w:top w:w="85" w:type="dxa"/>
              <w:bottom w:w="85" w:type="dxa"/>
              <w:left w:w="85" w:type="dxa"/>
              <w:right w:w="85" w:type="dxa"/>
            </w:tcMar>
          </w:tcPr>
          <w:p>
            <w:pPr>
              <w:spacing w:before="80" w:after="80" w:line="252" w:lineRule="auto"/>
              <w:jc w:val="center"/>
            </w:pPr>
            <w:r>
              <w:rPr>
                <w:sz w:val="18"/>
              </w:rPr>
              <w:t>No</w:t>
            </w:r>
          </w:p>
        </w:tc>
        <w:tc>
          <w:tcPr>
            <w:tcW w:type="dxa" w:w="864"/>
            <w:vAlign w:val="center"/>
            <w:shd w:fill="F1F4F7"/>
            <w:tcMar>
              <w:top w:w="85" w:type="dxa"/>
              <w:bottom w:w="85" w:type="dxa"/>
              <w:left w:w="85" w:type="dxa"/>
              <w:right w:w="85" w:type="dxa"/>
            </w:tcMar>
          </w:tcPr>
          <w:p>
            <w:pPr>
              <w:spacing w:before="80" w:after="80" w:line="252" w:lineRule="auto"/>
              <w:jc w:val="center"/>
            </w:pPr>
            <w:r>
              <w:rPr>
                <w:sz w:val="18"/>
              </w:rPr>
              <w:t>No</w:t>
            </w:r>
          </w:p>
        </w:tc>
        <w:tc>
          <w:tcPr>
            <w:tcW w:type="dxa" w:w="1627"/>
            <w:vAlign w:val="center"/>
            <w:shd w:fill="F1F4F7"/>
            <w:tcMar>
              <w:top w:w="85" w:type="dxa"/>
              <w:bottom w:w="85" w:type="dxa"/>
              <w:left w:w="85" w:type="dxa"/>
              <w:right w:w="85" w:type="dxa"/>
            </w:tcMar>
          </w:tcPr>
          <w:p>
            <w:pPr>
              <w:spacing w:before="80" w:after="80" w:line="252" w:lineRule="auto"/>
              <w:jc w:val="center"/>
            </w:pPr>
            <w:r>
              <w:rPr>
                <w:sz w:val="18"/>
              </w:rPr>
              <w:t>No</w:t>
            </w:r>
          </w:p>
        </w:tc>
      </w:tr>
      <w:tr>
        <w:trPr>
          <w:cantSplit/>
        </w:trPr>
        <w:tc>
          <w:tcPr>
            <w:tcW w:type="dxa" w:w="2952"/>
            <w:vAlign w:val="center"/>
            <w:shd w:fill="FFFFFF"/>
            <w:tcMar>
              <w:top w:w="85" w:type="dxa"/>
              <w:bottom w:w="85" w:type="dxa"/>
              <w:left w:w="85" w:type="dxa"/>
              <w:right w:w="85" w:type="dxa"/>
            </w:tcMar>
          </w:tcPr>
          <w:p>
            <w:pPr>
              <w:spacing w:before="80" w:after="80" w:line="252" w:lineRule="auto"/>
            </w:pPr>
            <w:r>
              <w:rPr>
                <w:sz w:val="18"/>
              </w:rPr>
              <w:t>Manage billing and limits</w:t>
            </w:r>
          </w:p>
        </w:tc>
        <w:tc>
          <w:tcPr>
            <w:tcW w:type="dxa" w:w="864"/>
            <w:vAlign w:val="center"/>
            <w:shd w:fill="FFFFFF"/>
            <w:tcMar>
              <w:top w:w="85" w:type="dxa"/>
              <w:bottom w:w="85" w:type="dxa"/>
              <w:left w:w="85" w:type="dxa"/>
              <w:right w:w="85" w:type="dxa"/>
            </w:tcMar>
          </w:tcPr>
          <w:p>
            <w:pPr>
              <w:spacing w:before="80" w:after="80" w:line="252" w:lineRule="auto"/>
              <w:jc w:val="center"/>
            </w:pPr>
            <w:r>
              <w:rPr>
                <w:sz w:val="18"/>
              </w:rPr>
              <w:t>Yes</w:t>
            </w:r>
          </w:p>
        </w:tc>
        <w:tc>
          <w:tcPr>
            <w:tcW w:type="dxa" w:w="1080"/>
            <w:vAlign w:val="center"/>
            <w:shd w:fill="FFFFFF"/>
            <w:tcMar>
              <w:top w:w="85" w:type="dxa"/>
              <w:bottom w:w="85" w:type="dxa"/>
              <w:left w:w="85" w:type="dxa"/>
              <w:right w:w="85" w:type="dxa"/>
            </w:tcMar>
          </w:tcPr>
          <w:p>
            <w:pPr>
              <w:spacing w:before="80" w:after="80" w:line="252" w:lineRule="auto"/>
              <w:jc w:val="center"/>
            </w:pPr>
            <w:r>
              <w:rPr>
                <w:sz w:val="18"/>
              </w:rPr>
              <w:t>No</w:t>
            </w:r>
          </w:p>
        </w:tc>
        <w:tc>
          <w:tcPr>
            <w:tcW w:type="dxa" w:w="1008"/>
            <w:vAlign w:val="center"/>
            <w:shd w:fill="FFFFFF"/>
            <w:tcMar>
              <w:top w:w="85" w:type="dxa"/>
              <w:bottom w:w="85" w:type="dxa"/>
              <w:left w:w="85" w:type="dxa"/>
              <w:right w:w="85" w:type="dxa"/>
            </w:tcMar>
          </w:tcPr>
          <w:p>
            <w:pPr>
              <w:spacing w:before="80" w:after="80" w:line="252" w:lineRule="auto"/>
              <w:jc w:val="center"/>
            </w:pPr>
            <w:r>
              <w:rPr>
                <w:sz w:val="18"/>
              </w:rPr>
              <w:t>No</w:t>
            </w:r>
          </w:p>
        </w:tc>
        <w:tc>
          <w:tcPr>
            <w:tcW w:type="dxa" w:w="864"/>
            <w:vAlign w:val="center"/>
            <w:shd w:fill="FFFFFF"/>
            <w:tcMar>
              <w:top w:w="85" w:type="dxa"/>
              <w:bottom w:w="85" w:type="dxa"/>
              <w:left w:w="85" w:type="dxa"/>
              <w:right w:w="85" w:type="dxa"/>
            </w:tcMar>
          </w:tcPr>
          <w:p>
            <w:pPr>
              <w:spacing w:before="80" w:after="80" w:line="252" w:lineRule="auto"/>
              <w:jc w:val="center"/>
            </w:pPr>
            <w:r>
              <w:rPr>
                <w:sz w:val="18"/>
              </w:rPr>
              <w:t>No</w:t>
            </w:r>
          </w:p>
        </w:tc>
        <w:tc>
          <w:tcPr>
            <w:tcW w:type="dxa" w:w="1627"/>
            <w:vAlign w:val="center"/>
            <w:shd w:fill="FFFFFF"/>
            <w:tcMar>
              <w:top w:w="85" w:type="dxa"/>
              <w:bottom w:w="85" w:type="dxa"/>
              <w:left w:w="85" w:type="dxa"/>
              <w:right w:w="85" w:type="dxa"/>
            </w:tcMar>
          </w:tcPr>
          <w:p>
            <w:pPr>
              <w:spacing w:before="80" w:after="80" w:line="252" w:lineRule="auto"/>
              <w:jc w:val="center"/>
            </w:pPr>
            <w:r>
              <w:rPr>
                <w:sz w:val="18"/>
              </w:rPr>
              <w:t>Yes</w:t>
            </w:r>
          </w:p>
        </w:tc>
      </w:tr>
      <w:tr>
        <w:trPr>
          <w:cantSplit/>
        </w:trPr>
        <w:tc>
          <w:tcPr>
            <w:tcW w:type="dxa" w:w="2952"/>
            <w:vAlign w:val="center"/>
            <w:shd w:fill="F1F4F7"/>
            <w:tcMar>
              <w:top w:w="85" w:type="dxa"/>
              <w:bottom w:w="85" w:type="dxa"/>
              <w:left w:w="85" w:type="dxa"/>
              <w:right w:w="85" w:type="dxa"/>
            </w:tcMar>
          </w:tcPr>
          <w:p>
            <w:pPr>
              <w:spacing w:before="80" w:after="80" w:line="252" w:lineRule="auto"/>
            </w:pPr>
            <w:r>
              <w:rPr>
                <w:sz w:val="18"/>
              </w:rPr>
              <w:t>Delete workspace or transfer ownership</w:t>
            </w:r>
          </w:p>
        </w:tc>
        <w:tc>
          <w:tcPr>
            <w:tcW w:type="dxa" w:w="864"/>
            <w:vAlign w:val="center"/>
            <w:shd w:fill="F1F4F7"/>
            <w:tcMar>
              <w:top w:w="85" w:type="dxa"/>
              <w:bottom w:w="85" w:type="dxa"/>
              <w:left w:w="85" w:type="dxa"/>
              <w:right w:w="85" w:type="dxa"/>
            </w:tcMar>
          </w:tcPr>
          <w:p>
            <w:pPr>
              <w:spacing w:before="80" w:after="80" w:line="252" w:lineRule="auto"/>
              <w:jc w:val="center"/>
            </w:pPr>
            <w:r>
              <w:rPr>
                <w:sz w:val="18"/>
              </w:rPr>
              <w:t>Yes</w:t>
            </w:r>
          </w:p>
        </w:tc>
        <w:tc>
          <w:tcPr>
            <w:tcW w:type="dxa" w:w="1080"/>
            <w:vAlign w:val="center"/>
            <w:shd w:fill="F1F4F7"/>
            <w:tcMar>
              <w:top w:w="85" w:type="dxa"/>
              <w:bottom w:w="85" w:type="dxa"/>
              <w:left w:w="85" w:type="dxa"/>
              <w:right w:w="85" w:type="dxa"/>
            </w:tcMar>
          </w:tcPr>
          <w:p>
            <w:pPr>
              <w:spacing w:before="80" w:after="80" w:line="252" w:lineRule="auto"/>
              <w:jc w:val="center"/>
            </w:pPr>
            <w:r>
              <w:rPr>
                <w:sz w:val="18"/>
              </w:rPr>
              <w:t>No</w:t>
            </w:r>
          </w:p>
        </w:tc>
        <w:tc>
          <w:tcPr>
            <w:tcW w:type="dxa" w:w="1008"/>
            <w:vAlign w:val="center"/>
            <w:shd w:fill="F1F4F7"/>
            <w:tcMar>
              <w:top w:w="85" w:type="dxa"/>
              <w:bottom w:w="85" w:type="dxa"/>
              <w:left w:w="85" w:type="dxa"/>
              <w:right w:w="85" w:type="dxa"/>
            </w:tcMar>
          </w:tcPr>
          <w:p>
            <w:pPr>
              <w:spacing w:before="80" w:after="80" w:line="252" w:lineRule="auto"/>
              <w:jc w:val="center"/>
            </w:pPr>
            <w:r>
              <w:rPr>
                <w:sz w:val="18"/>
              </w:rPr>
              <w:t>No</w:t>
            </w:r>
          </w:p>
        </w:tc>
        <w:tc>
          <w:tcPr>
            <w:tcW w:type="dxa" w:w="864"/>
            <w:vAlign w:val="center"/>
            <w:shd w:fill="F1F4F7"/>
            <w:tcMar>
              <w:top w:w="85" w:type="dxa"/>
              <w:bottom w:w="85" w:type="dxa"/>
              <w:left w:w="85" w:type="dxa"/>
              <w:right w:w="85" w:type="dxa"/>
            </w:tcMar>
          </w:tcPr>
          <w:p>
            <w:pPr>
              <w:spacing w:before="80" w:after="80" w:line="252" w:lineRule="auto"/>
              <w:jc w:val="center"/>
            </w:pPr>
            <w:r>
              <w:rPr>
                <w:sz w:val="18"/>
              </w:rPr>
              <w:t>No</w:t>
            </w:r>
          </w:p>
        </w:tc>
        <w:tc>
          <w:tcPr>
            <w:tcW w:type="dxa" w:w="1627"/>
            <w:vAlign w:val="center"/>
            <w:shd w:fill="F1F4F7"/>
            <w:tcMar>
              <w:top w:w="85" w:type="dxa"/>
              <w:bottom w:w="85" w:type="dxa"/>
              <w:left w:w="85" w:type="dxa"/>
              <w:right w:w="85" w:type="dxa"/>
            </w:tcMar>
          </w:tcPr>
          <w:p>
            <w:pPr>
              <w:spacing w:before="80" w:after="80" w:line="252" w:lineRule="auto"/>
              <w:jc w:val="center"/>
            </w:pPr>
            <w:r>
              <w:rPr>
                <w:sz w:val="18"/>
              </w:rPr>
              <w:t>No</w:t>
            </w:r>
          </w:p>
        </w:tc>
      </w:tr>
    </w:tbl>
    <w:p>
      <w:pPr>
        <w:spacing w:after="40"/>
      </w:pPr>
    </w:p>
    <w:p>
      <w:r>
        <w:t>Roles are permission bundles. Server-side permission checks shall be performed for each request and background action. A user can hold more than one role. Platform administration does not automatically grant unrestricted access to customer content.</w:t>
      </w:r>
    </w:p>
    <w:p>
      <w:pPr>
        <w:pStyle w:val="Heading2"/>
      </w:pPr>
      <w:r>
        <w:t>3.2 Membership constraints</w:t>
      </w:r>
    </w:p>
    <w:p>
      <w:r>
        <w:t>An owner may invite colleagues into the same business workspace. The system shall maintain at least one active owner until workspace closure. Ownership transfer requires confirmation by the existing owner and acceptance by the recipient. Removing a member shall revoke sessions and invalidate their unexecuted approvals where continued authority is required. A person belonging to independent subscribed businesses shall switch explicit workspace context; this does not create a parent-child hierarchy.</w:t>
      </w:r>
    </w:p>
    <w:p>
      <w:pPr>
        <w:pStyle w:val="Heading1"/>
      </w:pPr>
      <w:r>
        <w:t>4 Customer journeys</w:t>
      </w:r>
    </w:p>
    <w:p>
      <w:pPr>
        <w:pStyle w:val="Heading2"/>
      </w:pPr>
      <w:r>
        <w:t>4.1 First useful result</w:t>
      </w:r>
    </w:p>
    <w:p>
      <w:r>
        <w:t>A customer creates and verifies an account, establishes a workspace, accepts the applicable service terms, selects a plan or trial and completes business setup. The customer uploads approved knowledge, connects a supported tool or imports records, selects a workflow and previews its output on sample data. Before enabling live actions, the system displays the action permissions, credit policy and prerequisites. The customer then runs a bounded task and can inspect the resulting artifact and usage record.</w:t>
      </w:r>
    </w:p>
    <w:p>
      <w:pPr>
        <w:pStyle w:val="Heading2"/>
      </w:pPr>
      <w:r>
        <w:t>4.2 Lead to meeting</w:t>
      </w:r>
    </w:p>
    <w:p>
      <w:r>
        <w:t>A permitted import, form or integration produces a lead. The system deduplicates it, checks suppression, qualifies it and generates an evidence-based response. Depending on policy, a permitted user approves the response or an authorized automatic workflow proceeds. Replies update the contact timeline and pause incompatible follow-ups. Booking uses actual calendar availability, a confirmed timezone and a final availability check before the event is created. A pre-call brief is attached to the resulting opportunity.</w:t>
      </w:r>
    </w:p>
    <w:p>
      <w:pPr>
        <w:pStyle w:val="Heading2"/>
      </w:pPr>
      <w:r>
        <w:t>4.3 Sales conversation to proposal</w:t>
      </w:r>
    </w:p>
    <w:p>
      <w:r>
        <w:t>A customer supplies notes or an authorized transcript. The Call Review roles produce structured feedback. Offer Builder drafts a proposal using approved offer facts, proof and price boundaries. An authorized person reviews the exact proposal version before release. Deal stage and revenue are updated from confirmed records, not inferred from positive language in a conversation.</w:t>
      </w:r>
    </w:p>
    <w:p>
      <w:pPr>
        <w:pStyle w:val="Heading2"/>
      </w:pPr>
      <w:r>
        <w:t>4.4 Exception recovery</w:t>
      </w:r>
    </w:p>
    <w:p>
      <w:r>
        <w:t>When a provider fails, a credential expires, quota runs out or a policy blocks an action, the run records a specific reason and a next step. The customer can reconnect, add permitted budget, change a draft or cancel. Retrying cannot bypass a previous denial or repeat an already completed external action.</w:t>
      </w:r>
    </w:p>
    <w:p>
      <w:pPr>
        <w:pStyle w:val="Heading1"/>
      </w:pPr>
      <w:r>
        <w:t>5 Functional requirements</w:t>
      </w:r>
    </w:p>
    <w:p>
      <w:pPr>
        <w:pStyle w:val="Heading2"/>
      </w:pPr>
      <w:r>
        <w:t>5.1 Registration and access</w:t>
      </w:r>
    </w:p>
    <w:p>
      <w:r>
        <w:rPr>
          <w:b/>
        </w:rPr>
        <w:t xml:space="preserve">ACC-01 </w:t>
      </w:r>
      <w:r>
        <w:t>The system shall support verified email registration, login, logout, account recovery and configurable session expiration through an identity service. Errors shall avoid revealing whether an unrelated email address exists.</w:t>
      </w:r>
    </w:p>
    <w:p>
      <w:r>
        <w:rPr>
          <w:b/>
        </w:rPr>
        <w:t xml:space="preserve">ACC-02 </w:t>
      </w:r>
      <w:r>
        <w:t>The system shall create one tenant workspace with an initial owner, default timezone, reporting currency and permitted language settings. All subsequent operations shall resolve an authenticated workspace context.</w:t>
      </w:r>
    </w:p>
    <w:p>
      <w:r>
        <w:rPr>
          <w:b/>
        </w:rPr>
        <w:t xml:space="preserve">ACC-03 </w:t>
      </w:r>
      <w:r>
        <w:t>The system shall provide invitation, acceptance, role assignment, membership removal and ownership transfer. Expired or revoked invitations shall not create membership.</w:t>
      </w:r>
    </w:p>
    <w:p>
      <w:r>
        <w:rPr>
          <w:b/>
        </w:rPr>
        <w:t xml:space="preserve">ACC-04 </w:t>
      </w:r>
      <w:r>
        <w:t>The system shall offer multifactor authentication for customer accounts and require it for privileged platform administrators. Sensitive ownership, integration and billing changes shall require recent authentication.</w:t>
      </w:r>
    </w:p>
    <w:p>
      <w:r>
        <w:rPr>
          <w:b/>
        </w:rPr>
        <w:t xml:space="preserve">ACC-05 </w:t>
      </w:r>
      <w:r>
        <w:t>The system shall record relevant terms and privacy notice versions accepted by the account owner. Subscription acceptance shall be separate from permission to send messages or access a connected tool.</w:t>
      </w:r>
    </w:p>
    <w:p>
      <w:pPr>
        <w:pStyle w:val="Heading2"/>
      </w:pPr>
      <w:r>
        <w:t>5.2 Business onboarding</w:t>
      </w:r>
    </w:p>
    <w:p>
      <w:r>
        <w:rPr>
          <w:b/>
        </w:rPr>
        <w:t xml:space="preserve">ONB-01 </w:t>
      </w:r>
      <w:r>
        <w:t>The system shall collect business identity, website, offers, target buyers, locations served, approved pricing, preferred language, brand voice, timezone and growth objectives without inventing missing information.</w:t>
      </w:r>
    </w:p>
    <w:p>
      <w:r>
        <w:rPr>
          <w:b/>
        </w:rPr>
        <w:t xml:space="preserve">ONB-02 </w:t>
      </w:r>
      <w:r>
        <w:t>The system shall show department readiness as Not configured, Missing knowledge, Missing connection, Ready or Disabled. Unavailable capabilities shall include a specific prerequisite and shall not appear as running.</w:t>
      </w:r>
    </w:p>
    <w:p>
      <w:r>
        <w:rPr>
          <w:b/>
        </w:rPr>
        <w:t xml:space="preserve">ONB-03 </w:t>
      </w:r>
      <w:r>
        <w:t>The system shall support sample-data onboarding and a test run before live automation. Sample records, revenue and activity shall remain visibly labeled and excluded from production reports.</w:t>
      </w:r>
    </w:p>
    <w:p>
      <w:r>
        <w:rPr>
          <w:b/>
        </w:rPr>
        <w:t xml:space="preserve">ONB-04 </w:t>
      </w:r>
      <w:r>
        <w:t>The system shall retain onboarding progress and let owners edit business settings later. Material changes to price, claims or recipient rules shall identify affected workflows for review.</w:t>
      </w:r>
    </w:p>
    <w:p>
      <w:pPr>
        <w:pStyle w:val="Heading2"/>
      </w:pPr>
      <w:r>
        <w:t>5.3 Shared knowledge</w:t>
      </w:r>
    </w:p>
    <w:p>
      <w:r>
        <w:rPr>
          <w:b/>
        </w:rPr>
        <w:t xml:space="preserve">KNW-01 </w:t>
      </w:r>
      <w:r>
        <w:t>The system shall maintain versioned knowledge for ideal customers, offers, evidence, brand voice, objections, playbooks, action rules and metric targets. These correspond to the reference Core categories, without requiring eight physical files.</w:t>
      </w:r>
    </w:p>
    <w:p>
      <w:r>
        <w:rPr>
          <w:b/>
        </w:rPr>
        <w:t xml:space="preserve">KNW-02 </w:t>
      </w:r>
      <w:r>
        <w:t>The system shall accept supported text, Markdown, PDF and DOCX uploads. It shall expose file size and type limits, extraction status, errors and duplicate detection. A failed or unsupported file shall not silently become usable knowledge.</w:t>
      </w:r>
    </w:p>
    <w:p>
      <w:r>
        <w:rPr>
          <w:b/>
        </w:rPr>
        <w:t xml:space="preserve">KNW-03 </w:t>
      </w:r>
      <w:r>
        <w:t>Authorized users shall review extracted material, mark it approved or obsolete, add source references and set an owner and review date. Agents shall use only material allowed by the active workflow's knowledge policy.</w:t>
      </w:r>
    </w:p>
    <w:p>
      <w:r>
        <w:rPr>
          <w:b/>
        </w:rPr>
        <w:t xml:space="preserve">KNW-04 </w:t>
      </w:r>
      <w:r>
        <w:t>The system shall preserve the knowledge and prompt versions used by each run. Generated assertions that depend on retrieved business evidence shall retain a source reference or be marked unverified.</w:t>
      </w:r>
    </w:p>
    <w:p>
      <w:r>
        <w:rPr>
          <w:b/>
        </w:rPr>
        <w:t xml:space="preserve">KNW-05 </w:t>
      </w:r>
      <w:r>
        <w:t>Retrieved documents, prospect messages and web material shall be treated as task data. They shall not grant tool permissions, change budgets, alter system policy or reveal secrets.</w:t>
      </w:r>
    </w:p>
    <w:p>
      <w:r>
        <w:rPr>
          <w:b/>
        </w:rPr>
        <w:t xml:space="preserve">KNW-06 </w:t>
      </w:r>
      <w:r>
        <w:t>Deleting or disabling a source shall remove it from future retrieval and invalidate relevant caches. Historical records shall retain only what the disclosed retention policy permits.</w:t>
      </w:r>
    </w:p>
    <w:p>
      <w:pPr>
        <w:pStyle w:val="Heading2"/>
      </w:pPr>
      <w:r>
        <w:t>5.4 Agent configuration</w:t>
      </w:r>
    </w:p>
    <w:p>
      <w:r>
        <w:rPr>
          <w:b/>
        </w:rPr>
        <w:t xml:space="preserve">AGT-01 </w:t>
      </w:r>
      <w:r>
        <w:t>The system shall provide all 27 catalog roles with a stable identifier, purpose, input schema, output schema, allowed tools, model policy, cost bounds, owner and evaluation version.</w:t>
      </w:r>
    </w:p>
    <w:p>
      <w:r>
        <w:rPr>
          <w:b/>
        </w:rPr>
        <w:t xml:space="preserve">AGT-02 </w:t>
      </w:r>
      <w:r>
        <w:t>Customers shall enable or disable each role and configure permitted goals, tone, schedule and output preferences within platform constraints. Customers shall not override tenant isolation, secret handling or mandatory approvals through a prompt.</w:t>
      </w:r>
    </w:p>
    <w:p>
      <w:r>
        <w:rPr>
          <w:b/>
        </w:rPr>
        <w:t xml:space="preserve">AGT-03 </w:t>
      </w:r>
      <w:r>
        <w:t>The system shall display role availability, current task, last successful task, blocked reason and recent output. Multiple runs can use the same role without implying a permanently running model process.</w:t>
      </w:r>
    </w:p>
    <w:p>
      <w:r>
        <w:rPr>
          <w:b/>
        </w:rPr>
        <w:t xml:space="preserve">AGT-04 </w:t>
      </w:r>
      <w:r>
        <w:t>Every role shall have a preview mode with no external side effects. Schema-invalid output, missing mandatory facts or insufficient evidence shall result in correction, review or failure rather than an unauthorized tool action.</w:t>
      </w:r>
    </w:p>
    <w:p>
      <w:pPr>
        <w:pStyle w:val="Heading2"/>
      </w:pPr>
      <w:r>
        <w:t>5.5 Workflows and task management</w:t>
      </w:r>
    </w:p>
    <w:p>
      <w:r>
        <w:rPr>
          <w:b/>
        </w:rPr>
        <w:t xml:space="preserve">WFL-01 </w:t>
      </w:r>
      <w:r>
        <w:t>The system shall support manual triggers, schedules, supported webhooks and permitted business events. A trigger shall resolve to a versioned workflow with typed steps and explicit transitions.</w:t>
      </w:r>
    </w:p>
    <w:p>
      <w:r>
        <w:rPr>
          <w:b/>
        </w:rPr>
        <w:t xml:space="preserve">WFL-02 </w:t>
      </w:r>
      <w:r>
        <w:t>Customers shall configure template steps, conditions, delays, reviewer assignments and permitted destinations through forms or a constrained visual editor. Arbitrary executable code is excluded.</w:t>
      </w:r>
    </w:p>
    <w:p>
      <w:r>
        <w:rPr>
          <w:b/>
        </w:rPr>
        <w:t xml:space="preserve">WFL-03 </w:t>
      </w:r>
      <w:r>
        <w:t>Each run shall have a tenant, initiating actor, input snapshot, correlation identifier, priority, budget reservation, state history and version references. Secret values shall never be copied into snapshots.</w:t>
      </w:r>
    </w:p>
    <w:p>
      <w:r>
        <w:rPr>
          <w:b/>
        </w:rPr>
        <w:t xml:space="preserve">WFL-04 </w:t>
      </w:r>
      <w:r>
        <w:t>Execution shall use a durable queue and bounded workers. Tenant concurrency limits, channel rate limits and provider quotas shall apply independently; one busy customer shall not monopolize processing.</w:t>
      </w:r>
    </w:p>
    <w:p>
      <w:r>
        <w:rPr>
          <w:b/>
        </w:rPr>
        <w:t xml:space="preserve">WFL-05 </w:t>
      </w:r>
      <w:r>
        <w:t>Retries shall have configurable maximum attempts, exponential backoff and a dead-letter or review path. Nonretryable authorization, consent and validation failures shall stop immediately.</w:t>
      </w:r>
    </w:p>
    <w:p>
      <w:r>
        <w:rPr>
          <w:b/>
        </w:rPr>
        <w:t xml:space="preserve">WFL-06 </w:t>
      </w:r>
      <w:r>
        <w:t>Each external side effect shall have a stable idempotency key. After a timeout with uncertain delivery, the system shall reconcile with the provider before retrying. Where reconciliation is unavailable, it shall require manual resolution.</w:t>
      </w:r>
    </w:p>
    <w:p>
      <w:r>
        <w:rPr>
          <w:b/>
        </w:rPr>
        <w:t xml:space="preserve">WFL-07 </w:t>
      </w:r>
      <w:r>
        <w:t>Customers shall pause a workflow, department or workspace. Pause shall stop dispatch of new work and recheck permission before each pending side effect. In-flight provider actions may complete and shall be accurately recorded.</w:t>
      </w:r>
    </w:p>
    <w:p>
      <w:r>
        <w:rPr>
          <w:b/>
        </w:rPr>
        <w:t xml:space="preserve">WFL-08 </w:t>
      </w:r>
      <w:r>
        <w:t>Cancelling a task shall release unused reservations and cancel future scheduled steps. Resume shall revalidate entitlement, evidence freshness, suppression, credentials and remaining budget.</w:t>
      </w:r>
    </w:p>
    <w:p>
      <w:r>
        <w:rPr>
          <w:b/>
        </w:rPr>
        <w:t xml:space="preserve">WFL-09 </w:t>
      </w:r>
      <w:r>
        <w:t>Workflow loops shall have step, duration and tool-call ceilings. An orchestrator may select from approved transitions but may not create unbounded recursive work.</w:t>
      </w:r>
    </w:p>
    <w:p>
      <w:r>
        <w:rPr>
          <w:b/>
        </w:rPr>
        <w:t xml:space="preserve">WFL-10 </w:t>
      </w:r>
      <w:r>
        <w:t>The task queue shall support department, state, owner and time filters; failure detail; output inspection; cancel; and safe retry. Scheduled local times shall account for daylight saving rules where applicable.</w:t>
      </w:r>
    </w:p>
    <w:p>
      <w:pPr>
        <w:pStyle w:val="Heading2"/>
      </w:pPr>
      <w:r>
        <w:t>5.6 Approval and automation</w:t>
      </w:r>
    </w:p>
    <w:p>
      <w:r>
        <w:rPr>
          <w:b/>
        </w:rPr>
        <w:t xml:space="preserve">APR-01 </w:t>
      </w:r>
      <w:r>
        <w:t>The system shall support Manual, Assisted and Automatic modes per workflow or permitted action class. Manual means user-triggered work; it does not waive an action's approval policy.</w:t>
      </w:r>
    </w:p>
    <w:p>
      <w:r>
        <w:rPr>
          <w:b/>
        </w:rPr>
        <w:t xml:space="preserve">APR-02 </w:t>
      </w:r>
      <w:r>
        <w:t>Assisted mode shall prepare drafts and route external actions for approval. Automatic mode shall operate only within explicit destination, action, consent, schedule and budget boundaries established by an authorized owner.</w:t>
      </w:r>
    </w:p>
    <w:p>
      <w:r>
        <w:rPr>
          <w:b/>
        </w:rPr>
        <w:t xml:space="preserve">APR-03 </w:t>
      </w:r>
      <w:r>
        <w:t>An approval shall bind the exact artifact version, recipient or audience, action type, tool account, relevant price and expiration. Editing any of those material fields shall invalidate the approval.</w:t>
      </w:r>
    </w:p>
    <w:p>
      <w:r>
        <w:rPr>
          <w:b/>
        </w:rPr>
        <w:t xml:space="preserve">APR-04 </w:t>
      </w:r>
      <w:r>
        <w:t>Reviewers shall approve, reject or request changes with an optional comment. Review history shall be immutable. A rejected action shall not be retried automatically as a new action to evade review.</w:t>
      </w:r>
    </w:p>
    <w:p>
      <w:r>
        <w:rPr>
          <w:b/>
        </w:rPr>
        <w:t xml:space="preserve">APR-05 </w:t>
      </w:r>
      <w:r>
        <w:t>Approval expiration, lost reviewer permissions, changed suppression status or changed integration scope shall block execution pending revalidation.</w:t>
      </w:r>
    </w:p>
    <w:p>
      <w:r>
        <w:rPr>
          <w:b/>
        </w:rPr>
        <w:t xml:space="preserve">APR-06 </w:t>
      </w:r>
      <w:r>
        <w:t>Contracts, money transfers, pricing exceptions and ad budget increases shall remain human-executed in this baseline. The product may prepare a recommendation or draft, but cannot execute these as an agent action.</w:t>
      </w:r>
    </w:p>
    <w:p>
      <w:pPr>
        <w:pStyle w:val="Heading2"/>
      </w:pPr>
      <w:r>
        <w:t>5.7 CRM and contact history</w:t>
      </w:r>
    </w:p>
    <w:p>
      <w:r>
        <w:rPr>
          <w:b/>
        </w:rPr>
        <w:t xml:space="preserve">CRM-01 </w:t>
      </w:r>
      <w:r>
        <w:t>The system shall provide contacts, companies, opportunities, pipeline stages, notes, tasks, tags, source attribution and a chronological activity history. Monetary fields shall include a currency.</w:t>
      </w:r>
    </w:p>
    <w:p>
      <w:r>
        <w:rPr>
          <w:b/>
        </w:rPr>
        <w:t xml:space="preserve">CRM-02 </w:t>
      </w:r>
      <w:r>
        <w:t>CSV import shall provide a field mapping preview, validation errors, duplicate candidates and a confirm step. Deduplication shall use normalized permitted identifiers and shall retain provenance.</w:t>
      </w:r>
    </w:p>
    <w:p>
      <w:r>
        <w:rPr>
          <w:b/>
        </w:rPr>
        <w:t xml:space="preserve">CRM-03 </w:t>
      </w:r>
      <w:r>
        <w:t>Contact merges shall preserve messages, consent, suppression and attribution history. A merge shall never erase a more restrictive suppression rule.</w:t>
      </w:r>
    </w:p>
    <w:p>
      <w:r>
        <w:rPr>
          <w:b/>
        </w:rPr>
        <w:t xml:space="preserve">CRM-04 </w:t>
      </w:r>
      <w:r>
        <w:t>Each opportunity shall have a stage, owner, expected value, next action and close outcome. Estimated pipeline value and verified collected revenue shall be displayed separately.</w:t>
      </w:r>
    </w:p>
    <w:p>
      <w:r>
        <w:rPr>
          <w:b/>
        </w:rPr>
        <w:t xml:space="preserve">CRM-05 </w:t>
      </w:r>
      <w:r>
        <w:t>Connected CRM synchronization shall declare the source of truth for each field, detect stale writes and show conflicts. Bidirectional sync shall prevent update loops using source and version metadata.</w:t>
      </w:r>
    </w:p>
    <w:p>
      <w:r>
        <w:rPr>
          <w:b/>
        </w:rPr>
        <w:t xml:space="preserve">CRM-06 </w:t>
      </w:r>
      <w:r>
        <w:t>The product shall maintain channel-specific consent evidence and suppression status. A stop request shall cancel queued contact actions and be checked again immediately before send. Suppression is workspace-scoped; unrelated customer data shall not be disclosed across tenants.</w:t>
      </w:r>
    </w:p>
    <w:p>
      <w:pPr>
        <w:pStyle w:val="Heading2"/>
      </w:pPr>
      <w:r>
        <w:t>5.8 Conversations and booking</w:t>
      </w:r>
    </w:p>
    <w:p>
      <w:r>
        <w:rPr>
          <w:b/>
        </w:rPr>
        <w:t xml:space="preserve">MSG-01 </w:t>
      </w:r>
      <w:r>
        <w:t>The unified inbox shall ingest messages only from authorized supported channels, preserve sender and channel context, associate contacts and show ingestion or synchronization failures.</w:t>
      </w:r>
    </w:p>
    <w:p>
      <w:r>
        <w:rPr>
          <w:b/>
        </w:rPr>
        <w:t xml:space="preserve">MSG-02 </w:t>
      </w:r>
      <w:r>
        <w:t>Reply classification shall distinguish interested, question, later, unsuitable, stop and ambiguous. Ambiguous requests shall be escalated instead of being forced into a sales sequence.</w:t>
      </w:r>
    </w:p>
    <w:p>
      <w:r>
        <w:rPr>
          <w:b/>
        </w:rPr>
        <w:t xml:space="preserve">MSG-03 </w:t>
      </w:r>
      <w:r>
        <w:t>Draft replies shall be editable and versioned. Delivery status shall distinguish draft, approved, queued, sent, delivered where supported, bounced and failed. Accepted by an API shall not be represented as delivered unless confirmed.</w:t>
      </w:r>
    </w:p>
    <w:p>
      <w:r>
        <w:rPr>
          <w:b/>
        </w:rPr>
        <w:t xml:space="preserve">MSG-04 </w:t>
      </w:r>
      <w:r>
        <w:t>Replies, bookings and stop requests shall pause incompatible scheduled follow-ups. Quiet hours, timezone and frequency caps shall be enforced at dispatch, not only when the sequence is created.</w:t>
      </w:r>
    </w:p>
    <w:p>
      <w:r>
        <w:rPr>
          <w:b/>
        </w:rPr>
        <w:t xml:space="preserve">CAL-01 </w:t>
      </w:r>
      <w:r>
        <w:t>The system shall read authorized calendar availability, offer valid slots, identify the customer's and prospect's timezones and detect conflicts immediately before booking.</w:t>
      </w:r>
    </w:p>
    <w:p>
      <w:r>
        <w:rPr>
          <w:b/>
        </w:rPr>
        <w:t xml:space="preserve">CAL-02 </w:t>
      </w:r>
      <w:r>
        <w:t>The system shall create, reschedule or cancel events only within approved permissions. Retries shall not duplicate events; rescheduling shall update associated tasks and briefs.</w:t>
      </w:r>
    </w:p>
    <w:p>
      <w:r>
        <w:rPr>
          <w:b/>
        </w:rPr>
        <w:t xml:space="preserve">CAL-03 </w:t>
      </w:r>
      <w:r>
        <w:t>Meeting reminders shall use authorized channels and recipient preferences. No calendar connection shall default to a fabricated availability claim.</w:t>
      </w:r>
    </w:p>
    <w:p>
      <w:pPr>
        <w:pStyle w:val="Heading2"/>
      </w:pPr>
      <w:r>
        <w:t>5.9 Content and sales artifacts</w:t>
      </w:r>
    </w:p>
    <w:p>
      <w:r>
        <w:rPr>
          <w:b/>
        </w:rPr>
        <w:t xml:space="preserve">CNT-01 </w:t>
      </w:r>
      <w:r>
        <w:t>The system shall provide a versioned library of drafts, briefs, scripts, creative concepts, proposals and reports with source references, status, creator and associated run.</w:t>
      </w:r>
    </w:p>
    <w:p>
      <w:r>
        <w:rPr>
          <w:b/>
        </w:rPr>
        <w:t xml:space="preserve">CNT-02 </w:t>
      </w:r>
      <w:r>
        <w:t>Users shall edit artifacts and export supported text, PDF or DOCX outputs. Export failures shall preserve the editable source and return a recoverable error.</w:t>
      </w:r>
    </w:p>
    <w:p>
      <w:r>
        <w:rPr>
          <w:b/>
        </w:rPr>
        <w:t xml:space="preserve">CNT-03 </w:t>
      </w:r>
      <w:r>
        <w:t>Video clipping shall support uploaded or authorized media, transcript timestamps, captions, crop settings and export previews. Rendering shall run in appropriate media workers and show storage, compute and external-service costs before execution.</w:t>
      </w:r>
    </w:p>
    <w:p>
      <w:r>
        <w:rPr>
          <w:b/>
        </w:rPr>
        <w:t xml:space="preserve">CNT-04 </w:t>
      </w:r>
      <w:r>
        <w:t>Publishing shall be separate from drafting. Channel capability, account permissions, exact artifact version and approval policy shall be checked before release. Unsupported publishing channels shall provide an export or manual handoff.</w:t>
      </w:r>
    </w:p>
    <w:p>
      <w:r>
        <w:rPr>
          <w:b/>
        </w:rPr>
        <w:t xml:space="preserve">CNT-05 </w:t>
      </w:r>
      <w:r>
        <w:t>Proposal creation shall use approved offers, documented evidence and authorized price ranges. Unavailable claims, unapproved discounts and invented testimonials shall block finalization or be removed.</w:t>
      </w:r>
    </w:p>
    <w:p>
      <w:pPr>
        <w:pStyle w:val="Heading2"/>
      </w:pPr>
      <w:r>
        <w:t>5.10 Analytics and notifications</w:t>
      </w:r>
    </w:p>
    <w:p>
      <w:r>
        <w:rPr>
          <w:b/>
        </w:rPr>
        <w:t xml:space="preserve">ANA-01 </w:t>
      </w:r>
      <w:r>
        <w:t>Reports shall show contacts processed, replies, qualified opportunities, meetings booked and held, closed deals, collected revenue, agent reliability and usage. Each metric shall have a definition, time window and source.</w:t>
      </w:r>
    </w:p>
    <w:p>
      <w:r>
        <w:rPr>
          <w:b/>
        </w:rPr>
        <w:t xml:space="preserve">ANA-02 </w:t>
      </w:r>
      <w:r>
        <w:t>Channel attribution shall distinguish first touch, last touch and assisted influence. Attribution shall be descriptive and shall not claim that every associated sale was caused by an agent.</w:t>
      </w:r>
    </w:p>
    <w:p>
      <w:r>
        <w:rPr>
          <w:b/>
        </w:rPr>
        <w:t xml:space="preserve">ANA-03 </w:t>
      </w:r>
      <w:r>
        <w:t>Revenue reports shall distinguish invoices, payments, refunds, pipeline and currency. Cross-currency totals shall require a declared conversion date and source or remain separated by currency.</w:t>
      </w:r>
    </w:p>
    <w:p>
      <w:r>
        <w:rPr>
          <w:b/>
        </w:rPr>
        <w:t xml:space="preserve">ANA-04 </w:t>
      </w:r>
      <w:r>
        <w:t>Customers shall filter and export reports. Demo records and internal test runs shall be excluded from live commercial metrics by default.</w:t>
      </w:r>
    </w:p>
    <w:p>
      <w:r>
        <w:rPr>
          <w:b/>
        </w:rPr>
        <w:t xml:space="preserve">NTF-01 </w:t>
      </w:r>
      <w:r>
        <w:t>In-app notifications shall cover approval requests, failed actions, exhausted credits, expired integrations, completed important work and scheduled summaries. Optional email notifications shall honor customer preferences and avoid exposing sensitive content.</w:t>
      </w:r>
    </w:p>
    <w:p>
      <w:r>
        <w:rPr>
          <w:b/>
        </w:rPr>
        <w:t xml:space="preserve">NTF-02 </w:t>
      </w:r>
      <w:r>
        <w:t>Notifications shall be deduplicated, link to the relevant record and support read status. Digest scheduling shall use workspace timezone. Delivery failure shall not mark the underlying task as failed unless that notification is itself the requested task.</w:t>
      </w:r>
    </w:p>
    <w:p>
      <w:pPr>
        <w:pStyle w:val="Heading2"/>
      </w:pPr>
      <w:r>
        <w:t>5.11 Administration and support</w:t>
      </w:r>
    </w:p>
    <w:p>
      <w:r>
        <w:rPr>
          <w:b/>
        </w:rPr>
        <w:t xml:space="preserve">ADM-01 </w:t>
      </w:r>
      <w:r>
        <w:t>The platform console shall expose customer lifecycle, subscription status, entitlements, usage cost, job health and integration incidents with permission-separated views.</w:t>
      </w:r>
    </w:p>
    <w:p>
      <w:r>
        <w:rPr>
          <w:b/>
        </w:rPr>
        <w:t xml:space="preserve">ADM-02 </w:t>
      </w:r>
      <w:r>
        <w:t>Administrators shall manage plan definitions, feature flags, provider availability, default ceilings and versioned agent templates. Changes shall be audited and rolled out to a controlled cohort before general release.</w:t>
      </w:r>
    </w:p>
    <w:p>
      <w:r>
        <w:rPr>
          <w:b/>
        </w:rPr>
        <w:t xml:space="preserve">ADM-03 </w:t>
      </w:r>
      <w:r>
        <w:t>Support access to customer content shall require an explicit purpose, limited duration and appropriate authorization. Customers shall be able to inspect support access history. Secret values shall remain masked.</w:t>
      </w:r>
    </w:p>
    <w:p>
      <w:r>
        <w:rPr>
          <w:b/>
        </w:rPr>
        <w:t xml:space="preserve">ADM-04 </w:t>
      </w:r>
      <w:r>
        <w:t>Platform operators shall suspend abusive or compromised workspaces, disable an integration globally and halt an unsafe agent release. Suspension shall preserve audit and billing records under the applicable retention policy.</w:t>
      </w:r>
    </w:p>
    <w:p>
      <w:r>
        <w:rPr>
          <w:b/>
        </w:rPr>
        <w:t xml:space="preserve">ADM-05 </w:t>
      </w:r>
      <w:r>
        <w:t>A support record shall reference a run or issue, show sanitized diagnostics and record resolution. Restoring or rerunning work shall follow the same permissions and credit rules as ordinary execution.</w:t>
      </w:r>
    </w:p>
    <w:p>
      <w:pPr>
        <w:pStyle w:val="Heading1"/>
      </w:pPr>
      <w:r>
        <w:t>6 The 27 agent specifications</w:t>
      </w:r>
    </w:p>
    <w:p>
      <w:r>
        <w:t>All agents inherit the tenant, knowledge, evidence, policy, budget and validation requirements above. Tool availability is conditional on actual integration support. A role shall not claim to have performed a tool action merely because it generated a description of that action.</w:t>
      </w:r>
    </w:p>
    <w:p>
      <w:pPr>
        <w:pStyle w:val="Heading2"/>
      </w:pPr>
      <w:r>
        <w:t>6.1 LinkedIn Outbound</w:t>
      </w:r>
    </w:p>
    <w:p>
      <w:r>
        <w:rPr>
          <w:b/>
        </w:rPr>
        <w:t xml:space="preserve">A01 </w:t>
      </w:r>
      <w:r>
        <w:t>Prospector accepts customer-supplied profiles or permitted search results and approved customer criteria. It returns ranked prospects, source references, match evidence and missing data. It must not invent buying signals or assume unrestricted platform scraping.</w:t>
      </w:r>
    </w:p>
    <w:p>
      <w:r>
        <w:rPr>
          <w:b/>
        </w:rPr>
        <w:t xml:space="preserve">A02 </w:t>
      </w:r>
      <w:r>
        <w:t>Outreach Writer accepts qualified prospects and approved voice examples. It returns editable connection notes and message drafts with supported personalization. Sending is a separate permitted action; manual handoff shall be available when no approved sending integration exists.</w:t>
      </w:r>
    </w:p>
    <w:p>
      <w:r>
        <w:rPr>
          <w:b/>
        </w:rPr>
        <w:t xml:space="preserve">A03 </w:t>
      </w:r>
      <w:r>
        <w:t>Follow-up Planner accepts conversation state and a configured cadence. It returns scheduled follow-up drafts and next actions. A reply, booking, stop request or owner cancellation suppresses incompatible future touches.</w:t>
      </w:r>
    </w:p>
    <w:p>
      <w:pPr>
        <w:pStyle w:val="Heading2"/>
      </w:pPr>
      <w:r>
        <w:t>6.2 Meta Ads</w:t>
      </w:r>
    </w:p>
    <w:p>
      <w:r>
        <w:rPr>
          <w:b/>
        </w:rPr>
        <w:t xml:space="preserve">A04 </w:t>
      </w:r>
      <w:r>
        <w:t>Creative Strategist accepts approved offers, brand assets and supplied or permitted campaign evidence. It returns creative briefs, hooks, scripts and variant hypotheses. Proposed claims shall trace to approved proof.</w:t>
      </w:r>
    </w:p>
    <w:p>
      <w:r>
        <w:rPr>
          <w:b/>
        </w:rPr>
        <w:t xml:space="preserve">A05 </w:t>
      </w:r>
      <w:r>
        <w:t>Performance Analyst accepts authorized campaign metrics and conversion definitions. It returns performance comparisons and recommendations with date range and data quality notes. It shall not change spend, activate campaigns or interpret missing conversion data as zero performance.</w:t>
      </w:r>
    </w:p>
    <w:p>
      <w:pPr>
        <w:pStyle w:val="Heading2"/>
      </w:pPr>
      <w:r>
        <w:t>6.3 YouTube</w:t>
      </w:r>
    </w:p>
    <w:p>
      <w:r>
        <w:rPr>
          <w:b/>
        </w:rPr>
        <w:t xml:space="preserve">A06 </w:t>
      </w:r>
      <w:r>
        <w:t>Scriptwriter accepts customer topics, sales questions and approved knowledge. It returns outlines, scripts, titles, descriptions and calls to action. Factual claims require sources or review.</w:t>
      </w:r>
    </w:p>
    <w:p>
      <w:r>
        <w:rPr>
          <w:b/>
        </w:rPr>
        <w:t xml:space="preserve">A07 </w:t>
      </w:r>
      <w:r>
        <w:t>Clipper accepts authorized footage and transcripts. It proposes timestamped clips, captions and export settings, then delegates rendering to the media service. It shall validate timestamp bounds, media ownership confirmation and export success; publishing remains separate.</w:t>
      </w:r>
    </w:p>
    <w:p>
      <w:pPr>
        <w:pStyle w:val="Heading2"/>
      </w:pPr>
      <w:r>
        <w:t>6.4 Cold Email</w:t>
      </w:r>
    </w:p>
    <w:p>
      <w:r>
        <w:rPr>
          <w:b/>
        </w:rPr>
        <w:t xml:space="preserve">A08 </w:t>
      </w:r>
      <w:r>
        <w:t>List Builder accepts permitted imports or data-provider results. It returns normalized contacts, duplicates, qualification fields and available verification status. An inferred address shall never be labeled verified without evidence from the selected verification method.</w:t>
      </w:r>
    </w:p>
    <w:p>
      <w:r>
        <w:rPr>
          <w:b/>
        </w:rPr>
        <w:t xml:space="preserve">A09 </w:t>
      </w:r>
      <w:r>
        <w:t>Email Sequencer accepts approved contacts, consent or other applicable outreach eligibility, offers and cadence. It returns a versioned sequence and scheduled drafts. Approved delivery shall enforce suppression, mailbox limits, quiet hours and connection health.</w:t>
      </w:r>
    </w:p>
    <w:p>
      <w:pPr>
        <w:pStyle w:val="Heading2"/>
      </w:pPr>
      <w:r>
        <w:t>6.5 Cold Calling</w:t>
      </w:r>
    </w:p>
    <w:p>
      <w:r>
        <w:rPr>
          <w:b/>
        </w:rPr>
        <w:t xml:space="preserve">A10 </w:t>
      </w:r>
      <w:r>
        <w:t>Call Prepper accepts eligible contacts, interaction history and call objectives. It returns ranked call tasks, factual context and openers. The human caller places the call in this department.</w:t>
      </w:r>
    </w:p>
    <w:p>
      <w:r>
        <w:rPr>
          <w:b/>
        </w:rPr>
        <w:t xml:space="preserve">A11 </w:t>
      </w:r>
      <w:r>
        <w:t>Call Note Taker accepts user notes or an authorized transcript. It returns a structured outcome, documented pain points, next action and date. CRM updates shall preserve the source and flag uncertain fields for correction.</w:t>
      </w:r>
    </w:p>
    <w:p>
      <w:pPr>
        <w:pStyle w:val="Heading2"/>
      </w:pPr>
      <w:r>
        <w:t>6.6 Cold SMS</w:t>
      </w:r>
    </w:p>
    <w:p>
      <w:r>
        <w:rPr>
          <w:b/>
        </w:rPr>
        <w:t xml:space="preserve">A12 </w:t>
      </w:r>
      <w:r>
        <w:t>SMS Writer accepts eligible opted-in contacts, approved templates and purpose. It returns short drafts and channel-required opt-out wording. Encoding, segment count and estimated delivery cost shall be checked by the SMS adapter before dispatch.</w:t>
      </w:r>
    </w:p>
    <w:p>
      <w:r>
        <w:rPr>
          <w:b/>
        </w:rPr>
        <w:t xml:space="preserve">A13 </w:t>
      </w:r>
      <w:r>
        <w:t>SMS Reply Handler accepts inbound texts. It classifies intent, creates draft replies and prioritizes stop requests. Suppression shall take effect before a sales reply can be dispatched; ambiguous stop requests shall be held for review.</w:t>
      </w:r>
    </w:p>
    <w:p>
      <w:pPr>
        <w:pStyle w:val="Heading2"/>
      </w:pPr>
      <w:r>
        <w:t>6.7 AI Dialer</w:t>
      </w:r>
    </w:p>
    <w:p>
      <w:r>
        <w:rPr>
          <w:b/>
        </w:rPr>
        <w:t xml:space="preserve">A14 </w:t>
      </w:r>
      <w:r>
        <w:t>Voice Agent accepts a permitted contact request, approved script and configured qualifying questions. It identifies itself as an AI assistant, stays within script permissions, supports human escalation and records the outcome. Calling, recording and transcription prerequisites depend on the enabled market and provider.</w:t>
      </w:r>
    </w:p>
    <w:p>
      <w:r>
        <w:rPr>
          <w:b/>
        </w:rPr>
        <w:t xml:space="preserve">A15 </w:t>
      </w:r>
      <w:r>
        <w:t>Voice QA Agent accepts authorized recordings or transcripts and a review rubric. It returns scores, evidence timestamps, disclosure or script issues and escalation flags. An unavailable recording shall produce “not assessed,” not a passing score.</w:t>
      </w:r>
    </w:p>
    <w:p>
      <w:pPr>
        <w:pStyle w:val="Heading2"/>
      </w:pPr>
      <w:r>
        <w:t>6.8 Lead Finder</w:t>
      </w:r>
    </w:p>
    <w:p>
      <w:r>
        <w:rPr>
          <w:b/>
        </w:rPr>
        <w:t xml:space="preserve">A16 </w:t>
      </w:r>
      <w:r>
        <w:t>Signal Scout accepts permitted sources and search criteria. It returns dated, source-linked business signals. Paid data sources require an enabled entitlement and budget; unavailable sources must be visible.</w:t>
      </w:r>
    </w:p>
    <w:p>
      <w:r>
        <w:rPr>
          <w:b/>
        </w:rPr>
        <w:t xml:space="preserve">A17 </w:t>
      </w:r>
      <w:r>
        <w:t>Lead Scorer accepts validated signals and a configurable scoring rubric. It returns a bounded score, contributing evidence and routing recommendation. The scoring formula shall state how sums are normalized or capped and how missing fields are treated.</w:t>
      </w:r>
    </w:p>
    <w:p>
      <w:pPr>
        <w:pStyle w:val="Heading2"/>
      </w:pPr>
      <w:r>
        <w:t>6.9 Inbox</w:t>
      </w:r>
    </w:p>
    <w:p>
      <w:r>
        <w:rPr>
          <w:b/>
        </w:rPr>
        <w:t xml:space="preserve">A18 </w:t>
      </w:r>
      <w:r>
        <w:t>Triage Agent accepts authorized inbound messages. It returns intent, urgency, assigned owner and recommended next action. Stop, complaint, account-security and ambiguous messages shall have explicit escalation routes.</w:t>
      </w:r>
    </w:p>
    <w:p>
      <w:r>
        <w:rPr>
          <w:b/>
        </w:rPr>
        <w:t xml:space="preserve">A19 </w:t>
      </w:r>
      <w:r>
        <w:t>Responder accepts the message, verified conversation history and approved business knowledge. It returns an editable answer or request for missing information. It shall not promise unsupported prices, availability or outcomes and shall request review when facts are insufficient.</w:t>
      </w:r>
    </w:p>
    <w:p>
      <w:pPr>
        <w:pStyle w:val="Heading2"/>
      </w:pPr>
      <w:r>
        <w:t>6.10 Pre-call Briefs</w:t>
      </w:r>
    </w:p>
    <w:p>
      <w:r>
        <w:rPr>
          <w:b/>
        </w:rPr>
        <w:t xml:space="preserve">A20 </w:t>
      </w:r>
      <w:r>
        <w:t>Prospect Researcher accepts authorized CRM data and permitted source material. It returns sourced context, known needs and explicit information gaps. Estimated values shall be labeled estimates and never presented as verified revenue.</w:t>
      </w:r>
    </w:p>
    <w:p>
      <w:r>
        <w:rPr>
          <w:b/>
        </w:rPr>
        <w:t xml:space="preserve">A21 </w:t>
      </w:r>
      <w:r>
        <w:t>Brief Writer accepts the research packet and meeting details. It returns a concise brief containing context, documented needs, questions, likely objections and approved offer options. Rescheduled meetings shall invalidate outdated scheduling information.</w:t>
      </w:r>
    </w:p>
    <w:p>
      <w:pPr>
        <w:pStyle w:val="Heading2"/>
      </w:pPr>
      <w:r>
        <w:t>6.11 Offer Builder</w:t>
      </w:r>
    </w:p>
    <w:p>
      <w:r>
        <w:rPr>
          <w:b/>
        </w:rPr>
        <w:t xml:space="preserve">A22 </w:t>
      </w:r>
      <w:r>
        <w:t>Offer Architect accepts confirmed discovery notes, approved packages and price boundaries. It returns a proposed scope and rationale. Requests outside approved boundaries shall be escalated rather than silently accepted.</w:t>
      </w:r>
    </w:p>
    <w:p>
      <w:r>
        <w:rPr>
          <w:b/>
        </w:rPr>
        <w:t xml:space="preserve">A23 </w:t>
      </w:r>
      <w:r>
        <w:t>Proposal Writer accepts the reviewed scope. It returns a versioned proposal with deliverables, assumptions, commercial terms and next steps. Final release requires approval; signing or accepting a contract is outside its authority.</w:t>
      </w:r>
    </w:p>
    <w:p>
      <w:pPr>
        <w:pStyle w:val="Heading2"/>
      </w:pPr>
      <w:r>
        <w:t>6.12 Call Review</w:t>
      </w:r>
    </w:p>
    <w:p>
      <w:r>
        <w:rPr>
          <w:b/>
        </w:rPr>
        <w:t xml:space="preserve">A24 </w:t>
      </w:r>
      <w:r>
        <w:t>Sales Call Analyst accepts an authorized transcript and rubric. It returns evidence-based scoring and clearly separates observed behavior from inference. Transcript quality issues shall be disclosed in the assessment.</w:t>
      </w:r>
    </w:p>
    <w:p>
      <w:r>
        <w:rPr>
          <w:b/>
        </w:rPr>
        <w:t xml:space="preserve">A25 </w:t>
      </w:r>
      <w:r>
        <w:t>Sales Coach accepts the analysis and approved sales playbook. It returns prioritized improvements and practice suggestions. It shall not modify approved sales claims or prices to improve a score.</w:t>
      </w:r>
    </w:p>
    <w:p>
      <w:pPr>
        <w:pStyle w:val="Heading2"/>
      </w:pPr>
      <w:r>
        <w:t>6.13 Shared Core</w:t>
      </w:r>
    </w:p>
    <w:p>
      <w:r>
        <w:rPr>
          <w:b/>
        </w:rPr>
        <w:t xml:space="preserve">A26 </w:t>
      </w:r>
      <w:r>
        <w:t>Orchestrator accepts events and authorized goals. It selects approved workflows, routes typed outputs, checks prerequisites and composes status summaries. It cannot override permissions, grant access, execute unrestricted code or create unlimited subtasks.</w:t>
      </w:r>
    </w:p>
    <w:p>
      <w:pPr>
        <w:pStyle w:val="Heading2"/>
      </w:pPr>
      <w:r>
        <w:t>6.14 Revenue Bank</w:t>
      </w:r>
    </w:p>
    <w:p>
      <w:r>
        <w:rPr>
          <w:b/>
        </w:rPr>
        <w:t xml:space="preserve">A27 </w:t>
      </w:r>
      <w:r>
        <w:t>Revenue Analyst accepts confirmed CRM, payment and cost records. It returns reconciled reporting, attribution views and improvement suggestions. It shall distinguish cash received from pipeline, handle refunds and incomplete data, and never transfer funds.</w:t>
      </w:r>
    </w:p>
    <w:p>
      <w:pPr>
        <w:pStyle w:val="Heading1"/>
      </w:pPr>
      <w:r>
        <w:t>7 Execution states and automation policy</w:t>
      </w:r>
    </w:p>
    <w:p>
      <w:pPr>
        <w:pStyle w:val="Heading2"/>
      </w:pPr>
      <w:r>
        <w:t>7.1 Task state model</w:t>
      </w:r>
    </w:p>
    <w:p>
      <w:r>
        <w:t>New tasks enter Queued only after basic authorization and budget checks. Queued tasks become Running when leased by a worker. Running tasks can enter Waiting for approval, Waiting for input, Waiting for connection, Waiting for quota, Retry scheduled, Completed, Failed or Cancel requested. A cancellation becomes Cancelled after outstanding actions have been reconciled. Completed and Cancelled are terminal; a user-requested rerun creates a new run linked to its predecessor.</w:t>
      </w:r>
    </w:p>
    <w:p>
      <w:r>
        <w:t>An approval rejection returns the affected task to Requires changes or Cancelled according to workflow configuration. An approval timeout becomes Expired and does not imply consent. A worker crash returns an unacknowledged step to recovery after lease expiry; recovery checks side-effect records before repeating work.</w:t>
      </w:r>
    </w:p>
    <w:p>
      <w:pPr>
        <w:pStyle w:val="Heading2"/>
      </w:pPr>
      <w:r>
        <w:t>7.2 Policy precedence</w:t>
      </w:r>
    </w:p>
    <w:p>
      <w:r>
        <w:t>Enforcement order shall be platform restrictions, tenant authorization, recipient suppression and eligibility, channel restrictions, workspace policy, workflow policy, approval validity and available budget. A lower-level setting cannot weaken a higher-level restriction. Automatic mode authorizes only actions explicitly allowed within this hierarchy.</w:t>
      </w:r>
    </w:p>
    <w:p>
      <w:pPr>
        <w:pStyle w:val="Heading2"/>
      </w:pPr>
      <w:r>
        <w:t>7.3 Agent visual states</w:t>
      </w:r>
    </w:p>
    <w:p>
      <w:r>
        <w:t>Pixel characters and room badges shall derive from actual run events: idle, queued, working, awaiting review, blocked, paused or offline. A simulated character shall remain explicitly labeled Demo. Multiple tasks may be summarized, but the customer must be able to inspect the underlying runs. Visual motion must never imply a successful send or sale without a recorded result.</w:t>
      </w:r>
    </w:p>
    <w:p>
      <w:pPr>
        <w:pStyle w:val="Heading1"/>
      </w:pPr>
      <w:r>
        <w:t>8 Credits and subscription rules</w:t>
      </w:r>
    </w:p>
    <w:p>
      <w:pPr>
        <w:pStyle w:val="Heading2"/>
      </w:pPr>
      <w:r>
        <w:t>8.1 Plans and entitlements</w:t>
      </w:r>
    </w:p>
    <w:p>
      <w:r>
        <w:rPr>
          <w:b/>
        </w:rPr>
        <w:t xml:space="preserve">BIL-01 </w:t>
      </w:r>
      <w:r>
        <w:t>The system shall support configurable recurring plans, trial eligibility, included credits, seat limits, enabled departments, concurrency ceilings, storage limits and separately priced channel services. Final prices and commercial plan names remain undecided.</w:t>
      </w:r>
    </w:p>
    <w:p>
      <w:r>
        <w:rPr>
          <w:b/>
        </w:rPr>
        <w:t xml:space="preserve">BIL-02 </w:t>
      </w:r>
      <w:r>
        <w:t>Subscription states shall include trial, active, payment pending, past due, cancelled at period end, expired and suspended. A verified payment event, not a browser redirect alone, shall activate paid entitlements.</w:t>
      </w:r>
    </w:p>
    <w:p>
      <w:r>
        <w:rPr>
          <w:b/>
        </w:rPr>
        <w:t xml:space="preserve">BIL-03 </w:t>
      </w:r>
      <w:r>
        <w:t>Renewals, upgrades, downgrades, cancellation, invoices and payment failures shall be visible. Proration, grace period and rollover shall follow published plan rules; they shall not be guessed by an agent.</w:t>
      </w:r>
    </w:p>
    <w:p>
      <w:r>
        <w:rPr>
          <w:b/>
        </w:rPr>
        <w:t xml:space="preserve">BIL-04 </w:t>
      </w:r>
      <w:r>
        <w:t>Payment webhook events shall be verified, deduplicated and reconciled. Out-of-order events shall not reactivate an obsolete subscription. Refunds and chargebacks shall have an auditable entitlement policy.</w:t>
      </w:r>
    </w:p>
    <w:p>
      <w:pPr>
        <w:pStyle w:val="Heading2"/>
      </w:pPr>
      <w:r>
        <w:t>8.2 Credit lifecycle</w:t>
      </w:r>
    </w:p>
    <w:p>
      <w:r>
        <w:rPr>
          <w:b/>
        </w:rPr>
        <w:t xml:space="preserve">CRD-01 </w:t>
      </w:r>
      <w:r>
        <w:t>Credits shall use an append-only ledger with separate grant, reservation, settlement, release, refund, expiration and administrative adjustment records. Balances shall be derived from committed transactions, not editable UI counters.</w:t>
      </w:r>
    </w:p>
    <w:p>
      <w:r>
        <w:rPr>
          <w:b/>
        </w:rPr>
        <w:t xml:space="preserve">CRD-02 </w:t>
      </w:r>
      <w:r>
        <w:t>A run shall reserve its authorized maximum charge atomically before dispatch. Concurrent runs shall not reserve the same balance. A larger required budget shall pause work for a new authorization; it shall not silently overdraw the wallet.</w:t>
      </w:r>
    </w:p>
    <w:p>
      <w:r>
        <w:rPr>
          <w:b/>
        </w:rPr>
        <w:t xml:space="preserve">CRD-03 </w:t>
      </w:r>
      <w:r>
        <w:t>On success, the system shall settle according to the pricing policy version shown before execution and release the unused reservation. Per-step settlement may apply to long workflows only when its partial-completion policy is disclosed.</w:t>
      </w:r>
    </w:p>
    <w:p>
      <w:r>
        <w:rPr>
          <w:b/>
        </w:rPr>
        <w:t xml:space="preserve">CRD-04 </w:t>
      </w:r>
      <w:r>
        <w:t>Platform-caused duplicate executions or failures shall not create additional customer charges. A successfully delivered, separately billable channel action may remain charged even if a later step fails, provided the policy disclosed this in advance. Provider costs and customer charges shall remain separately reconcilable.</w:t>
      </w:r>
    </w:p>
    <w:p>
      <w:r>
        <w:rPr>
          <w:b/>
        </w:rPr>
        <w:t xml:space="preserve">CRD-05 </w:t>
      </w:r>
      <w:r>
        <w:t>Cancellation shall release unused reserves. An already completed approved step may retain its disclosed charge. Ledger corrections shall use compensating entries and never rewrite historical transactions.</w:t>
      </w:r>
    </w:p>
    <w:p>
      <w:r>
        <w:rPr>
          <w:b/>
        </w:rPr>
        <w:t xml:space="preserve">CRD-06 </w:t>
      </w:r>
      <w:r>
        <w:t>The system shall show estimated cost, remaining credits, reserved credits, settled usage and external channel fees. A credit shall not be advertised as a fixed token amount unless the pricing definition actually guarantees that mapping.</w:t>
      </w:r>
    </w:p>
    <w:p>
      <w:pPr>
        <w:pStyle w:val="Heading2"/>
      </w:pPr>
      <w:r>
        <w:t>8.3 Free tier and customer key routing</w:t>
      </w:r>
    </w:p>
    <w:p>
      <w:r>
        <w:rPr>
          <w:b/>
        </w:rPr>
        <w:t xml:space="preserve">CST-01 </w:t>
      </w:r>
      <w:r>
        <w:t>The AI gateway shall support platform-funded limited trial usage, eligible free provider tiers, customer-owned API keys and managed paid usage as configurable options. Availability is dependent on provider terms and account eligibility, not a permanent entitlement.</w:t>
      </w:r>
    </w:p>
    <w:p>
      <w:r>
        <w:rPr>
          <w:b/>
        </w:rPr>
        <w:t xml:space="preserve">CST-02 </w:t>
      </w:r>
      <w:r>
        <w:t>Free-tier quotas, supported models, approved data classes and reset behavior shall be configuration records. Exhaustion shall queue, pause or fail with a clear reason. Paid fallback requires an explicitly authorized budget and eligible data policy.</w:t>
      </w:r>
    </w:p>
    <w:p>
      <w:r>
        <w:rPr>
          <w:b/>
        </w:rPr>
        <w:t xml:space="preserve">CST-03 </w:t>
      </w:r>
      <w:r>
        <w:t>Customer API keys shall be encrypted, masked, scoped to the tenant and used only server-side. Removing a key shall stop future provider calls. BYOK changes who pays the provider; software or orchestration charges may still apply if disclosed.</w:t>
      </w:r>
    </w:p>
    <w:p>
      <w:r>
        <w:rPr>
          <w:b/>
        </w:rPr>
        <w:t xml:space="preserve">CST-04 </w:t>
      </w:r>
      <w:r>
        <w:t>Reuse of verified results, caching, bounded context and deterministic calculations shall reduce avoidable AI calls. Cache keys shall include tenant, knowledge and prompt versions; sensitive cross-tenant caching is prohibited.</w:t>
      </w:r>
    </w:p>
    <w:p>
      <w:r>
        <w:rPr>
          <w:b/>
        </w:rPr>
        <w:t xml:space="preserve">CST-05 </w:t>
      </w:r>
      <w:r>
        <w:t>Voice transport, SMS, email verification, lead enrichment, ads and media rendering shall have separate cost accounting. The product shall not represent free text generation as free delivery of those services.</w:t>
      </w:r>
    </w:p>
    <w:p>
      <w:pPr>
        <w:pStyle w:val="Heading1"/>
      </w:pPr>
      <w:r>
        <w:t>9 System architecture</w:t>
      </w:r>
    </w:p>
    <w:p>
      <w:pPr>
        <w:pStyle w:val="Heading2"/>
      </w:pPr>
      <w:r>
        <w:t>9.1 Logical components</w:t>
      </w:r>
    </w:p>
    <w:p>
      <w:r>
        <w:t>The web application provides the customer and administration interfaces. An authenticated API resolves permissions and tenant context. The workflow service owns task state and scheduling. Queue workers execute bounded agent steps. The AI gateway abstracts model providers, enforces data routing and captures usage. The tool gateway performs typed, authorized integration actions. Knowledge services manage extraction and retrieval. Billing services manage subscription events and credit transactions. Event and reporting services expose operational history and business metrics.</w:t>
      </w:r>
    </w:p>
    <w:p>
      <w:r>
        <w:t>Media processing shall run outside request handlers in workers suitable for video and audio workloads. A relational database shall be the system of record for transactional data, and object storage shall hold uploaded files and generated artifacts. A retrieval index may be added where justified; it shall not replace authoritative business records.</w:t>
      </w:r>
    </w:p>
    <w:p>
      <w:pPr>
        <w:pStyle w:val="Heading2"/>
      </w:pPr>
      <w:r>
        <w:t>9.2 Runtime flow</w:t>
      </w:r>
    </w:p>
    <w:p>
      <w:r>
        <w:t>User or event trigger -&gt; authentication and tenant resolution -&gt; workflow selection -&gt; permission and eligibility checks -&gt; atomic budget reservation -&gt; durable enqueue -&gt; worker lease -&gt; versioned knowledge retrieval -&gt; model or deterministic computation -&gt; schema and policy validation -&gt; approval where required -&gt; tool action with idempotency -&gt; result event -&gt; credit settlement -&gt; dashboard update.</w:t>
      </w:r>
    </w:p>
    <w:p>
      <w:r>
        <w:t>An external message arriving during a delayed sequence shall update the contact before the next outbound dispatch check. A dashboard disconnect shall not stop valid background tasks. A service restart shall not lose queued work or its budget reservations.</w:t>
      </w:r>
    </w:p>
    <w:p>
      <w:pPr>
        <w:pStyle w:val="Heading2"/>
      </w:pPr>
      <w:r>
        <w:t>9.3 Deployment approach</w:t>
      </w:r>
    </w:p>
    <w:p>
      <w:r>
        <w:t>A modular application with separately deployed background workers is a reasonable initial topology. These logical components do not require independent microservices on day one. Separate modules, typed contracts and migration discipline shall support later scaling without changing the product's tenant model.</w:t>
      </w:r>
    </w:p>
    <w:p>
      <w:r>
        <w:t>Development, staging and production shall use separate credentials, databases, queues and billing environments. A deployment shall support health checks, compatible database migrations, feature flags and rollback. Secrets shall be managed outside source files and frontend bundles.</w:t>
      </w:r>
    </w:p>
    <w:p>
      <w:pPr>
        <w:pStyle w:val="Heading2"/>
      </w:pPr>
      <w:r>
        <w:t>9.4 Event and consistency model</w:t>
      </w:r>
    </w:p>
    <w:p>
      <w:r>
        <w:t>Use at-least-once event processing with idempotent consumers rather than promising exactly-once network delivery. A transactional outbox or equivalent shall commit domain changes and their publishable events together. Consumer deduplication, correlation identifiers and replay controls shall prevent repeated side effects.</w:t>
      </w:r>
    </w:p>
    <w:p>
      <w:r>
        <w:t>An event envelope shall carry event identifier, schema version, tenant, entity, event type, occurred time, received time, correlation and causation identifiers, with a minimal payload. Out-of-order updates shall use entity versions or reconciliation. The UI shall identify stale data instead of showing obsolete values as live.</w:t>
      </w:r>
    </w:p>
    <w:p>
      <w:pPr>
        <w:pStyle w:val="Heading1"/>
      </w:pPr>
      <w:r>
        <w:t>10 Data model and isolation</w:t>
      </w:r>
    </w:p>
    <w:p>
      <w:pPr>
        <w:pStyle w:val="Heading2"/>
      </w:pPr>
      <w:r>
        <w:t>10.1 Principal entities</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376"/>
        <w:gridCol w:w="3816"/>
        <w:gridCol w:w="2203"/>
      </w:tblGrid>
      <w:tr>
        <w:trPr>
          <w:cantSplit/>
          <w:tblHeader/>
        </w:trPr>
        <w:tc>
          <w:tcPr>
            <w:tcW w:type="dxa" w:w="2376"/>
            <w:vAlign w:val="center"/>
            <w:shd w:fill="20344A"/>
            <w:tcMar>
              <w:top w:w="85" w:type="dxa"/>
              <w:bottom w:w="85" w:type="dxa"/>
              <w:left w:w="85" w:type="dxa"/>
              <w:right w:w="85" w:type="dxa"/>
            </w:tcMar>
          </w:tcPr>
          <w:p>
            <w:pPr>
              <w:spacing w:before="80" w:after="80" w:line="252" w:lineRule="auto"/>
            </w:pPr>
            <w:r>
              <w:rPr>
                <w:b/>
                <w:color w:val="FFFFFF"/>
                <w:sz w:val="19"/>
              </w:rPr>
              <w:t>Entity group</w:t>
            </w:r>
          </w:p>
        </w:tc>
        <w:tc>
          <w:tcPr>
            <w:tcW w:type="dxa" w:w="3816"/>
            <w:vAlign w:val="center"/>
            <w:shd w:fill="20344A"/>
            <w:tcMar>
              <w:top w:w="85" w:type="dxa"/>
              <w:bottom w:w="85" w:type="dxa"/>
              <w:left w:w="85" w:type="dxa"/>
              <w:right w:w="85" w:type="dxa"/>
            </w:tcMar>
          </w:tcPr>
          <w:p>
            <w:pPr>
              <w:spacing w:before="80" w:after="80" w:line="252" w:lineRule="auto"/>
            </w:pPr>
            <w:r>
              <w:rPr>
                <w:b/>
                <w:color w:val="FFFFFF"/>
                <w:sz w:val="19"/>
              </w:rPr>
              <w:t>Principal records</w:t>
            </w:r>
          </w:p>
        </w:tc>
        <w:tc>
          <w:tcPr>
            <w:tcW w:type="dxa" w:w="2203"/>
            <w:vAlign w:val="center"/>
            <w:shd w:fill="20344A"/>
            <w:tcMar>
              <w:top w:w="85" w:type="dxa"/>
              <w:bottom w:w="85" w:type="dxa"/>
              <w:left w:w="85" w:type="dxa"/>
              <w:right w:w="85" w:type="dxa"/>
            </w:tcMar>
          </w:tcPr>
          <w:p>
            <w:pPr>
              <w:spacing w:before="80" w:after="80" w:line="252" w:lineRule="auto"/>
            </w:pPr>
            <w:r>
              <w:rPr>
                <w:b/>
                <w:color w:val="FFFFFF"/>
                <w:sz w:val="19"/>
              </w:rPr>
              <w:t>Required relationship</w:t>
            </w:r>
          </w:p>
        </w:tc>
      </w:tr>
      <w:tr>
        <w:trPr>
          <w:cantSplit/>
        </w:trPr>
        <w:tc>
          <w:tcPr>
            <w:tcW w:type="dxa" w:w="2376"/>
            <w:vAlign w:val="center"/>
            <w:shd w:fill="F1F4F7"/>
            <w:tcMar>
              <w:top w:w="85" w:type="dxa"/>
              <w:bottom w:w="85" w:type="dxa"/>
              <w:left w:w="85" w:type="dxa"/>
              <w:right w:w="85" w:type="dxa"/>
            </w:tcMar>
          </w:tcPr>
          <w:p>
            <w:pPr>
              <w:spacing w:before="80" w:after="80" w:line="252" w:lineRule="auto"/>
            </w:pPr>
            <w:r>
              <w:rPr>
                <w:sz w:val="19"/>
              </w:rPr>
              <w:t>Access</w:t>
            </w:r>
          </w:p>
        </w:tc>
        <w:tc>
          <w:tcPr>
            <w:tcW w:type="dxa" w:w="3816"/>
            <w:vAlign w:val="center"/>
            <w:shd w:fill="F1F4F7"/>
            <w:tcMar>
              <w:top w:w="85" w:type="dxa"/>
              <w:bottom w:w="85" w:type="dxa"/>
              <w:left w:w="85" w:type="dxa"/>
              <w:right w:w="85" w:type="dxa"/>
            </w:tcMar>
          </w:tcPr>
          <w:p>
            <w:pPr>
              <w:spacing w:before="80" w:after="80" w:line="252" w:lineRule="auto"/>
            </w:pPr>
            <w:r>
              <w:rPr>
                <w:sz w:val="19"/>
              </w:rPr>
              <w:t>User, Tenant, Membership, Role, Session</w:t>
            </w:r>
          </w:p>
        </w:tc>
        <w:tc>
          <w:tcPr>
            <w:tcW w:type="dxa" w:w="2203"/>
            <w:vAlign w:val="center"/>
            <w:shd w:fill="F1F4F7"/>
            <w:tcMar>
              <w:top w:w="85" w:type="dxa"/>
              <w:bottom w:w="85" w:type="dxa"/>
              <w:left w:w="85" w:type="dxa"/>
              <w:right w:w="85" w:type="dxa"/>
            </w:tcMar>
          </w:tcPr>
          <w:p>
            <w:pPr>
              <w:spacing w:before="80" w:after="80" w:line="252" w:lineRule="auto"/>
            </w:pPr>
            <w:r>
              <w:rPr>
                <w:sz w:val="19"/>
              </w:rPr>
              <w:t>Membership joins user to tenant</w:t>
            </w:r>
          </w:p>
        </w:tc>
      </w:tr>
      <w:tr>
        <w:trPr>
          <w:cantSplit/>
        </w:trPr>
        <w:tc>
          <w:tcPr>
            <w:tcW w:type="dxa" w:w="2376"/>
            <w:vAlign w:val="center"/>
            <w:shd w:fill="FFFFFF"/>
            <w:tcMar>
              <w:top w:w="85" w:type="dxa"/>
              <w:bottom w:w="85" w:type="dxa"/>
              <w:left w:w="85" w:type="dxa"/>
              <w:right w:w="85" w:type="dxa"/>
            </w:tcMar>
          </w:tcPr>
          <w:p>
            <w:pPr>
              <w:spacing w:before="80" w:after="80" w:line="252" w:lineRule="auto"/>
            </w:pPr>
            <w:r>
              <w:rPr>
                <w:sz w:val="19"/>
              </w:rPr>
              <w:t>Business</w:t>
            </w:r>
          </w:p>
        </w:tc>
        <w:tc>
          <w:tcPr>
            <w:tcW w:type="dxa" w:w="3816"/>
            <w:vAlign w:val="center"/>
            <w:shd w:fill="FFFFFF"/>
            <w:tcMar>
              <w:top w:w="85" w:type="dxa"/>
              <w:bottom w:w="85" w:type="dxa"/>
              <w:left w:w="85" w:type="dxa"/>
              <w:right w:w="85" w:type="dxa"/>
            </w:tcMar>
          </w:tcPr>
          <w:p>
            <w:pPr>
              <w:spacing w:before="80" w:after="80" w:line="252" w:lineRule="auto"/>
            </w:pPr>
            <w:r>
              <w:rPr>
                <w:sz w:val="19"/>
              </w:rPr>
              <w:t>BusinessProfile, Offer, BrandVoice, Policy</w:t>
            </w:r>
          </w:p>
        </w:tc>
        <w:tc>
          <w:tcPr>
            <w:tcW w:type="dxa" w:w="2203"/>
            <w:vAlign w:val="center"/>
            <w:shd w:fill="FFFFFF"/>
            <w:tcMar>
              <w:top w:w="85" w:type="dxa"/>
              <w:bottom w:w="85" w:type="dxa"/>
              <w:left w:w="85" w:type="dxa"/>
              <w:right w:w="85" w:type="dxa"/>
            </w:tcMar>
          </w:tcPr>
          <w:p>
            <w:pPr>
              <w:spacing w:before="80" w:after="80" w:line="252" w:lineRule="auto"/>
            </w:pPr>
            <w:r>
              <w:rPr>
                <w:sz w:val="19"/>
              </w:rPr>
              <w:t>Owned by one tenant</w:t>
            </w:r>
          </w:p>
        </w:tc>
      </w:tr>
      <w:tr>
        <w:trPr>
          <w:cantSplit/>
        </w:trPr>
        <w:tc>
          <w:tcPr>
            <w:tcW w:type="dxa" w:w="2376"/>
            <w:vAlign w:val="center"/>
            <w:shd w:fill="F1F4F7"/>
            <w:tcMar>
              <w:top w:w="85" w:type="dxa"/>
              <w:bottom w:w="85" w:type="dxa"/>
              <w:left w:w="85" w:type="dxa"/>
              <w:right w:w="85" w:type="dxa"/>
            </w:tcMar>
          </w:tcPr>
          <w:p>
            <w:pPr>
              <w:spacing w:before="80" w:after="80" w:line="252" w:lineRule="auto"/>
            </w:pPr>
            <w:r>
              <w:rPr>
                <w:sz w:val="19"/>
              </w:rPr>
              <w:t>Knowledge</w:t>
            </w:r>
          </w:p>
        </w:tc>
        <w:tc>
          <w:tcPr>
            <w:tcW w:type="dxa" w:w="3816"/>
            <w:vAlign w:val="center"/>
            <w:shd w:fill="F1F4F7"/>
            <w:tcMar>
              <w:top w:w="85" w:type="dxa"/>
              <w:bottom w:w="85" w:type="dxa"/>
              <w:left w:w="85" w:type="dxa"/>
              <w:right w:w="85" w:type="dxa"/>
            </w:tcMar>
          </w:tcPr>
          <w:p>
            <w:pPr>
              <w:spacing w:before="80" w:after="80" w:line="252" w:lineRule="auto"/>
            </w:pPr>
            <w:r>
              <w:rPr>
                <w:sz w:val="19"/>
              </w:rPr>
              <w:t>Source, DocumentVersion, Chunk, Evidence</w:t>
            </w:r>
          </w:p>
        </w:tc>
        <w:tc>
          <w:tcPr>
            <w:tcW w:type="dxa" w:w="2203"/>
            <w:vAlign w:val="center"/>
            <w:shd w:fill="F1F4F7"/>
            <w:tcMar>
              <w:top w:w="85" w:type="dxa"/>
              <w:bottom w:w="85" w:type="dxa"/>
              <w:left w:w="85" w:type="dxa"/>
              <w:right w:w="85" w:type="dxa"/>
            </w:tcMar>
          </w:tcPr>
          <w:p>
            <w:pPr>
              <w:spacing w:before="80" w:after="80" w:line="252" w:lineRule="auto"/>
            </w:pPr>
            <w:r>
              <w:rPr>
                <w:sz w:val="19"/>
              </w:rPr>
              <w:t>Linked to tenant and source version</w:t>
            </w:r>
          </w:p>
        </w:tc>
      </w:tr>
      <w:tr>
        <w:trPr>
          <w:cantSplit/>
        </w:trPr>
        <w:tc>
          <w:tcPr>
            <w:tcW w:type="dxa" w:w="2376"/>
            <w:vAlign w:val="center"/>
            <w:shd w:fill="FFFFFF"/>
            <w:tcMar>
              <w:top w:w="85" w:type="dxa"/>
              <w:bottom w:w="85" w:type="dxa"/>
              <w:left w:w="85" w:type="dxa"/>
              <w:right w:w="85" w:type="dxa"/>
            </w:tcMar>
          </w:tcPr>
          <w:p>
            <w:pPr>
              <w:spacing w:before="80" w:after="80" w:line="252" w:lineRule="auto"/>
            </w:pPr>
            <w:r>
              <w:rPr>
                <w:sz w:val="19"/>
              </w:rPr>
              <w:t>CRM</w:t>
            </w:r>
          </w:p>
        </w:tc>
        <w:tc>
          <w:tcPr>
            <w:tcW w:type="dxa" w:w="3816"/>
            <w:vAlign w:val="center"/>
            <w:shd w:fill="FFFFFF"/>
            <w:tcMar>
              <w:top w:w="85" w:type="dxa"/>
              <w:bottom w:w="85" w:type="dxa"/>
              <w:left w:w="85" w:type="dxa"/>
              <w:right w:w="85" w:type="dxa"/>
            </w:tcMar>
          </w:tcPr>
          <w:p>
            <w:pPr>
              <w:spacing w:before="80" w:after="80" w:line="252" w:lineRule="auto"/>
            </w:pPr>
            <w:r>
              <w:rPr>
                <w:sz w:val="19"/>
              </w:rPr>
              <w:t>Contact, Company, Opportunity, Consent, Suppression</w:t>
            </w:r>
          </w:p>
        </w:tc>
        <w:tc>
          <w:tcPr>
            <w:tcW w:type="dxa" w:w="2203"/>
            <w:vAlign w:val="center"/>
            <w:shd w:fill="FFFFFF"/>
            <w:tcMar>
              <w:top w:w="85" w:type="dxa"/>
              <w:bottom w:w="85" w:type="dxa"/>
              <w:left w:w="85" w:type="dxa"/>
              <w:right w:w="85" w:type="dxa"/>
            </w:tcMar>
          </w:tcPr>
          <w:p>
            <w:pPr>
              <w:spacing w:before="80" w:after="80" w:line="252" w:lineRule="auto"/>
            </w:pPr>
            <w:r>
              <w:rPr>
                <w:sz w:val="19"/>
              </w:rPr>
              <w:t>Tenant ownership on all records</w:t>
            </w:r>
          </w:p>
        </w:tc>
      </w:tr>
      <w:tr>
        <w:trPr>
          <w:cantSplit/>
        </w:trPr>
        <w:tc>
          <w:tcPr>
            <w:tcW w:type="dxa" w:w="2376"/>
            <w:vAlign w:val="center"/>
            <w:shd w:fill="F1F4F7"/>
            <w:tcMar>
              <w:top w:w="85" w:type="dxa"/>
              <w:bottom w:w="85" w:type="dxa"/>
              <w:left w:w="85" w:type="dxa"/>
              <w:right w:w="85" w:type="dxa"/>
            </w:tcMar>
          </w:tcPr>
          <w:p>
            <w:pPr>
              <w:spacing w:before="80" w:after="80" w:line="252" w:lineRule="auto"/>
            </w:pPr>
            <w:r>
              <w:rPr>
                <w:sz w:val="19"/>
              </w:rPr>
              <w:t>Conversations</w:t>
            </w:r>
          </w:p>
        </w:tc>
        <w:tc>
          <w:tcPr>
            <w:tcW w:type="dxa" w:w="3816"/>
            <w:vAlign w:val="center"/>
            <w:shd w:fill="F1F4F7"/>
            <w:tcMar>
              <w:top w:w="85" w:type="dxa"/>
              <w:bottom w:w="85" w:type="dxa"/>
              <w:left w:w="85" w:type="dxa"/>
              <w:right w:w="85" w:type="dxa"/>
            </w:tcMar>
          </w:tcPr>
          <w:p>
            <w:pPr>
              <w:spacing w:before="80" w:after="80" w:line="252" w:lineRule="auto"/>
            </w:pPr>
            <w:r>
              <w:rPr>
                <w:sz w:val="19"/>
              </w:rPr>
              <w:t>Conversation, Message, Attachment, Delivery</w:t>
            </w:r>
          </w:p>
        </w:tc>
        <w:tc>
          <w:tcPr>
            <w:tcW w:type="dxa" w:w="2203"/>
            <w:vAlign w:val="center"/>
            <w:shd w:fill="F1F4F7"/>
            <w:tcMar>
              <w:top w:w="85" w:type="dxa"/>
              <w:bottom w:w="85" w:type="dxa"/>
              <w:left w:w="85" w:type="dxa"/>
              <w:right w:w="85" w:type="dxa"/>
            </w:tcMar>
          </w:tcPr>
          <w:p>
            <w:pPr>
              <w:spacing w:before="80" w:after="80" w:line="252" w:lineRule="auto"/>
            </w:pPr>
            <w:r>
              <w:rPr>
                <w:sz w:val="19"/>
              </w:rPr>
              <w:t>Linked to contact and integration</w:t>
            </w:r>
          </w:p>
        </w:tc>
      </w:tr>
      <w:tr>
        <w:trPr>
          <w:cantSplit/>
        </w:trPr>
        <w:tc>
          <w:tcPr>
            <w:tcW w:type="dxa" w:w="2376"/>
            <w:vAlign w:val="center"/>
            <w:shd w:fill="FFFFFF"/>
            <w:tcMar>
              <w:top w:w="85" w:type="dxa"/>
              <w:bottom w:w="85" w:type="dxa"/>
              <w:left w:w="85" w:type="dxa"/>
              <w:right w:w="85" w:type="dxa"/>
            </w:tcMar>
          </w:tcPr>
          <w:p>
            <w:pPr>
              <w:spacing w:before="80" w:after="80" w:line="252" w:lineRule="auto"/>
            </w:pPr>
            <w:r>
              <w:rPr>
                <w:sz w:val="19"/>
              </w:rPr>
              <w:t>Automation</w:t>
            </w:r>
          </w:p>
        </w:tc>
        <w:tc>
          <w:tcPr>
            <w:tcW w:type="dxa" w:w="3816"/>
            <w:vAlign w:val="center"/>
            <w:shd w:fill="FFFFFF"/>
            <w:tcMar>
              <w:top w:w="85" w:type="dxa"/>
              <w:bottom w:w="85" w:type="dxa"/>
              <w:left w:w="85" w:type="dxa"/>
              <w:right w:w="85" w:type="dxa"/>
            </w:tcMar>
          </w:tcPr>
          <w:p>
            <w:pPr>
              <w:spacing w:before="80" w:after="80" w:line="252" w:lineRule="auto"/>
            </w:pPr>
            <w:r>
              <w:rPr>
                <w:sz w:val="19"/>
              </w:rPr>
              <w:t>AgentTemplate, AgentInstance, WorkflowVersion</w:t>
            </w:r>
          </w:p>
        </w:tc>
        <w:tc>
          <w:tcPr>
            <w:tcW w:type="dxa" w:w="2203"/>
            <w:vAlign w:val="center"/>
            <w:shd w:fill="FFFFFF"/>
            <w:tcMar>
              <w:top w:w="85" w:type="dxa"/>
              <w:bottom w:w="85" w:type="dxa"/>
              <w:left w:w="85" w:type="dxa"/>
              <w:right w:w="85" w:type="dxa"/>
            </w:tcMar>
          </w:tcPr>
          <w:p>
            <w:pPr>
              <w:spacing w:before="80" w:after="80" w:line="252" w:lineRule="auto"/>
            </w:pPr>
            <w:r>
              <w:rPr>
                <w:sz w:val="19"/>
              </w:rPr>
              <w:t>Global templates instantiate within tenant</w:t>
            </w:r>
          </w:p>
        </w:tc>
      </w:tr>
      <w:tr>
        <w:trPr>
          <w:cantSplit/>
        </w:trPr>
        <w:tc>
          <w:tcPr>
            <w:tcW w:type="dxa" w:w="2376"/>
            <w:vAlign w:val="center"/>
            <w:shd w:fill="F1F4F7"/>
            <w:tcMar>
              <w:top w:w="85" w:type="dxa"/>
              <w:bottom w:w="85" w:type="dxa"/>
              <w:left w:w="85" w:type="dxa"/>
              <w:right w:w="85" w:type="dxa"/>
            </w:tcMar>
          </w:tcPr>
          <w:p>
            <w:pPr>
              <w:spacing w:before="80" w:after="80" w:line="252" w:lineRule="auto"/>
            </w:pPr>
            <w:r>
              <w:rPr>
                <w:sz w:val="19"/>
              </w:rPr>
              <w:t>Execution</w:t>
            </w:r>
          </w:p>
        </w:tc>
        <w:tc>
          <w:tcPr>
            <w:tcW w:type="dxa" w:w="3816"/>
            <w:vAlign w:val="center"/>
            <w:shd w:fill="F1F4F7"/>
            <w:tcMar>
              <w:top w:w="85" w:type="dxa"/>
              <w:bottom w:w="85" w:type="dxa"/>
              <w:left w:w="85" w:type="dxa"/>
              <w:right w:w="85" w:type="dxa"/>
            </w:tcMar>
          </w:tcPr>
          <w:p>
            <w:pPr>
              <w:spacing w:before="80" w:after="80" w:line="252" w:lineRule="auto"/>
            </w:pPr>
            <w:r>
              <w:rPr>
                <w:sz w:val="19"/>
              </w:rPr>
              <w:t>Run, StepAttempt, Schedule, ToolAction, Output</w:t>
            </w:r>
          </w:p>
        </w:tc>
        <w:tc>
          <w:tcPr>
            <w:tcW w:type="dxa" w:w="2203"/>
            <w:vAlign w:val="center"/>
            <w:shd w:fill="F1F4F7"/>
            <w:tcMar>
              <w:top w:w="85" w:type="dxa"/>
              <w:bottom w:w="85" w:type="dxa"/>
              <w:left w:w="85" w:type="dxa"/>
              <w:right w:w="85" w:type="dxa"/>
            </w:tcMar>
          </w:tcPr>
          <w:p>
            <w:pPr>
              <w:spacing w:before="80" w:after="80" w:line="252" w:lineRule="auto"/>
            </w:pPr>
            <w:r>
              <w:rPr>
                <w:sz w:val="19"/>
              </w:rPr>
              <w:t>Linked to tenant and versioned workflow</w:t>
            </w:r>
          </w:p>
        </w:tc>
      </w:tr>
      <w:tr>
        <w:trPr>
          <w:cantSplit/>
        </w:trPr>
        <w:tc>
          <w:tcPr>
            <w:tcW w:type="dxa" w:w="2376"/>
            <w:vAlign w:val="center"/>
            <w:shd w:fill="FFFFFF"/>
            <w:tcMar>
              <w:top w:w="85" w:type="dxa"/>
              <w:bottom w:w="85" w:type="dxa"/>
              <w:left w:w="85" w:type="dxa"/>
              <w:right w:w="85" w:type="dxa"/>
            </w:tcMar>
          </w:tcPr>
          <w:p>
            <w:pPr>
              <w:spacing w:before="80" w:after="80" w:line="252" w:lineRule="auto"/>
            </w:pPr>
            <w:r>
              <w:rPr>
                <w:sz w:val="19"/>
              </w:rPr>
              <w:t>Review</w:t>
            </w:r>
          </w:p>
        </w:tc>
        <w:tc>
          <w:tcPr>
            <w:tcW w:type="dxa" w:w="3816"/>
            <w:vAlign w:val="center"/>
            <w:shd w:fill="FFFFFF"/>
            <w:tcMar>
              <w:top w:w="85" w:type="dxa"/>
              <w:bottom w:w="85" w:type="dxa"/>
              <w:left w:w="85" w:type="dxa"/>
              <w:right w:w="85" w:type="dxa"/>
            </w:tcMar>
          </w:tcPr>
          <w:p>
            <w:pPr>
              <w:spacing w:before="80" w:after="80" w:line="252" w:lineRule="auto"/>
            </w:pPr>
            <w:r>
              <w:rPr>
                <w:sz w:val="19"/>
              </w:rPr>
              <w:t>Approval, ReviewDecision, ArtifactVersion</w:t>
            </w:r>
          </w:p>
        </w:tc>
        <w:tc>
          <w:tcPr>
            <w:tcW w:type="dxa" w:w="2203"/>
            <w:vAlign w:val="center"/>
            <w:shd w:fill="FFFFFF"/>
            <w:tcMar>
              <w:top w:w="85" w:type="dxa"/>
              <w:bottom w:w="85" w:type="dxa"/>
              <w:left w:w="85" w:type="dxa"/>
              <w:right w:w="85" w:type="dxa"/>
            </w:tcMar>
          </w:tcPr>
          <w:p>
            <w:pPr>
              <w:spacing w:before="80" w:after="80" w:line="252" w:lineRule="auto"/>
            </w:pPr>
            <w:r>
              <w:rPr>
                <w:sz w:val="19"/>
              </w:rPr>
              <w:t>Exact artifact and action binding</w:t>
            </w:r>
          </w:p>
        </w:tc>
      </w:tr>
      <w:tr>
        <w:trPr>
          <w:cantSplit/>
        </w:trPr>
        <w:tc>
          <w:tcPr>
            <w:tcW w:type="dxa" w:w="2376"/>
            <w:vAlign w:val="center"/>
            <w:shd w:fill="F1F4F7"/>
            <w:tcMar>
              <w:top w:w="85" w:type="dxa"/>
              <w:bottom w:w="85" w:type="dxa"/>
              <w:left w:w="85" w:type="dxa"/>
              <w:right w:w="85" w:type="dxa"/>
            </w:tcMar>
          </w:tcPr>
          <w:p>
            <w:pPr>
              <w:spacing w:before="80" w:after="80" w:line="252" w:lineRule="auto"/>
            </w:pPr>
            <w:r>
              <w:rPr>
                <w:sz w:val="19"/>
              </w:rPr>
              <w:t>Integrations</w:t>
            </w:r>
          </w:p>
        </w:tc>
        <w:tc>
          <w:tcPr>
            <w:tcW w:type="dxa" w:w="3816"/>
            <w:vAlign w:val="center"/>
            <w:shd w:fill="F1F4F7"/>
            <w:tcMar>
              <w:top w:w="85" w:type="dxa"/>
              <w:bottom w:w="85" w:type="dxa"/>
              <w:left w:w="85" w:type="dxa"/>
              <w:right w:w="85" w:type="dxa"/>
            </w:tcMar>
          </w:tcPr>
          <w:p>
            <w:pPr>
              <w:spacing w:before="80" w:after="80" w:line="252" w:lineRule="auto"/>
            </w:pPr>
            <w:r>
              <w:rPr>
                <w:sz w:val="19"/>
              </w:rPr>
              <w:t>Connection, CredentialReference, SyncCursor</w:t>
            </w:r>
          </w:p>
        </w:tc>
        <w:tc>
          <w:tcPr>
            <w:tcW w:type="dxa" w:w="2203"/>
            <w:vAlign w:val="center"/>
            <w:shd w:fill="F1F4F7"/>
            <w:tcMar>
              <w:top w:w="85" w:type="dxa"/>
              <w:bottom w:w="85" w:type="dxa"/>
              <w:left w:w="85" w:type="dxa"/>
              <w:right w:w="85" w:type="dxa"/>
            </w:tcMar>
          </w:tcPr>
          <w:p>
            <w:pPr>
              <w:spacing w:before="80" w:after="80" w:line="252" w:lineRule="auto"/>
            </w:pPr>
            <w:r>
              <w:rPr>
                <w:sz w:val="19"/>
              </w:rPr>
              <w:t>Tenant account and scoped authorization</w:t>
            </w:r>
          </w:p>
        </w:tc>
      </w:tr>
      <w:tr>
        <w:trPr>
          <w:cantSplit/>
        </w:trPr>
        <w:tc>
          <w:tcPr>
            <w:tcW w:type="dxa" w:w="2376"/>
            <w:vAlign w:val="center"/>
            <w:shd w:fill="FFFFFF"/>
            <w:tcMar>
              <w:top w:w="85" w:type="dxa"/>
              <w:bottom w:w="85" w:type="dxa"/>
              <w:left w:w="85" w:type="dxa"/>
              <w:right w:w="85" w:type="dxa"/>
            </w:tcMar>
          </w:tcPr>
          <w:p>
            <w:pPr>
              <w:spacing w:before="80" w:after="80" w:line="252" w:lineRule="auto"/>
            </w:pPr>
            <w:r>
              <w:rPr>
                <w:sz w:val="19"/>
              </w:rPr>
              <w:t>Billing</w:t>
            </w:r>
          </w:p>
        </w:tc>
        <w:tc>
          <w:tcPr>
            <w:tcW w:type="dxa" w:w="3816"/>
            <w:vAlign w:val="center"/>
            <w:shd w:fill="FFFFFF"/>
            <w:tcMar>
              <w:top w:w="85" w:type="dxa"/>
              <w:bottom w:w="85" w:type="dxa"/>
              <w:left w:w="85" w:type="dxa"/>
              <w:right w:w="85" w:type="dxa"/>
            </w:tcMar>
          </w:tcPr>
          <w:p>
            <w:pPr>
              <w:spacing w:before="80" w:after="80" w:line="252" w:lineRule="auto"/>
            </w:pPr>
            <w:r>
              <w:rPr>
                <w:sz w:val="19"/>
              </w:rPr>
              <w:t>PlanVersion, Subscription, InvoiceReference</w:t>
            </w:r>
          </w:p>
        </w:tc>
        <w:tc>
          <w:tcPr>
            <w:tcW w:type="dxa" w:w="2203"/>
            <w:vAlign w:val="center"/>
            <w:shd w:fill="FFFFFF"/>
            <w:tcMar>
              <w:top w:w="85" w:type="dxa"/>
              <w:bottom w:w="85" w:type="dxa"/>
              <w:left w:w="85" w:type="dxa"/>
              <w:right w:w="85" w:type="dxa"/>
            </w:tcMar>
          </w:tcPr>
          <w:p>
            <w:pPr>
              <w:spacing w:before="80" w:after="80" w:line="252" w:lineRule="auto"/>
            </w:pPr>
            <w:r>
              <w:rPr>
                <w:sz w:val="19"/>
              </w:rPr>
              <w:t>Tenant and verified provider events</w:t>
            </w:r>
          </w:p>
        </w:tc>
      </w:tr>
      <w:tr>
        <w:trPr>
          <w:cantSplit/>
        </w:trPr>
        <w:tc>
          <w:tcPr>
            <w:tcW w:type="dxa" w:w="2376"/>
            <w:vAlign w:val="center"/>
            <w:shd w:fill="F1F4F7"/>
            <w:tcMar>
              <w:top w:w="85" w:type="dxa"/>
              <w:bottom w:w="85" w:type="dxa"/>
              <w:left w:w="85" w:type="dxa"/>
              <w:right w:w="85" w:type="dxa"/>
            </w:tcMar>
          </w:tcPr>
          <w:p>
            <w:pPr>
              <w:spacing w:before="80" w:after="80" w:line="252" w:lineRule="auto"/>
            </w:pPr>
            <w:r>
              <w:rPr>
                <w:sz w:val="19"/>
              </w:rPr>
              <w:t>Usage</w:t>
            </w:r>
          </w:p>
        </w:tc>
        <w:tc>
          <w:tcPr>
            <w:tcW w:type="dxa" w:w="3816"/>
            <w:vAlign w:val="center"/>
            <w:shd w:fill="F1F4F7"/>
            <w:tcMar>
              <w:top w:w="85" w:type="dxa"/>
              <w:bottom w:w="85" w:type="dxa"/>
              <w:left w:w="85" w:type="dxa"/>
              <w:right w:w="85" w:type="dxa"/>
            </w:tcMar>
          </w:tcPr>
          <w:p>
            <w:pPr>
              <w:spacing w:before="80" w:after="80" w:line="252" w:lineRule="auto"/>
            </w:pPr>
            <w:r>
              <w:rPr>
                <w:sz w:val="19"/>
              </w:rPr>
              <w:t>Wallet, CreditEntry, Reservation, ProviderUsage</w:t>
            </w:r>
          </w:p>
        </w:tc>
        <w:tc>
          <w:tcPr>
            <w:tcW w:type="dxa" w:w="2203"/>
            <w:vAlign w:val="center"/>
            <w:shd w:fill="F1F4F7"/>
            <w:tcMar>
              <w:top w:w="85" w:type="dxa"/>
              <w:bottom w:w="85" w:type="dxa"/>
              <w:left w:w="85" w:type="dxa"/>
              <w:right w:w="85" w:type="dxa"/>
            </w:tcMar>
          </w:tcPr>
          <w:p>
            <w:pPr>
              <w:spacing w:before="80" w:after="80" w:line="252" w:lineRule="auto"/>
            </w:pPr>
            <w:r>
              <w:rPr>
                <w:sz w:val="19"/>
              </w:rPr>
              <w:t>Run and pricing policy references</w:t>
            </w:r>
          </w:p>
        </w:tc>
      </w:tr>
      <w:tr>
        <w:trPr>
          <w:cantSplit/>
        </w:trPr>
        <w:tc>
          <w:tcPr>
            <w:tcW w:type="dxa" w:w="2376"/>
            <w:vAlign w:val="center"/>
            <w:shd w:fill="FFFFFF"/>
            <w:tcMar>
              <w:top w:w="85" w:type="dxa"/>
              <w:bottom w:w="85" w:type="dxa"/>
              <w:left w:w="85" w:type="dxa"/>
              <w:right w:w="85" w:type="dxa"/>
            </w:tcMar>
          </w:tcPr>
          <w:p>
            <w:pPr>
              <w:spacing w:before="80" w:after="80" w:line="252" w:lineRule="auto"/>
            </w:pPr>
            <w:r>
              <w:rPr>
                <w:sz w:val="19"/>
              </w:rPr>
              <w:t>Reporting</w:t>
            </w:r>
          </w:p>
        </w:tc>
        <w:tc>
          <w:tcPr>
            <w:tcW w:type="dxa" w:w="3816"/>
            <w:vAlign w:val="center"/>
            <w:shd w:fill="FFFFFF"/>
            <w:tcMar>
              <w:top w:w="85" w:type="dxa"/>
              <w:bottom w:w="85" w:type="dxa"/>
              <w:left w:w="85" w:type="dxa"/>
              <w:right w:w="85" w:type="dxa"/>
            </w:tcMar>
          </w:tcPr>
          <w:p>
            <w:pPr>
              <w:spacing w:before="80" w:after="80" w:line="252" w:lineRule="auto"/>
            </w:pPr>
            <w:r>
              <w:rPr>
                <w:sz w:val="19"/>
              </w:rPr>
              <w:t>PaymentRecord, Attribution, MetricSnapshot</w:t>
            </w:r>
          </w:p>
        </w:tc>
        <w:tc>
          <w:tcPr>
            <w:tcW w:type="dxa" w:w="2203"/>
            <w:vAlign w:val="center"/>
            <w:shd w:fill="FFFFFF"/>
            <w:tcMar>
              <w:top w:w="85" w:type="dxa"/>
              <w:bottom w:w="85" w:type="dxa"/>
              <w:left w:w="85" w:type="dxa"/>
              <w:right w:w="85" w:type="dxa"/>
            </w:tcMar>
          </w:tcPr>
          <w:p>
            <w:pPr>
              <w:spacing w:before="80" w:after="80" w:line="252" w:lineRule="auto"/>
            </w:pPr>
            <w:r>
              <w:rPr>
                <w:sz w:val="19"/>
              </w:rPr>
              <w:t>Source and currency retained</w:t>
            </w:r>
          </w:p>
        </w:tc>
      </w:tr>
      <w:tr>
        <w:trPr>
          <w:cantSplit/>
        </w:trPr>
        <w:tc>
          <w:tcPr>
            <w:tcW w:type="dxa" w:w="2376"/>
            <w:vAlign w:val="center"/>
            <w:shd w:fill="F1F4F7"/>
            <w:tcMar>
              <w:top w:w="85" w:type="dxa"/>
              <w:bottom w:w="85" w:type="dxa"/>
              <w:left w:w="85" w:type="dxa"/>
              <w:right w:w="85" w:type="dxa"/>
            </w:tcMar>
          </w:tcPr>
          <w:p>
            <w:pPr>
              <w:spacing w:before="80" w:after="80" w:line="252" w:lineRule="auto"/>
            </w:pPr>
            <w:r>
              <w:rPr>
                <w:sz w:val="19"/>
              </w:rPr>
              <w:t>Operations</w:t>
            </w:r>
          </w:p>
        </w:tc>
        <w:tc>
          <w:tcPr>
            <w:tcW w:type="dxa" w:w="3816"/>
            <w:vAlign w:val="center"/>
            <w:shd w:fill="F1F4F7"/>
            <w:tcMar>
              <w:top w:w="85" w:type="dxa"/>
              <w:bottom w:w="85" w:type="dxa"/>
              <w:left w:w="85" w:type="dxa"/>
              <w:right w:w="85" w:type="dxa"/>
            </w:tcMar>
          </w:tcPr>
          <w:p>
            <w:pPr>
              <w:spacing w:before="80" w:after="80" w:line="252" w:lineRule="auto"/>
            </w:pPr>
            <w:r>
              <w:rPr>
                <w:sz w:val="19"/>
              </w:rPr>
              <w:t>AuditEvent, Notification, SupportGrant, Incident</w:t>
            </w:r>
          </w:p>
        </w:tc>
        <w:tc>
          <w:tcPr>
            <w:tcW w:type="dxa" w:w="2203"/>
            <w:vAlign w:val="center"/>
            <w:shd w:fill="F1F4F7"/>
            <w:tcMar>
              <w:top w:w="85" w:type="dxa"/>
              <w:bottom w:w="85" w:type="dxa"/>
              <w:left w:w="85" w:type="dxa"/>
              <w:right w:w="85" w:type="dxa"/>
            </w:tcMar>
          </w:tcPr>
          <w:p>
            <w:pPr>
              <w:spacing w:before="80" w:after="80" w:line="252" w:lineRule="auto"/>
            </w:pPr>
            <w:r>
              <w:rPr>
                <w:sz w:val="19"/>
              </w:rPr>
              <w:t>Actor, tenant where relevant and retention</w:t>
            </w:r>
          </w:p>
        </w:tc>
      </w:tr>
    </w:tbl>
    <w:p>
      <w:pPr>
        <w:spacing w:after="40"/>
      </w:pPr>
    </w:p>
    <w:p>
      <w:pPr>
        <w:pStyle w:val="Heading2"/>
      </w:pPr>
      <w:r>
        <w:t>10.2 Storage rules</w:t>
      </w:r>
    </w:p>
    <w:p>
      <w:r>
        <w:rPr>
          <w:b/>
        </w:rPr>
        <w:t xml:space="preserve">DAT-01 </w:t>
      </w:r>
      <w:r>
        <w:t>Tenant-owned entities shall contain a tenant identifier and be protected by database-level policies or an equivalently tested enforcement boundary. Queries, joins, cache lookups, exports and background jobs shall enforce ownership.</w:t>
      </w:r>
    </w:p>
    <w:p>
      <w:r>
        <w:rPr>
          <w:b/>
        </w:rPr>
        <w:t xml:space="preserve">DAT-02 </w:t>
      </w:r>
      <w:r>
        <w:t>Object storage paths and signed downloads shall be tenant-scoped. A guessed identifier or expired link shall not reveal another customer's files. Uploaded content shall be validated and scanned before agent processing.</w:t>
      </w:r>
    </w:p>
    <w:p>
      <w:r>
        <w:rPr>
          <w:b/>
        </w:rPr>
        <w:t xml:space="preserve">DAT-03 </w:t>
      </w:r>
      <w:r>
        <w:t>Sensitive secrets shall be stored in a secret manager or encrypted credential store, referenced by identifier and excluded from model input, logs and exports. Secret access shall be auditable.</w:t>
      </w:r>
    </w:p>
    <w:p>
      <w:r>
        <w:rPr>
          <w:b/>
        </w:rPr>
        <w:t xml:space="preserve">DAT-04 </w:t>
      </w:r>
      <w:r>
        <w:t>Records shall preserve creation, modification and source metadata. Financial and audit histories shall be append-only or tamper-evident. Normal business edits shall use optimistic concurrency or equivalent conflict detection.</w:t>
      </w:r>
    </w:p>
    <w:p>
      <w:r>
        <w:rPr>
          <w:b/>
        </w:rPr>
        <w:t xml:space="preserve">DAT-05 </w:t>
      </w:r>
      <w:r>
        <w:t>Customers shall export supported business records and request deletion. Proposed default operational retention is 90 days for run diagnostics and 30 days for raw call media; these are decision targets, not enacted policy. Financial, legal and backup retention must be established before launch.</w:t>
      </w:r>
    </w:p>
    <w:p>
      <w:r>
        <w:rPr>
          <w:b/>
        </w:rPr>
        <w:t xml:space="preserve">DAT-06 </w:t>
      </w:r>
      <w:r>
        <w:t>Deletion shall propagate to primary storage, retrieval indexes and caches, with backup expiry documented. Required minimal suppression evidence may remain only under a disclosed retention basis. Deleted content shall not reappear through later synchronization or backup restoration without an authorized recovery procedure.</w:t>
      </w:r>
    </w:p>
    <w:p>
      <w:pPr>
        <w:pStyle w:val="Heading1"/>
      </w:pPr>
      <w:r>
        <w:t>11 Interfaces and integration contracts</w:t>
      </w:r>
    </w:p>
    <w:p>
      <w:pPr>
        <w:pStyle w:val="Heading2"/>
      </w:pPr>
      <w:r>
        <w:t>11.1 Customer facing API</w:t>
      </w:r>
    </w:p>
    <w:p>
      <w:r>
        <w:rPr>
          <w:b/>
        </w:rPr>
        <w:t xml:space="preserve">API-01 </w:t>
      </w:r>
      <w:r>
        <w:t>The application API shall provide versioned operations for workspace settings, membership, knowledge, agents, workflows, runs, approvals, contacts, conversations, artifacts, integrations, reporting and billing. Every mutation shall enforce authorization and return structured errors.</w:t>
      </w:r>
    </w:p>
    <w:p>
      <w:r>
        <w:rPr>
          <w:b/>
        </w:rPr>
        <w:t xml:space="preserve">API-02 </w:t>
      </w:r>
      <w:r>
        <w:t>Create-run, approval execution, booking and payment-related mutations shall accept or generate stable idempotency keys. Responses shall include a correlation identifier and a retrievable resource state rather than claiming asynchronous work is already finished.</w:t>
      </w:r>
    </w:p>
    <w:p>
      <w:r>
        <w:rPr>
          <w:b/>
        </w:rPr>
        <w:t xml:space="preserve">API-03 </w:t>
      </w:r>
      <w:r>
        <w:t>List operations shall support bounded pagination and filters. Upload operations shall validate limits and content. Error classes shall distinguish unauthenticated, forbidden, invalid input, conflict, quota exceeded, provider unavailable and internal failure without leaking secrets.</w:t>
      </w:r>
    </w:p>
    <w:p>
      <w:pPr>
        <w:pStyle w:val="Heading2"/>
      </w:pPr>
      <w:r>
        <w:t>11.2 Integration families</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376"/>
        <w:gridCol w:w="3816"/>
        <w:gridCol w:w="2203"/>
      </w:tblGrid>
      <w:tr>
        <w:trPr>
          <w:cantSplit/>
          <w:tblHeader/>
        </w:trPr>
        <w:tc>
          <w:tcPr>
            <w:tcW w:type="dxa" w:w="2376"/>
            <w:vAlign w:val="center"/>
            <w:shd w:fill="20344A"/>
            <w:tcMar>
              <w:top w:w="85" w:type="dxa"/>
              <w:bottom w:w="85" w:type="dxa"/>
              <w:left w:w="85" w:type="dxa"/>
              <w:right w:w="85" w:type="dxa"/>
            </w:tcMar>
          </w:tcPr>
          <w:p>
            <w:pPr>
              <w:spacing w:before="80" w:after="80" w:line="252" w:lineRule="auto"/>
            </w:pPr>
            <w:r>
              <w:rPr>
                <w:b/>
                <w:color w:val="FFFFFF"/>
                <w:sz w:val="19"/>
              </w:rPr>
              <w:t>Family</w:t>
            </w:r>
          </w:p>
        </w:tc>
        <w:tc>
          <w:tcPr>
            <w:tcW w:type="dxa" w:w="3816"/>
            <w:vAlign w:val="center"/>
            <w:shd w:fill="20344A"/>
            <w:tcMar>
              <w:top w:w="85" w:type="dxa"/>
              <w:bottom w:w="85" w:type="dxa"/>
              <w:left w:w="85" w:type="dxa"/>
              <w:right w:w="85" w:type="dxa"/>
            </w:tcMar>
          </w:tcPr>
          <w:p>
            <w:pPr>
              <w:spacing w:before="80" w:after="80" w:line="252" w:lineRule="auto"/>
            </w:pPr>
            <w:r>
              <w:rPr>
                <w:b/>
                <w:color w:val="FFFFFF"/>
                <w:sz w:val="19"/>
              </w:rPr>
              <w:t>Target capabilities</w:t>
            </w:r>
          </w:p>
        </w:tc>
        <w:tc>
          <w:tcPr>
            <w:tcW w:type="dxa" w:w="2203"/>
            <w:vAlign w:val="center"/>
            <w:shd w:fill="20344A"/>
            <w:tcMar>
              <w:top w:w="85" w:type="dxa"/>
              <w:bottom w:w="85" w:type="dxa"/>
              <w:left w:w="85" w:type="dxa"/>
              <w:right w:w="85" w:type="dxa"/>
            </w:tcMar>
          </w:tcPr>
          <w:p>
            <w:pPr>
              <w:spacing w:before="80" w:after="80" w:line="252" w:lineRule="auto"/>
            </w:pPr>
            <w:r>
              <w:rPr>
                <w:b/>
                <w:color w:val="FFFFFF"/>
                <w:sz w:val="19"/>
              </w:rPr>
              <w:t>Required fallback</w:t>
            </w:r>
          </w:p>
        </w:tc>
      </w:tr>
      <w:tr>
        <w:trPr>
          <w:cantSplit/>
        </w:trPr>
        <w:tc>
          <w:tcPr>
            <w:tcW w:type="dxa" w:w="2376"/>
            <w:vAlign w:val="center"/>
            <w:shd w:fill="F1F4F7"/>
            <w:tcMar>
              <w:top w:w="85" w:type="dxa"/>
              <w:bottom w:w="85" w:type="dxa"/>
              <w:left w:w="85" w:type="dxa"/>
              <w:right w:w="85" w:type="dxa"/>
            </w:tcMar>
          </w:tcPr>
          <w:p>
            <w:pPr>
              <w:spacing w:before="80" w:after="80" w:line="252" w:lineRule="auto"/>
            </w:pPr>
            <w:r>
              <w:rPr>
                <w:sz w:val="19"/>
              </w:rPr>
              <w:t>Email</w:t>
            </w:r>
          </w:p>
        </w:tc>
        <w:tc>
          <w:tcPr>
            <w:tcW w:type="dxa" w:w="3816"/>
            <w:vAlign w:val="center"/>
            <w:shd w:fill="F1F4F7"/>
            <w:tcMar>
              <w:top w:w="85" w:type="dxa"/>
              <w:bottom w:w="85" w:type="dxa"/>
              <w:left w:w="85" w:type="dxa"/>
              <w:right w:w="85" w:type="dxa"/>
            </w:tcMar>
          </w:tcPr>
          <w:p>
            <w:pPr>
              <w:spacing w:before="80" w:after="80" w:line="252" w:lineRule="auto"/>
            </w:pPr>
            <w:r>
              <w:rPr>
                <w:sz w:val="19"/>
              </w:rPr>
              <w:t>Read permitted conversations, draft, send, delivery events</w:t>
            </w:r>
          </w:p>
        </w:tc>
        <w:tc>
          <w:tcPr>
            <w:tcW w:type="dxa" w:w="2203"/>
            <w:vAlign w:val="center"/>
            <w:shd w:fill="F1F4F7"/>
            <w:tcMar>
              <w:top w:w="85" w:type="dxa"/>
              <w:bottom w:w="85" w:type="dxa"/>
              <w:left w:w="85" w:type="dxa"/>
              <w:right w:w="85" w:type="dxa"/>
            </w:tcMar>
          </w:tcPr>
          <w:p>
            <w:pPr>
              <w:spacing w:before="80" w:after="80" w:line="252" w:lineRule="auto"/>
            </w:pPr>
            <w:r>
              <w:rPr>
                <w:sz w:val="19"/>
              </w:rPr>
              <w:t>Export draft if sending is unsupported</w:t>
            </w:r>
          </w:p>
        </w:tc>
      </w:tr>
      <w:tr>
        <w:trPr>
          <w:cantSplit/>
        </w:trPr>
        <w:tc>
          <w:tcPr>
            <w:tcW w:type="dxa" w:w="2376"/>
            <w:vAlign w:val="center"/>
            <w:shd w:fill="FFFFFF"/>
            <w:tcMar>
              <w:top w:w="85" w:type="dxa"/>
              <w:bottom w:w="85" w:type="dxa"/>
              <w:left w:w="85" w:type="dxa"/>
              <w:right w:w="85" w:type="dxa"/>
            </w:tcMar>
          </w:tcPr>
          <w:p>
            <w:pPr>
              <w:spacing w:before="80" w:after="80" w:line="252" w:lineRule="auto"/>
            </w:pPr>
            <w:r>
              <w:rPr>
                <w:sz w:val="19"/>
              </w:rPr>
              <w:t>Calendar</w:t>
            </w:r>
          </w:p>
        </w:tc>
        <w:tc>
          <w:tcPr>
            <w:tcW w:type="dxa" w:w="3816"/>
            <w:vAlign w:val="center"/>
            <w:shd w:fill="FFFFFF"/>
            <w:tcMar>
              <w:top w:w="85" w:type="dxa"/>
              <w:bottom w:w="85" w:type="dxa"/>
              <w:left w:w="85" w:type="dxa"/>
              <w:right w:w="85" w:type="dxa"/>
            </w:tcMar>
          </w:tcPr>
          <w:p>
            <w:pPr>
              <w:spacing w:before="80" w:after="80" w:line="252" w:lineRule="auto"/>
            </w:pPr>
            <w:r>
              <w:rPr>
                <w:sz w:val="19"/>
              </w:rPr>
              <w:t>Availability, event creation, rescheduling</w:t>
            </w:r>
          </w:p>
        </w:tc>
        <w:tc>
          <w:tcPr>
            <w:tcW w:type="dxa" w:w="2203"/>
            <w:vAlign w:val="center"/>
            <w:shd w:fill="FFFFFF"/>
            <w:tcMar>
              <w:top w:w="85" w:type="dxa"/>
              <w:bottom w:w="85" w:type="dxa"/>
              <w:left w:w="85" w:type="dxa"/>
              <w:right w:w="85" w:type="dxa"/>
            </w:tcMar>
          </w:tcPr>
          <w:p>
            <w:pPr>
              <w:spacing w:before="80" w:after="80" w:line="252" w:lineRule="auto"/>
            </w:pPr>
            <w:r>
              <w:rPr>
                <w:sz w:val="19"/>
              </w:rPr>
              <w:t>Manual booking handoff</w:t>
            </w:r>
          </w:p>
        </w:tc>
      </w:tr>
      <w:tr>
        <w:trPr>
          <w:cantSplit/>
        </w:trPr>
        <w:tc>
          <w:tcPr>
            <w:tcW w:type="dxa" w:w="2376"/>
            <w:vAlign w:val="center"/>
            <w:shd w:fill="F1F4F7"/>
            <w:tcMar>
              <w:top w:w="85" w:type="dxa"/>
              <w:bottom w:w="85" w:type="dxa"/>
              <w:left w:w="85" w:type="dxa"/>
              <w:right w:w="85" w:type="dxa"/>
            </w:tcMar>
          </w:tcPr>
          <w:p>
            <w:pPr>
              <w:spacing w:before="80" w:after="80" w:line="252" w:lineRule="auto"/>
            </w:pPr>
            <w:r>
              <w:rPr>
                <w:sz w:val="19"/>
              </w:rPr>
              <w:t>CRM</w:t>
            </w:r>
          </w:p>
        </w:tc>
        <w:tc>
          <w:tcPr>
            <w:tcW w:type="dxa" w:w="3816"/>
            <w:vAlign w:val="center"/>
            <w:shd w:fill="F1F4F7"/>
            <w:tcMar>
              <w:top w:w="85" w:type="dxa"/>
              <w:bottom w:w="85" w:type="dxa"/>
              <w:left w:w="85" w:type="dxa"/>
              <w:right w:w="85" w:type="dxa"/>
            </w:tcMar>
          </w:tcPr>
          <w:p>
            <w:pPr>
              <w:spacing w:before="80" w:after="80" w:line="252" w:lineRule="auto"/>
            </w:pPr>
            <w:r>
              <w:rPr>
                <w:sz w:val="19"/>
              </w:rPr>
              <w:t>Contact and opportunity sync</w:t>
            </w:r>
          </w:p>
        </w:tc>
        <w:tc>
          <w:tcPr>
            <w:tcW w:type="dxa" w:w="2203"/>
            <w:vAlign w:val="center"/>
            <w:shd w:fill="F1F4F7"/>
            <w:tcMar>
              <w:top w:w="85" w:type="dxa"/>
              <w:bottom w:w="85" w:type="dxa"/>
              <w:left w:w="85" w:type="dxa"/>
              <w:right w:w="85" w:type="dxa"/>
            </w:tcMar>
          </w:tcPr>
          <w:p>
            <w:pPr>
              <w:spacing w:before="80" w:after="80" w:line="252" w:lineRule="auto"/>
            </w:pPr>
            <w:r>
              <w:rPr>
                <w:sz w:val="19"/>
              </w:rPr>
              <w:t>Validated CSV import and export</w:t>
            </w:r>
          </w:p>
        </w:tc>
      </w:tr>
      <w:tr>
        <w:trPr>
          <w:cantSplit/>
        </w:trPr>
        <w:tc>
          <w:tcPr>
            <w:tcW w:type="dxa" w:w="2376"/>
            <w:vAlign w:val="center"/>
            <w:shd w:fill="FFFFFF"/>
            <w:tcMar>
              <w:top w:w="85" w:type="dxa"/>
              <w:bottom w:w="85" w:type="dxa"/>
              <w:left w:w="85" w:type="dxa"/>
              <w:right w:w="85" w:type="dxa"/>
            </w:tcMar>
          </w:tcPr>
          <w:p>
            <w:pPr>
              <w:spacing w:before="80" w:after="80" w:line="252" w:lineRule="auto"/>
            </w:pPr>
            <w:r>
              <w:rPr>
                <w:sz w:val="19"/>
              </w:rPr>
              <w:t>LinkedIn</w:t>
            </w:r>
          </w:p>
        </w:tc>
        <w:tc>
          <w:tcPr>
            <w:tcW w:type="dxa" w:w="3816"/>
            <w:vAlign w:val="center"/>
            <w:shd w:fill="FFFFFF"/>
            <w:tcMar>
              <w:top w:w="85" w:type="dxa"/>
              <w:bottom w:w="85" w:type="dxa"/>
              <w:left w:w="85" w:type="dxa"/>
              <w:right w:w="85" w:type="dxa"/>
            </w:tcMar>
          </w:tcPr>
          <w:p>
            <w:pPr>
              <w:spacing w:before="80" w:after="80" w:line="252" w:lineRule="auto"/>
            </w:pPr>
            <w:r>
              <w:rPr>
                <w:sz w:val="19"/>
              </w:rPr>
              <w:t>Permitted profile/context access and allowed actions</w:t>
            </w:r>
          </w:p>
        </w:tc>
        <w:tc>
          <w:tcPr>
            <w:tcW w:type="dxa" w:w="2203"/>
            <w:vAlign w:val="center"/>
            <w:shd w:fill="FFFFFF"/>
            <w:tcMar>
              <w:top w:w="85" w:type="dxa"/>
              <w:bottom w:w="85" w:type="dxa"/>
              <w:left w:w="85" w:type="dxa"/>
              <w:right w:w="85" w:type="dxa"/>
            </w:tcMar>
          </w:tcPr>
          <w:p>
            <w:pPr>
              <w:spacing w:before="80" w:after="80" w:line="252" w:lineRule="auto"/>
            </w:pPr>
            <w:r>
              <w:rPr>
                <w:sz w:val="19"/>
              </w:rPr>
              <w:t>Manual profile import and send handoff</w:t>
            </w:r>
          </w:p>
        </w:tc>
      </w:tr>
      <w:tr>
        <w:trPr>
          <w:cantSplit/>
        </w:trPr>
        <w:tc>
          <w:tcPr>
            <w:tcW w:type="dxa" w:w="2376"/>
            <w:vAlign w:val="center"/>
            <w:shd w:fill="F1F4F7"/>
            <w:tcMar>
              <w:top w:w="85" w:type="dxa"/>
              <w:bottom w:w="85" w:type="dxa"/>
              <w:left w:w="85" w:type="dxa"/>
              <w:right w:w="85" w:type="dxa"/>
            </w:tcMar>
          </w:tcPr>
          <w:p>
            <w:pPr>
              <w:spacing w:before="80" w:after="80" w:line="252" w:lineRule="auto"/>
            </w:pPr>
            <w:r>
              <w:rPr>
                <w:sz w:val="19"/>
              </w:rPr>
              <w:t>Meta Ads</w:t>
            </w:r>
          </w:p>
        </w:tc>
        <w:tc>
          <w:tcPr>
            <w:tcW w:type="dxa" w:w="3816"/>
            <w:vAlign w:val="center"/>
            <w:shd w:fill="F1F4F7"/>
            <w:tcMar>
              <w:top w:w="85" w:type="dxa"/>
              <w:bottom w:w="85" w:type="dxa"/>
              <w:left w:w="85" w:type="dxa"/>
              <w:right w:w="85" w:type="dxa"/>
            </w:tcMar>
          </w:tcPr>
          <w:p>
            <w:pPr>
              <w:spacing w:before="80" w:after="80" w:line="252" w:lineRule="auto"/>
            </w:pPr>
            <w:r>
              <w:rPr>
                <w:sz w:val="19"/>
              </w:rPr>
              <w:t>Authorized campaign analytics</w:t>
            </w:r>
          </w:p>
        </w:tc>
        <w:tc>
          <w:tcPr>
            <w:tcW w:type="dxa" w:w="2203"/>
            <w:vAlign w:val="center"/>
            <w:shd w:fill="F1F4F7"/>
            <w:tcMar>
              <w:top w:w="85" w:type="dxa"/>
              <w:bottom w:w="85" w:type="dxa"/>
              <w:left w:w="85" w:type="dxa"/>
              <w:right w:w="85" w:type="dxa"/>
            </w:tcMar>
          </w:tcPr>
          <w:p>
            <w:pPr>
              <w:spacing w:before="80" w:after="80" w:line="252" w:lineRule="auto"/>
            </w:pPr>
            <w:r>
              <w:rPr>
                <w:sz w:val="19"/>
              </w:rPr>
              <w:t>Uploaded performance report</w:t>
            </w:r>
          </w:p>
        </w:tc>
      </w:tr>
      <w:tr>
        <w:trPr>
          <w:cantSplit/>
        </w:trPr>
        <w:tc>
          <w:tcPr>
            <w:tcW w:type="dxa" w:w="2376"/>
            <w:vAlign w:val="center"/>
            <w:shd w:fill="FFFFFF"/>
            <w:tcMar>
              <w:top w:w="85" w:type="dxa"/>
              <w:bottom w:w="85" w:type="dxa"/>
              <w:left w:w="85" w:type="dxa"/>
              <w:right w:w="85" w:type="dxa"/>
            </w:tcMar>
          </w:tcPr>
          <w:p>
            <w:pPr>
              <w:spacing w:before="80" w:after="80" w:line="252" w:lineRule="auto"/>
            </w:pPr>
            <w:r>
              <w:rPr>
                <w:sz w:val="19"/>
              </w:rPr>
              <w:t>YouTube and media</w:t>
            </w:r>
          </w:p>
        </w:tc>
        <w:tc>
          <w:tcPr>
            <w:tcW w:type="dxa" w:w="3816"/>
            <w:vAlign w:val="center"/>
            <w:shd w:fill="FFFFFF"/>
            <w:tcMar>
              <w:top w:w="85" w:type="dxa"/>
              <w:bottom w:w="85" w:type="dxa"/>
              <w:left w:w="85" w:type="dxa"/>
              <w:right w:w="85" w:type="dxa"/>
            </w:tcMar>
          </w:tcPr>
          <w:p>
            <w:pPr>
              <w:spacing w:before="80" w:after="80" w:line="252" w:lineRule="auto"/>
            </w:pPr>
            <w:r>
              <w:rPr>
                <w:sz w:val="19"/>
              </w:rPr>
              <w:t>Authorized analytics, upload or media export</w:t>
            </w:r>
          </w:p>
        </w:tc>
        <w:tc>
          <w:tcPr>
            <w:tcW w:type="dxa" w:w="2203"/>
            <w:vAlign w:val="center"/>
            <w:shd w:fill="FFFFFF"/>
            <w:tcMar>
              <w:top w:w="85" w:type="dxa"/>
              <w:bottom w:w="85" w:type="dxa"/>
              <w:left w:w="85" w:type="dxa"/>
              <w:right w:w="85" w:type="dxa"/>
            </w:tcMar>
          </w:tcPr>
          <w:p>
            <w:pPr>
              <w:spacing w:before="80" w:after="80" w:line="252" w:lineRule="auto"/>
            </w:pPr>
            <w:r>
              <w:rPr>
                <w:sz w:val="19"/>
              </w:rPr>
              <w:t>Downloadable content package</w:t>
            </w:r>
          </w:p>
        </w:tc>
      </w:tr>
      <w:tr>
        <w:trPr>
          <w:cantSplit/>
        </w:trPr>
        <w:tc>
          <w:tcPr>
            <w:tcW w:type="dxa" w:w="2376"/>
            <w:vAlign w:val="center"/>
            <w:shd w:fill="F1F4F7"/>
            <w:tcMar>
              <w:top w:w="85" w:type="dxa"/>
              <w:bottom w:w="85" w:type="dxa"/>
              <w:left w:w="85" w:type="dxa"/>
              <w:right w:w="85" w:type="dxa"/>
            </w:tcMar>
          </w:tcPr>
          <w:p>
            <w:pPr>
              <w:spacing w:before="80" w:after="80" w:line="252" w:lineRule="auto"/>
            </w:pPr>
            <w:r>
              <w:rPr>
                <w:sz w:val="19"/>
              </w:rPr>
              <w:t>SMS and voice</w:t>
            </w:r>
          </w:p>
        </w:tc>
        <w:tc>
          <w:tcPr>
            <w:tcW w:type="dxa" w:w="3816"/>
            <w:vAlign w:val="center"/>
            <w:shd w:fill="F1F4F7"/>
            <w:tcMar>
              <w:top w:w="85" w:type="dxa"/>
              <w:bottom w:w="85" w:type="dxa"/>
              <w:left w:w="85" w:type="dxa"/>
              <w:right w:w="85" w:type="dxa"/>
            </w:tcMar>
          </w:tcPr>
          <w:p>
            <w:pPr>
              <w:spacing w:before="80" w:after="80" w:line="252" w:lineRule="auto"/>
            </w:pPr>
            <w:r>
              <w:rPr>
                <w:sz w:val="19"/>
              </w:rPr>
              <w:t>Eligible delivery, replies, call status</w:t>
            </w:r>
          </w:p>
        </w:tc>
        <w:tc>
          <w:tcPr>
            <w:tcW w:type="dxa" w:w="2203"/>
            <w:vAlign w:val="center"/>
            <w:shd w:fill="F1F4F7"/>
            <w:tcMar>
              <w:top w:w="85" w:type="dxa"/>
              <w:bottom w:w="85" w:type="dxa"/>
              <w:left w:w="85" w:type="dxa"/>
              <w:right w:w="85" w:type="dxa"/>
            </w:tcMar>
          </w:tcPr>
          <w:p>
            <w:pPr>
              <w:spacing w:before="80" w:after="80" w:line="252" w:lineRule="auto"/>
            </w:pPr>
            <w:r>
              <w:rPr>
                <w:sz w:val="19"/>
              </w:rPr>
              <w:t>Disable until provider and market ready</w:t>
            </w:r>
          </w:p>
        </w:tc>
      </w:tr>
      <w:tr>
        <w:trPr>
          <w:cantSplit/>
        </w:trPr>
        <w:tc>
          <w:tcPr>
            <w:tcW w:type="dxa" w:w="2376"/>
            <w:vAlign w:val="center"/>
            <w:shd w:fill="FFFFFF"/>
            <w:tcMar>
              <w:top w:w="85" w:type="dxa"/>
              <w:bottom w:w="85" w:type="dxa"/>
              <w:left w:w="85" w:type="dxa"/>
              <w:right w:w="85" w:type="dxa"/>
            </w:tcMar>
          </w:tcPr>
          <w:p>
            <w:pPr>
              <w:spacing w:before="80" w:after="80" w:line="252" w:lineRule="auto"/>
            </w:pPr>
            <w:r>
              <w:rPr>
                <w:sz w:val="19"/>
              </w:rPr>
              <w:t>Lead data</w:t>
            </w:r>
          </w:p>
        </w:tc>
        <w:tc>
          <w:tcPr>
            <w:tcW w:type="dxa" w:w="3816"/>
            <w:vAlign w:val="center"/>
            <w:shd w:fill="FFFFFF"/>
            <w:tcMar>
              <w:top w:w="85" w:type="dxa"/>
              <w:bottom w:w="85" w:type="dxa"/>
              <w:left w:w="85" w:type="dxa"/>
              <w:right w:w="85" w:type="dxa"/>
            </w:tcMar>
          </w:tcPr>
          <w:p>
            <w:pPr>
              <w:spacing w:before="80" w:after="80" w:line="252" w:lineRule="auto"/>
            </w:pPr>
            <w:r>
              <w:rPr>
                <w:sz w:val="19"/>
              </w:rPr>
              <w:t>Permitted search, enrichment and verification</w:t>
            </w:r>
          </w:p>
        </w:tc>
        <w:tc>
          <w:tcPr>
            <w:tcW w:type="dxa" w:w="2203"/>
            <w:vAlign w:val="center"/>
            <w:shd w:fill="FFFFFF"/>
            <w:tcMar>
              <w:top w:w="85" w:type="dxa"/>
              <w:bottom w:w="85" w:type="dxa"/>
              <w:left w:w="85" w:type="dxa"/>
              <w:right w:w="85" w:type="dxa"/>
            </w:tcMar>
          </w:tcPr>
          <w:p>
            <w:pPr>
              <w:spacing w:before="80" w:after="80" w:line="252" w:lineRule="auto"/>
            </w:pPr>
            <w:r>
              <w:rPr>
                <w:sz w:val="19"/>
              </w:rPr>
              <w:t>Customer-owned data import</w:t>
            </w:r>
          </w:p>
        </w:tc>
      </w:tr>
      <w:tr>
        <w:trPr>
          <w:cantSplit/>
        </w:trPr>
        <w:tc>
          <w:tcPr>
            <w:tcW w:type="dxa" w:w="2376"/>
            <w:vAlign w:val="center"/>
            <w:shd w:fill="F1F4F7"/>
            <w:tcMar>
              <w:top w:w="85" w:type="dxa"/>
              <w:bottom w:w="85" w:type="dxa"/>
              <w:left w:w="85" w:type="dxa"/>
              <w:right w:w="85" w:type="dxa"/>
            </w:tcMar>
          </w:tcPr>
          <w:p>
            <w:pPr>
              <w:spacing w:before="80" w:after="80" w:line="252" w:lineRule="auto"/>
            </w:pPr>
            <w:r>
              <w:rPr>
                <w:sz w:val="19"/>
              </w:rPr>
              <w:t>Payments</w:t>
            </w:r>
          </w:p>
        </w:tc>
        <w:tc>
          <w:tcPr>
            <w:tcW w:type="dxa" w:w="3816"/>
            <w:vAlign w:val="center"/>
            <w:shd w:fill="F1F4F7"/>
            <w:tcMar>
              <w:top w:w="85" w:type="dxa"/>
              <w:bottom w:w="85" w:type="dxa"/>
              <w:left w:w="85" w:type="dxa"/>
              <w:right w:w="85" w:type="dxa"/>
            </w:tcMar>
          </w:tcPr>
          <w:p>
            <w:pPr>
              <w:spacing w:before="80" w:after="80" w:line="252" w:lineRule="auto"/>
            </w:pPr>
            <w:r>
              <w:rPr>
                <w:sz w:val="19"/>
              </w:rPr>
              <w:t>Subscription, invoice and refund status</w:t>
            </w:r>
          </w:p>
        </w:tc>
        <w:tc>
          <w:tcPr>
            <w:tcW w:type="dxa" w:w="2203"/>
            <w:vAlign w:val="center"/>
            <w:shd w:fill="F1F4F7"/>
            <w:tcMar>
              <w:top w:w="85" w:type="dxa"/>
              <w:bottom w:w="85" w:type="dxa"/>
              <w:left w:w="85" w:type="dxa"/>
              <w:right w:w="85" w:type="dxa"/>
            </w:tcMar>
          </w:tcPr>
          <w:p>
            <w:pPr>
              <w:spacing w:before="80" w:after="80" w:line="252" w:lineRule="auto"/>
            </w:pPr>
            <w:r>
              <w:rPr>
                <w:sz w:val="19"/>
              </w:rPr>
              <w:t>Billing support; no false activation</w:t>
            </w:r>
          </w:p>
        </w:tc>
      </w:tr>
      <w:tr>
        <w:trPr>
          <w:cantSplit/>
        </w:trPr>
        <w:tc>
          <w:tcPr>
            <w:tcW w:type="dxa" w:w="2376"/>
            <w:vAlign w:val="center"/>
            <w:shd w:fill="FFFFFF"/>
            <w:tcMar>
              <w:top w:w="85" w:type="dxa"/>
              <w:bottom w:w="85" w:type="dxa"/>
              <w:left w:w="85" w:type="dxa"/>
              <w:right w:w="85" w:type="dxa"/>
            </w:tcMar>
          </w:tcPr>
          <w:p>
            <w:pPr>
              <w:spacing w:before="80" w:after="80" w:line="252" w:lineRule="auto"/>
            </w:pPr>
            <w:r>
              <w:rPr>
                <w:sz w:val="19"/>
              </w:rPr>
              <w:t>AI providers</w:t>
            </w:r>
          </w:p>
        </w:tc>
        <w:tc>
          <w:tcPr>
            <w:tcW w:type="dxa" w:w="3816"/>
            <w:vAlign w:val="center"/>
            <w:shd w:fill="FFFFFF"/>
            <w:tcMar>
              <w:top w:w="85" w:type="dxa"/>
              <w:bottom w:w="85" w:type="dxa"/>
              <w:left w:w="85" w:type="dxa"/>
              <w:right w:w="85" w:type="dxa"/>
            </w:tcMar>
          </w:tcPr>
          <w:p>
            <w:pPr>
              <w:spacing w:before="80" w:after="80" w:line="252" w:lineRule="auto"/>
            </w:pPr>
            <w:r>
              <w:rPr>
                <w:sz w:val="19"/>
              </w:rPr>
              <w:t>Structured inference and usage reporting</w:t>
            </w:r>
          </w:p>
        </w:tc>
        <w:tc>
          <w:tcPr>
            <w:tcW w:type="dxa" w:w="2203"/>
            <w:vAlign w:val="center"/>
            <w:shd w:fill="FFFFFF"/>
            <w:tcMar>
              <w:top w:w="85" w:type="dxa"/>
              <w:bottom w:w="85" w:type="dxa"/>
              <w:left w:w="85" w:type="dxa"/>
              <w:right w:w="85" w:type="dxa"/>
            </w:tcMar>
          </w:tcPr>
          <w:p>
            <w:pPr>
              <w:spacing w:before="80" w:after="80" w:line="252" w:lineRule="auto"/>
            </w:pPr>
            <w:r>
              <w:rPr>
                <w:sz w:val="19"/>
              </w:rPr>
              <w:t>Approved alternative or queued work</w:t>
            </w:r>
          </w:p>
        </w:tc>
      </w:tr>
    </w:tbl>
    <w:p>
      <w:pPr>
        <w:spacing w:after="40"/>
      </w:pPr>
    </w:p>
    <w:p>
      <w:r>
        <w:rPr>
          <w:b/>
        </w:rPr>
        <w:t xml:space="preserve">INT-01 </w:t>
      </w:r>
      <w:r>
        <w:t>Every adapter shall publish supported operations, minimum permissions, rate limits, data classes, cost model, webhook support and health state. A connection does not imply every possible operation is available.</w:t>
      </w:r>
    </w:p>
    <w:p>
      <w:r>
        <w:rPr>
          <w:b/>
        </w:rPr>
        <w:t xml:space="preserve">INT-02 </w:t>
      </w:r>
      <w:r>
        <w:t>Authorization shall use supported delegated mechanisms where available, minimum scopes and encrypted token storage. Revocation or expiry shall stop new actions and provide a reconnection path.</w:t>
      </w:r>
    </w:p>
    <w:p>
      <w:r>
        <w:rPr>
          <w:b/>
        </w:rPr>
        <w:t xml:space="preserve">INT-03 </w:t>
      </w:r>
      <w:r>
        <w:t>Inbound webhooks shall verify authenticity, reject replay where applicable, enforce payload limits and deduplicate events. Scheduled reconciliation shall recover supported missed updates.</w:t>
      </w:r>
    </w:p>
    <w:p>
      <w:r>
        <w:rPr>
          <w:b/>
        </w:rPr>
        <w:t xml:space="preserve">INT-04 </w:t>
      </w:r>
      <w:r>
        <w:t>The adapter shall normalize errors and support bounded retry, circuit breaking and reconciliation. A provider outage shall not trigger unapproved data transfer to another vendor.</w:t>
      </w:r>
    </w:p>
    <w:p>
      <w:r>
        <w:rPr>
          <w:b/>
        </w:rPr>
        <w:t xml:space="preserve">INT-05 </w:t>
      </w:r>
      <w:r>
        <w:t>Exact providers and launch markets remain selection decisions. Before enabling each adapter, its current API access, commercial permissions, data handling, quotas and test behavior shall be verified and documented.</w:t>
      </w:r>
    </w:p>
    <w:p>
      <w:pPr>
        <w:pStyle w:val="Heading1"/>
      </w:pPr>
      <w:r>
        <w:t>12 Dashboard and user experience</w:t>
      </w:r>
    </w:p>
    <w:p>
      <w:r>
        <w:rPr>
          <w:b/>
        </w:rPr>
        <w:t xml:space="preserve">UX-01 </w:t>
      </w:r>
      <w:r>
        <w:t>Primary navigation shall include Overview, Agents, Tasks, Approvals, Leads, Inbox, Calendar, Knowledge, Artifacts, Reports, Integrations, Credits and Settings. Access and subscription state shall determine availability. The platform console shall be a distinct privileged area.</w:t>
      </w:r>
    </w:p>
    <w:p>
      <w:r>
        <w:rPr>
          <w:b/>
        </w:rPr>
        <w:t xml:space="preserve">UX-02 </w:t>
      </w:r>
      <w:r>
        <w:t>Overview shall combine actionable exceptions with a business summary. Pending approvals, failed tasks and disconnected tools shall have direct next actions. Revenue and usage shall show the reporting period and whether values are verified, estimated or sample data.</w:t>
      </w:r>
    </w:p>
    <w:p>
      <w:r>
        <w:rPr>
          <w:b/>
        </w:rPr>
        <w:t xml:space="preserve">UX-03 </w:t>
      </w:r>
      <w:r>
        <w:t>Office View shall display all 14 rooms and their 27 roles using pixel desks, characters and department accents. A selected room shall open a detail panel with roles, tasks, outputs, automation mode and relevant metrics. Decorative corridors shall not obstruct controls or imply unrecorded data movement.</w:t>
      </w:r>
    </w:p>
    <w:p>
      <w:r>
        <w:rPr>
          <w:b/>
        </w:rPr>
        <w:t xml:space="preserve">UX-04 </w:t>
      </w:r>
      <w:r>
        <w:t>Compact View shall expose equivalent information in accessible lists. Search and filters shall have meaningful empty states and a clear reset. Selection and filters shall persist across navigation within the active workspace, without leaking across businesses.</w:t>
      </w:r>
    </w:p>
    <w:p>
      <w:r>
        <w:rPr>
          <w:b/>
        </w:rPr>
        <w:t xml:space="preserve">UX-05 </w:t>
      </w:r>
      <w:r>
        <w:t>Dark holographic accents shall be restrained around controls and data. Text contrast, focus indicators and error states shall remain readable without glow or color alone. Animation shall respect reduced-motion preferences and offer pause controls.</w:t>
      </w:r>
    </w:p>
    <w:p>
      <w:r>
        <w:rPr>
          <w:b/>
        </w:rPr>
        <w:t xml:space="preserve">UX-06 </w:t>
      </w:r>
      <w:r>
        <w:t>Agent execution, approval and billing states shall use distinct labels. Loading, partial failure, disconnected, insufficient credit and no-data screens shall identify what the customer can do next.</w:t>
      </w:r>
    </w:p>
    <w:p>
      <w:r>
        <w:rPr>
          <w:b/>
        </w:rPr>
        <w:t xml:space="preserve">UX-07 </w:t>
      </w:r>
      <w:r>
        <w:t>Before execution, the interface shall display action summary, mode, affected destination and estimated charge. Critical confirmations shall describe consequences specifically; routine drafting shall not require repeated modal approval.</w:t>
      </w:r>
    </w:p>
    <w:p>
      <w:r>
        <w:rPr>
          <w:b/>
        </w:rPr>
        <w:t xml:space="preserve">UX-08 </w:t>
      </w:r>
      <w:r>
        <w:t>The interface shall support desktop and mobile browsers, keyboard navigation, screen reader labels and responsive layouts down to 320 CSS pixels. Tables may scroll within a labeled region; primary navigation and action buttons shall not clip.</w:t>
      </w:r>
    </w:p>
    <w:p>
      <w:r>
        <w:rPr>
          <w:b/>
        </w:rPr>
        <w:t xml:space="preserve">UX-09 </w:t>
      </w:r>
      <w:r>
        <w:t>English is the baseline interface language. Business output language shall be configurable only for models and workflows that have passed relevant evaluation. Additional interface localization is an optional extension.</w:t>
      </w:r>
    </w:p>
    <w:p>
      <w:pPr>
        <w:pStyle w:val="Heading1"/>
      </w:pPr>
      <w:r>
        <w:t>13 Nonfunctional requirements</w:t>
      </w:r>
    </w:p>
    <w:p>
      <w:r>
        <w:t>The following are proposed engineering acceptance targets. They must be validated against the agreed launch load and infrastructure budget before being offered as a service commitment.</w:t>
      </w:r>
    </w:p>
    <w:p>
      <w:r>
        <w:rPr>
          <w:b/>
        </w:rPr>
        <w:t xml:space="preserve">NFR-01 </w:t>
      </w:r>
      <w:r>
        <w:t>Availability target: 99.5 percent monthly for the first production service boundary, measured at authenticated application endpoints excluding explicitly defined maintenance. Provider availability shall be measured separately; exclusions and an external SLA remain undecided.</w:t>
      </w:r>
    </w:p>
    <w:p>
      <w:r>
        <w:rPr>
          <w:b/>
        </w:rPr>
        <w:t xml:space="preserve">NFR-02 </w:t>
      </w:r>
      <w:r>
        <w:t>Performance target: under a declared benchmark of 100 simultaneously active users and 20 concurrent background runs, ordinary non-AI API requests shall have p95 latency below 800 milliseconds and a usable dashboard shall load within 3 seconds on the agreed test network. AI and media durations shall have separate progress and timeout handling.</w:t>
      </w:r>
    </w:p>
    <w:p>
      <w:r>
        <w:rPr>
          <w:b/>
        </w:rPr>
        <w:t xml:space="preserve">NFR-03 </w:t>
      </w:r>
      <w:r>
        <w:t>Event freshness target: status changes shall reach a connected dashboard within 5 seconds at p95 under the same benchmark. Reconnection shall reconcile missed updates and show a last-updated indicator.</w:t>
      </w:r>
    </w:p>
    <w:p>
      <w:r>
        <w:rPr>
          <w:b/>
        </w:rPr>
        <w:t xml:space="preserve">NFR-04 </w:t>
      </w:r>
      <w:r>
        <w:t>Recovery target: proposed database recovery point objective is 24 hours and recovery time objective is 8 hours for the initial service. These targets require scheduled backups, restore drills and an infrastructure plan that actually supports them; a free tier shall not be assumed to satisfy them.</w:t>
      </w:r>
    </w:p>
    <w:p>
      <w:r>
        <w:rPr>
          <w:b/>
        </w:rPr>
        <w:t xml:space="preserve">NFR-05 </w:t>
      </w:r>
      <w:r>
        <w:t>Reliability: every accepted run shall be retrievable after worker restart. Duplicate event injection and worker crash tests shall demonstrate no duplicate external effect or credit charge within the tested adapters.</w:t>
      </w:r>
    </w:p>
    <w:p>
      <w:r>
        <w:rPr>
          <w:b/>
        </w:rPr>
        <w:t xml:space="preserve">NFR-06 </w:t>
      </w:r>
      <w:r>
        <w:t>Accessibility target: WCAG 2.2 AA for core customer journeys, verified through automated checks and manual keyboard and screen-reader testing. Office View shall not be the only way to complete a task.</w:t>
      </w:r>
    </w:p>
    <w:p>
      <w:r>
        <w:rPr>
          <w:b/>
        </w:rPr>
        <w:t xml:space="preserve">NFR-07 </w:t>
      </w:r>
      <w:r>
        <w:t>Scalability: queue workers shall scale independently from the web interface. Tenant concurrency, batch sizes and storage quotas shall be configurable. Load tests shall measure fairness, queue delay and provider-limited behavior.</w:t>
      </w:r>
    </w:p>
    <w:p>
      <w:r>
        <w:rPr>
          <w:b/>
        </w:rPr>
        <w:t xml:space="preserve">NFR-08 </w:t>
      </w:r>
      <w:r>
        <w:t>Observability: correlated structured logs, metrics and traces shall cover queue delay, step duration, failures, provider calls, approval latency, delivery reconciliation and credit settlement. Logs shall minimize personal data and omit credentials.</w:t>
      </w:r>
    </w:p>
    <w:p>
      <w:r>
        <w:rPr>
          <w:b/>
        </w:rPr>
        <w:t xml:space="preserve">NFR-09 </w:t>
      </w:r>
      <w:r>
        <w:t>Maintainability: API schemas, migrations, agent contracts and deployment configuration shall be version controlled. Automated contract, regression and isolation tests shall gate releases. Database rollback or forward recovery shall be documented.</w:t>
      </w:r>
    </w:p>
    <w:p>
      <w:r>
        <w:rPr>
          <w:b/>
        </w:rPr>
        <w:t xml:space="preserve">NFR-10 </w:t>
      </w:r>
      <w:r>
        <w:t>Portability: business records and customer artifacts shall have documented export formats. AI provider adapters shall isolate vendor-specific request and response handling from workflow definitions.</w:t>
      </w:r>
    </w:p>
    <w:p>
      <w:r>
        <w:rPr>
          <w:b/>
        </w:rPr>
        <w:t xml:space="preserve">NFR-11 </w:t>
      </w:r>
      <w:r>
        <w:t>Time and currency: timestamps shall be stored consistently and displayed in user or workspace timezone; scheduled events shall retain timezone context. Decimal monetary arithmetic shall avoid floating-point rounding errors.</w:t>
      </w:r>
    </w:p>
    <w:p>
      <w:pPr>
        <w:pStyle w:val="Heading1"/>
      </w:pPr>
      <w:r>
        <w:t>14 Security and data governance</w:t>
      </w:r>
    </w:p>
    <w:p>
      <w:r>
        <w:rPr>
          <w:b/>
        </w:rPr>
        <w:t xml:space="preserve">SEC-01 </w:t>
      </w:r>
      <w:r>
        <w:t>The system shall encrypt data in transit and at rest using supported platform controls, restrict production access and rotate credentials through documented procedures.</w:t>
      </w:r>
    </w:p>
    <w:p>
      <w:r>
        <w:rPr>
          <w:b/>
        </w:rPr>
        <w:t xml:space="preserve">SEC-02 </w:t>
      </w:r>
      <w:r>
        <w:t>Access control tests shall cover guessed identifiers, altered tenant fields, signed file URLs, retrieval search, exports, asynchronous jobs and administrative support paths. No test shall return another tenant's content.</w:t>
      </w:r>
    </w:p>
    <w:p>
      <w:r>
        <w:rPr>
          <w:b/>
        </w:rPr>
        <w:t xml:space="preserve">SEC-03 </w:t>
      </w:r>
      <w:r>
        <w:t>AI-generated text shall never be evaluated as executable code or an unvalidated tool request. Tool arguments shall pass schemas, allowlists, ownership checks and action-policy checks outside the model.</w:t>
      </w:r>
    </w:p>
    <w:p>
      <w:r>
        <w:rPr>
          <w:b/>
        </w:rPr>
        <w:t xml:space="preserve">SEC-04 </w:t>
      </w:r>
      <w:r>
        <w:t>URL retrieval shall defend against internal-network requests, redirects to restricted addresses and oversized responses. Uploaded content and rendered previews shall be isolated from the primary application origin as appropriate.</w:t>
      </w:r>
    </w:p>
    <w:p>
      <w:r>
        <w:rPr>
          <w:b/>
        </w:rPr>
        <w:t xml:space="preserve">SEC-05 </w:t>
      </w:r>
      <w:r>
        <w:t>Authentication, role changes, approvals, tool execution, exports, deletions, billing adjustments and support access shall produce audit events with actor, time and result. Audit viewing shall itself be permission controlled.</w:t>
      </w:r>
    </w:p>
    <w:p>
      <w:r>
        <w:rPr>
          <w:b/>
        </w:rPr>
        <w:t xml:space="preserve">SEC-06 </w:t>
      </w:r>
      <w:r>
        <w:t>The system shall provide a subprocessor register, data-processing disclosures and configured data retention. Sending customer content to a model provider shall follow the approved data class and region policy; free-tier eligibility alone is insufficient.</w:t>
      </w:r>
    </w:p>
    <w:p>
      <w:r>
        <w:rPr>
          <w:b/>
        </w:rPr>
        <w:t xml:space="preserve">SEC-07 </w:t>
      </w:r>
      <w:r>
        <w:t>Each channel shall maintain applicable customer-configured eligibility, consent, opt-out, disclosure and recording prerequisites. Launch market requirements shall be reviewed before enabling outreach. This SRS defines controls and is not a legal determination that any particular campaign is lawful.</w:t>
      </w:r>
    </w:p>
    <w:p>
      <w:r>
        <w:rPr>
          <w:b/>
        </w:rPr>
        <w:t xml:space="preserve">SEC-08 </w:t>
      </w:r>
      <w:r>
        <w:t>Incident response shall include containment, credential revocation, evidence preservation, customer notification decision ownership and recovery verification. Emergency access shall be limited, justified and audited.</w:t>
      </w:r>
    </w:p>
    <w:p>
      <w:r>
        <w:rPr>
          <w:b/>
        </w:rPr>
        <w:t xml:space="preserve">SEC-09 </w:t>
      </w:r>
      <w:r>
        <w:t>Account closure shall provide export and cancellation options, disable execution, revoke integrations and initiate the documented deletion process. Subscription cancellation and data deletion shall be separate explicit choices.</w:t>
      </w:r>
    </w:p>
    <w:p>
      <w:pPr>
        <w:pStyle w:val="Heading1"/>
      </w:pPr>
      <w:r>
        <w:t>15 AI evaluation and release control</w:t>
      </w:r>
    </w:p>
    <w:p>
      <w:r>
        <w:rPr>
          <w:b/>
        </w:rPr>
        <w:t xml:space="preserve">EVAL-01 </w:t>
      </w:r>
      <w:r>
        <w:t>Every role shall have representative evaluation cases covering successful work, missing facts, contradictory sources, malformed input, prompt injection, tool errors and tenant isolation. Test data shall be synthetic or approved for the purpose.</w:t>
      </w:r>
    </w:p>
    <w:p>
      <w:r>
        <w:rPr>
          <w:b/>
        </w:rPr>
        <w:t xml:space="preserve">EVAL-02 </w:t>
      </w:r>
      <w:r>
        <w:t>Deterministic tests shall cover schemas, bounds, mandatory disclosures, permitted tool names, approval bindings and credit invariants. Human review shall assess relevance, evidence quality, tone and usefulness where numerical tests are insufficient.</w:t>
      </w:r>
    </w:p>
    <w:p>
      <w:r>
        <w:rPr>
          <w:b/>
        </w:rPr>
        <w:t xml:space="preserve">EVAL-03 </w:t>
      </w:r>
      <w:r>
        <w:t>Proposed launch gates are zero unauthorized tool actions and zero cross-tenant disclosures in the defined adversarial suite, at least 99 percent schema-valid outputs in the representative task suite, and at least 90 percent reviewer acceptance for the selected supported tasks. These finite-test results are not guarantees for all future inputs.</w:t>
      </w:r>
    </w:p>
    <w:p>
      <w:r>
        <w:rPr>
          <w:b/>
        </w:rPr>
        <w:t xml:space="preserve">EVAL-04 </w:t>
      </w:r>
      <w:r>
        <w:t>High-risk content and actions shall use stricter review policies even when aggregate quality scores are high. An unsupported confidence score alone shall never authorize external execution.</w:t>
      </w:r>
    </w:p>
    <w:p>
      <w:r>
        <w:rPr>
          <w:b/>
        </w:rPr>
        <w:t xml:space="preserve">EVAL-05 </w:t>
      </w:r>
      <w:r>
        <w:t>Model, prompt, workflow and retrieval changes shall pass regression testing and a limited rollout. Operators shall compare output acceptance, errors and cost before widening deployment. Rollback shall restore a known compatible version.</w:t>
      </w:r>
    </w:p>
    <w:p>
      <w:pPr>
        <w:pStyle w:val="Heading1"/>
      </w:pPr>
      <w:r>
        <w:t>16 Acceptance tests and traceability</w:t>
      </w:r>
    </w:p>
    <w:p>
      <w:r>
        <w:t>Each test below is a scenario family, not a replacement for individual test cases. The release test plan shall expand every requirement into executable or manual evidence and retain the tested versions.</w:t>
      </w:r>
    </w:p>
    <w:p>
      <w:r>
        <w:rPr>
          <w:b/>
        </w:rPr>
        <w:t xml:space="preserve">AT-01 </w:t>
      </w:r>
      <w:r>
        <w:t>Account lifecycle maps ACC-01 through ACC-05 and Section 3. Verify registration, recovery, invite expiry, role enforcement, MFA and removal of the final owner. An unauthorized role must fail at the server even when calling the API directly.</w:t>
      </w:r>
    </w:p>
    <w:p>
      <w:r>
        <w:rPr>
          <w:b/>
        </w:rPr>
        <w:t xml:space="preserve">AT-02 </w:t>
      </w:r>
      <w:r>
        <w:t>Onboarding maps ONB-01 through ONB-04. Complete setup with missing and complete inputs; confirm readiness transitions, saved progress and exclusion of sample data from live metrics.</w:t>
      </w:r>
    </w:p>
    <w:p>
      <w:r>
        <w:rPr>
          <w:b/>
        </w:rPr>
        <w:t xml:space="preserve">AT-03 </w:t>
      </w:r>
      <w:r>
        <w:t>Knowledge maps KNW-01 through KNW-06. Upload supported and invalid files, approve a version, run retrieval, delete the source and verify future retrieval and cache invalidation. Confirm the original run retains permitted version provenance.</w:t>
      </w:r>
    </w:p>
    <w:p>
      <w:r>
        <w:rPr>
          <w:b/>
        </w:rPr>
        <w:t xml:space="preserve">AT-04 </w:t>
      </w:r>
      <w:r>
        <w:t>Agent catalog maps AGT-01 through AGT-04 and A01 through A27. Count exactly 27 roles across 14 rooms. For each role test one valid input, one missing-prerequisite input and one prohibited action. Verify the declared output contract.</w:t>
      </w:r>
    </w:p>
    <w:p>
      <w:r>
        <w:rPr>
          <w:b/>
        </w:rPr>
        <w:t xml:space="preserve">AT-05 </w:t>
      </w:r>
      <w:r>
        <w:t>Orchestration maps WFL-01 through WFL-10 and Section 7. Inject duplicate events, worker crashes, stale leases, quota exhaustion, cancellation and loop attempts. Verify recovery, bounded attempts, pause behavior and no duplicate send.</w:t>
      </w:r>
    </w:p>
    <w:p>
      <w:r>
        <w:rPr>
          <w:b/>
        </w:rPr>
        <w:t xml:space="preserve">AT-06 </w:t>
      </w:r>
      <w:r>
        <w:t>Approval maps APR-01 through APR-06. Approve a draft, modify its recipient or text and attempt execution. It must require renewed approval. Test expiry, rejection, reviewer removal and automatic-mode restrictions.</w:t>
      </w:r>
    </w:p>
    <w:p>
      <w:r>
        <w:rPr>
          <w:b/>
        </w:rPr>
        <w:t xml:space="preserve">AT-07 </w:t>
      </w:r>
      <w:r>
        <w:t>CRM maps CRM-01 through CRM-06. Import duplicates and malformed rows, merge contacts and resolve a sync conflict. A merged stop status must remain effective and block a previously queued message.</w:t>
      </w:r>
    </w:p>
    <w:p>
      <w:r>
        <w:rPr>
          <w:b/>
        </w:rPr>
        <w:t xml:space="preserve">AT-08 </w:t>
      </w:r>
      <w:r>
        <w:t>Inbox maps MSG-01 through MSG-04. Ingest duplicate and out-of-order messages, classify an ambiguous reply, process STOP and reconcile delivery states. A reply must cancel an incompatible future follow-up.</w:t>
      </w:r>
    </w:p>
    <w:p>
      <w:r>
        <w:rPr>
          <w:b/>
        </w:rPr>
        <w:t xml:space="preserve">AT-09 </w:t>
      </w:r>
      <w:r>
        <w:t>Booking maps CAL-01 through CAL-03. Simulate two users selecting the same slot and retry after a timeout. At most one intended event may be created, with correct timezone and updated reminders.</w:t>
      </w:r>
    </w:p>
    <w:p>
      <w:r>
        <w:rPr>
          <w:b/>
        </w:rPr>
        <w:t xml:space="preserve">AT-10 </w:t>
      </w:r>
      <w:r>
        <w:t>Artifacts maps CNT-01 through CNT-05. Edit and export drafts, validate invalid clip timestamps, interrupt a media render and attempt publishing without authorization. Preserve editable source and prevent unauthorized release.</w:t>
      </w:r>
    </w:p>
    <w:p>
      <w:r>
        <w:rPr>
          <w:b/>
        </w:rPr>
        <w:t xml:space="preserve">AT-11 </w:t>
      </w:r>
      <w:r>
        <w:t>Reports maps ANA-01 through ANA-04 and A27. Reconcile sample invoices, payments and refunds; separate pipeline and mixed currencies; demonstrate all figures can be traced to records and sample data remains excluded.</w:t>
      </w:r>
    </w:p>
    <w:p>
      <w:r>
        <w:rPr>
          <w:b/>
        </w:rPr>
        <w:t xml:space="preserve">AT-12 </w:t>
      </w:r>
      <w:r>
        <w:t>Notifications maps NTF-01 and NTF-02. Deliver repeated events, apply preferences, simulate failed email delivery and verify deduplication, deep links and correct task state.</w:t>
      </w:r>
    </w:p>
    <w:p>
      <w:r>
        <w:rPr>
          <w:b/>
        </w:rPr>
        <w:t xml:space="preserve">AT-13 </w:t>
      </w:r>
      <w:r>
        <w:t>Administration maps ADM-01 through ADM-05. Test least-privilege support, expired support grants, global provider pause, customer suspension and audited configuration changes.</w:t>
      </w:r>
    </w:p>
    <w:p>
      <w:r>
        <w:rPr>
          <w:b/>
        </w:rPr>
        <w:t xml:space="preserve">AT-14 </w:t>
      </w:r>
      <w:r>
        <w:t>Subscriptions maps BIL-01 through BIL-04. Replay and reorder payment webhooks, cancel at period end, downgrade and simulate failed renewal. Entitlements must match verified subscription state.</w:t>
      </w:r>
    </w:p>
    <w:p>
      <w:r>
        <w:rPr>
          <w:b/>
        </w:rPr>
        <w:t xml:space="preserve">AT-15 </w:t>
      </w:r>
      <w:r>
        <w:t>Credit integrity maps CRD-01 through CRD-06. Start simultaneous reservations near the limit; inject settlement retry, cancellation and platform failure. Available balance must never become negative and each charge must appear once.</w:t>
      </w:r>
    </w:p>
    <w:p>
      <w:r>
        <w:rPr>
          <w:b/>
        </w:rPr>
        <w:t xml:space="preserve">AT-16 </w:t>
      </w:r>
      <w:r>
        <w:t>Provider routing maps CST-01 through CST-05. Exhaust free quota, revoke a customer key and deny paid fallback. Verify no unauthorized vendor switch, no leaked key and correct separated cost reporting.</w:t>
      </w:r>
    </w:p>
    <w:p>
      <w:r>
        <w:rPr>
          <w:b/>
        </w:rPr>
        <w:t xml:space="preserve">AT-17 </w:t>
      </w:r>
      <w:r>
        <w:t>Storage maps DAT-01 through DAT-06. Attempt cross-tenant reads, exports and object downloads; exercise concurrent edits and deletion propagation; verify documented backup expiry behavior.</w:t>
      </w:r>
    </w:p>
    <w:p>
      <w:r>
        <w:rPr>
          <w:b/>
        </w:rPr>
        <w:t xml:space="preserve">AT-18 </w:t>
      </w:r>
      <w:r>
        <w:t>Interfaces maps API-01 through API-03 and INT-01 through INT-05. Reject invalid signatures and oversized payloads, replay events, test permission revocation and reconcile missed synchronization data.</w:t>
      </w:r>
    </w:p>
    <w:p>
      <w:r>
        <w:rPr>
          <w:b/>
        </w:rPr>
        <w:t xml:space="preserve">AT-19 </w:t>
      </w:r>
      <w:r>
        <w:t>UX maps UX-01 through UX-09. Complete setup, search, task run, approval, pause and credit review using keyboard and a narrow display. Verify no misleading live status, clipped primary action or inaccessible office-only control.</w:t>
      </w:r>
    </w:p>
    <w:p>
      <w:r>
        <w:rPr>
          <w:b/>
        </w:rPr>
        <w:t xml:space="preserve">AT-20 </w:t>
      </w:r>
      <w:r>
        <w:t>Service quality maps NFR-01 through NFR-11. Execute the declared load benchmark, reconnect dashboard streams, restore backups and measure latency, recovery and isolation under noisy-neighbor load.</w:t>
      </w:r>
    </w:p>
    <w:p>
      <w:r>
        <w:rPr>
          <w:b/>
        </w:rPr>
        <w:t xml:space="preserve">AT-21 </w:t>
      </w:r>
      <w:r>
        <w:t>Security maps SEC-01 through SEC-09. Test injection, secret exposure, malicious documents, restricted URL access, privilege escalation, incident containment and closure behavior. Retain sanitized test evidence.</w:t>
      </w:r>
    </w:p>
    <w:p>
      <w:r>
        <w:rPr>
          <w:b/>
        </w:rPr>
        <w:t xml:space="preserve">AT-22 </w:t>
      </w:r>
      <w:r>
        <w:t>AI releases maps EVAL-01 through EVAL-05. Compare a candidate prompt/model to the baseline, record human review results, enforce gates and demonstrate rollback of a failing release.</w:t>
      </w:r>
    </w:p>
    <w:p>
      <w:pPr>
        <w:pStyle w:val="Heading1"/>
      </w:pPr>
      <w:r>
        <w:t>17 Measurement and product validation</w:t>
      </w:r>
    </w:p>
    <w:p>
      <w:r>
        <w:t>Product analytics shall measure time to first useful result, onboarding completion, weekly active workspaces, workflow completion, draft acceptance, manual corrections, approval delay, successful delivery, booking conversion, paid renewal and customer support effort. Definitions must prevent double-counting repeated runs and distinguish activity from business outcomes.</w:t>
      </w:r>
    </w:p>
    <w:p>
      <w:r>
        <w:t>Unit economics shall separately record subscription revenue, usage revenue, provider expense, channel expense, infrastructure and attributable support effort. Gross contribution per customer shall be evaluated against the actual plan and usage mix. Free credits and subsidies shall be identifiable rather than hidden inside a misleading margin figure.</w:t>
      </w:r>
    </w:p>
    <w:p>
      <w:r>
        <w:t>Market fit remains an empirical question. Customer interviews, paid pilots and renewal cohorts should test whether the product improves a specific business process. Investor materials shall distinguish prototype demonstrations, signed pilots, active paying customers and verified retention. No sample dashboard revenue shall be used as company traction.</w:t>
      </w:r>
    </w:p>
    <w:p>
      <w:pPr>
        <w:pStyle w:val="Heading1"/>
      </w:pPr>
      <w:r>
        <w:t>18 Dependencies and open decisions</w:t>
      </w:r>
    </w:p>
    <w:p>
      <w:pPr>
        <w:pStyle w:val="Heading2"/>
      </w:pPr>
      <w:r>
        <w:t>18.1 External dependencies</w:t>
      </w:r>
    </w:p>
    <w:p>
      <w:r>
        <w:t>The product depends on identity, payment processing, model inference, storage, background execution and selected communication/data providers. Each dependency requires ownership, credentials, sandbox testing, failure handling and a documented replacement or shutdown strategy. Some capabilities may be unavailable until vendor approval or market-specific prerequisites are satisfied.</w:t>
      </w:r>
    </w:p>
    <w:p>
      <w:pPr>
        <w:pStyle w:val="Heading2"/>
      </w:pPr>
      <w:r>
        <w:t>18.2 Decisions required before implementation commitments</w:t>
      </w:r>
    </w:p>
    <w:p>
      <w:r>
        <w:rPr>
          <w:b/>
        </w:rPr>
        <w:t xml:space="preserve">D01 </w:t>
      </w:r>
      <w:r>
        <w:t>Confirm product name, legal operating entity, first customer segment and supported markets.</w:t>
      </w:r>
    </w:p>
    <w:p>
      <w:r>
        <w:rPr>
          <w:b/>
        </w:rPr>
        <w:t xml:space="preserve">D02 </w:t>
      </w:r>
      <w:r>
        <w:t>Select payment provider, billing currency, tax handling and supported payment methods based on business eligibility.</w:t>
      </w:r>
    </w:p>
    <w:p>
      <w:r>
        <w:rPr>
          <w:b/>
        </w:rPr>
        <w:t xml:space="preserve">D03 </w:t>
      </w:r>
      <w:r>
        <w:t>Define plan prices, included usage, trial rules, rollover, refund policy, proration and past-due behavior.</w:t>
      </w:r>
    </w:p>
    <w:p>
      <w:r>
        <w:rPr>
          <w:b/>
        </w:rPr>
        <w:t xml:space="preserve">D04 </w:t>
      </w:r>
      <w:r>
        <w:t>Select launch integrations and validate actual permitted API operations, including any manual LinkedIn handoff.</w:t>
      </w:r>
    </w:p>
    <w:p>
      <w:r>
        <w:rPr>
          <w:b/>
        </w:rPr>
        <w:t xml:space="preserve">D05 </w:t>
      </w:r>
      <w:r>
        <w:t>Define approved AI providers, data-processing terms, permitted regions and eligibility for free-tier or customer-key routing.</w:t>
      </w:r>
    </w:p>
    <w:p>
      <w:r>
        <w:rPr>
          <w:b/>
        </w:rPr>
        <w:t xml:space="preserve">D06 </w:t>
      </w:r>
      <w:r>
        <w:t>Approve data retention, raw media handling, deletion timing, backup expiry and customer export formats.</w:t>
      </w:r>
    </w:p>
    <w:p>
      <w:r>
        <w:rPr>
          <w:b/>
        </w:rPr>
        <w:t xml:space="preserve">D07 </w:t>
      </w:r>
      <w:r>
        <w:t>Ratify performance benchmark, service hours, availability target, recovery objectives and support response commitments.</w:t>
      </w:r>
    </w:p>
    <w:p>
      <w:r>
        <w:rPr>
          <w:b/>
        </w:rPr>
        <w:t xml:space="preserve">D08 </w:t>
      </w:r>
      <w:r>
        <w:t>Define initial supported output languages, media limits, seat limits and concurrency allowances.</w:t>
      </w:r>
    </w:p>
    <w:p>
      <w:r>
        <w:rPr>
          <w:b/>
        </w:rPr>
        <w:t xml:space="preserve">D09 </w:t>
      </w:r>
      <w:r>
        <w:t>Confirm which automatic actions customers may enable and which require permanent human approval.</w:t>
      </w:r>
    </w:p>
    <w:p>
      <w:r>
        <w:rPr>
          <w:b/>
        </w:rPr>
        <w:t xml:space="preserve">D10 </w:t>
      </w:r>
      <w:r>
        <w:t>Approve evaluation datasets, quality thresholds and reviewer ownership for each enabled role.</w:t>
      </w:r>
    </w:p>
    <w:p>
      <w:r>
        <w:rPr>
          <w:b/>
        </w:rPr>
        <w:t xml:space="preserve">D11 </w:t>
      </w:r>
      <w:r>
        <w:t>Select features for implementation phases after reviewing this complete scope. No requirement here is silently assigned to an MVP.</w:t>
      </w:r>
    </w:p>
    <w:p>
      <w:pPr>
        <w:pStyle w:val="Heading1"/>
      </w:pPr>
      <w:r>
        <w:t>19 Scope decision worksheet</w:t>
      </w:r>
    </w:p>
    <w:p>
      <w:r>
        <w:t>Use this worksheet to make the later build decision. “Full baseline” means included in the proposed product definition, not necessarily in the first release. Phase and owner remain unassigned.</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376"/>
        <w:gridCol w:w="3816"/>
        <w:gridCol w:w="2203"/>
      </w:tblGrid>
      <w:tr>
        <w:trPr>
          <w:cantSplit/>
          <w:tblHeader/>
        </w:trPr>
        <w:tc>
          <w:tcPr>
            <w:tcW w:type="dxa" w:w="2376"/>
            <w:vAlign w:val="center"/>
            <w:shd w:fill="20344A"/>
            <w:tcMar>
              <w:top w:w="85" w:type="dxa"/>
              <w:bottom w:w="85" w:type="dxa"/>
              <w:left w:w="85" w:type="dxa"/>
              <w:right w:w="85" w:type="dxa"/>
            </w:tcMar>
          </w:tcPr>
          <w:p>
            <w:pPr>
              <w:spacing w:before="80" w:after="80" w:line="252" w:lineRule="auto"/>
            </w:pPr>
            <w:r>
              <w:rPr>
                <w:b/>
                <w:color w:val="FFFFFF"/>
                <w:sz w:val="19"/>
              </w:rPr>
              <w:t>Capability</w:t>
            </w:r>
          </w:p>
        </w:tc>
        <w:tc>
          <w:tcPr>
            <w:tcW w:type="dxa" w:w="3816"/>
            <w:vAlign w:val="center"/>
            <w:shd w:fill="20344A"/>
            <w:tcMar>
              <w:top w:w="85" w:type="dxa"/>
              <w:bottom w:w="85" w:type="dxa"/>
              <w:left w:w="85" w:type="dxa"/>
              <w:right w:w="85" w:type="dxa"/>
            </w:tcMar>
          </w:tcPr>
          <w:p>
            <w:pPr>
              <w:spacing w:before="80" w:after="80" w:line="252" w:lineRule="auto"/>
            </w:pPr>
            <w:r>
              <w:rPr>
                <w:b/>
                <w:color w:val="FFFFFF"/>
                <w:sz w:val="19"/>
              </w:rPr>
              <w:t>Scope classification</w:t>
            </w:r>
          </w:p>
        </w:tc>
        <w:tc>
          <w:tcPr>
            <w:tcW w:type="dxa" w:w="2203"/>
            <w:vAlign w:val="center"/>
            <w:shd w:fill="20344A"/>
            <w:tcMar>
              <w:top w:w="85" w:type="dxa"/>
              <w:bottom w:w="85" w:type="dxa"/>
              <w:left w:w="85" w:type="dxa"/>
              <w:right w:w="85" w:type="dxa"/>
            </w:tcMar>
          </w:tcPr>
          <w:p>
            <w:pPr>
              <w:spacing w:before="80" w:after="80" w:line="252" w:lineRule="auto"/>
            </w:pPr>
            <w:r>
              <w:rPr>
                <w:b/>
                <w:color w:val="FFFFFF"/>
                <w:sz w:val="19"/>
              </w:rPr>
              <w:t>Decision</w:t>
            </w:r>
          </w:p>
        </w:tc>
      </w:tr>
      <w:tr>
        <w:trPr>
          <w:cantSplit/>
        </w:trPr>
        <w:tc>
          <w:tcPr>
            <w:tcW w:type="dxa" w:w="2376"/>
            <w:vAlign w:val="center"/>
            <w:shd w:fill="F1F4F7"/>
            <w:tcMar>
              <w:top w:w="85" w:type="dxa"/>
              <w:bottom w:w="85" w:type="dxa"/>
              <w:left w:w="85" w:type="dxa"/>
              <w:right w:w="85" w:type="dxa"/>
            </w:tcMar>
          </w:tcPr>
          <w:p>
            <w:pPr>
              <w:spacing w:before="80" w:after="80" w:line="252" w:lineRule="auto"/>
            </w:pPr>
            <w:r>
              <w:rPr>
                <w:sz w:val="19"/>
              </w:rPr>
              <w:t>Customer accounts and one business workspace</w:t>
            </w:r>
          </w:p>
        </w:tc>
        <w:tc>
          <w:tcPr>
            <w:tcW w:type="dxa" w:w="3816"/>
            <w:vAlign w:val="center"/>
            <w:shd w:fill="F1F4F7"/>
            <w:tcMar>
              <w:top w:w="85" w:type="dxa"/>
              <w:bottom w:w="85" w:type="dxa"/>
              <w:left w:w="85" w:type="dxa"/>
              <w:right w:w="85" w:type="dxa"/>
            </w:tcMar>
          </w:tcPr>
          <w:p>
            <w:pPr>
              <w:spacing w:before="80" w:after="80" w:line="252" w:lineRule="auto"/>
            </w:pPr>
            <w:r>
              <w:rPr>
                <w:sz w:val="19"/>
              </w:rPr>
              <w:t>Full baseline</w:t>
            </w:r>
          </w:p>
        </w:tc>
        <w:tc>
          <w:tcPr>
            <w:tcW w:type="dxa" w:w="2203"/>
            <w:vAlign w:val="center"/>
            <w:shd w:fill="F1F4F7"/>
            <w:tcMar>
              <w:top w:w="85" w:type="dxa"/>
              <w:bottom w:w="85" w:type="dxa"/>
              <w:left w:w="85" w:type="dxa"/>
              <w:right w:w="85" w:type="dxa"/>
            </w:tcMar>
          </w:tcPr>
          <w:p>
            <w:pPr>
              <w:spacing w:before="80" w:after="80" w:line="252" w:lineRule="auto"/>
            </w:pPr>
            <w:r>
              <w:rPr>
                <w:sz w:val="19"/>
              </w:rPr>
              <w:t>Phase to assign</w:t>
            </w:r>
          </w:p>
        </w:tc>
      </w:tr>
      <w:tr>
        <w:trPr>
          <w:cantSplit/>
        </w:trPr>
        <w:tc>
          <w:tcPr>
            <w:tcW w:type="dxa" w:w="2376"/>
            <w:vAlign w:val="center"/>
            <w:shd w:fill="FFFFFF"/>
            <w:tcMar>
              <w:top w:w="85" w:type="dxa"/>
              <w:bottom w:w="85" w:type="dxa"/>
              <w:left w:w="85" w:type="dxa"/>
              <w:right w:w="85" w:type="dxa"/>
            </w:tcMar>
          </w:tcPr>
          <w:p>
            <w:pPr>
              <w:spacing w:before="80" w:after="80" w:line="252" w:lineRule="auto"/>
            </w:pPr>
            <w:r>
              <w:rPr>
                <w:sz w:val="19"/>
              </w:rPr>
              <w:t>Team roles and permissions</w:t>
            </w:r>
          </w:p>
        </w:tc>
        <w:tc>
          <w:tcPr>
            <w:tcW w:type="dxa" w:w="3816"/>
            <w:vAlign w:val="center"/>
            <w:shd w:fill="FFFFFF"/>
            <w:tcMar>
              <w:top w:w="85" w:type="dxa"/>
              <w:bottom w:w="85" w:type="dxa"/>
              <w:left w:w="85" w:type="dxa"/>
              <w:right w:w="85" w:type="dxa"/>
            </w:tcMar>
          </w:tcPr>
          <w:p>
            <w:pPr>
              <w:spacing w:before="80" w:after="80" w:line="252" w:lineRule="auto"/>
            </w:pPr>
            <w:r>
              <w:rPr>
                <w:sz w:val="19"/>
              </w:rPr>
              <w:t>Full baseline</w:t>
            </w:r>
          </w:p>
        </w:tc>
        <w:tc>
          <w:tcPr>
            <w:tcW w:type="dxa" w:w="2203"/>
            <w:vAlign w:val="center"/>
            <w:shd w:fill="FFFFFF"/>
            <w:tcMar>
              <w:top w:w="85" w:type="dxa"/>
              <w:bottom w:w="85" w:type="dxa"/>
              <w:left w:w="85" w:type="dxa"/>
              <w:right w:w="85" w:type="dxa"/>
            </w:tcMar>
          </w:tcPr>
          <w:p>
            <w:pPr>
              <w:spacing w:before="80" w:after="80" w:line="252" w:lineRule="auto"/>
            </w:pPr>
            <w:r>
              <w:rPr>
                <w:sz w:val="19"/>
              </w:rPr>
              <w:t>Phase to assign</w:t>
            </w:r>
          </w:p>
        </w:tc>
      </w:tr>
      <w:tr>
        <w:trPr>
          <w:cantSplit/>
        </w:trPr>
        <w:tc>
          <w:tcPr>
            <w:tcW w:type="dxa" w:w="2376"/>
            <w:vAlign w:val="center"/>
            <w:shd w:fill="F1F4F7"/>
            <w:tcMar>
              <w:top w:w="85" w:type="dxa"/>
              <w:bottom w:w="85" w:type="dxa"/>
              <w:left w:w="85" w:type="dxa"/>
              <w:right w:w="85" w:type="dxa"/>
            </w:tcMar>
          </w:tcPr>
          <w:p>
            <w:pPr>
              <w:spacing w:before="80" w:after="80" w:line="252" w:lineRule="auto"/>
            </w:pPr>
            <w:r>
              <w:rPr>
                <w:sz w:val="19"/>
              </w:rPr>
              <w:t>Shared knowledge and evidence</w:t>
            </w:r>
          </w:p>
        </w:tc>
        <w:tc>
          <w:tcPr>
            <w:tcW w:type="dxa" w:w="3816"/>
            <w:vAlign w:val="center"/>
            <w:shd w:fill="F1F4F7"/>
            <w:tcMar>
              <w:top w:w="85" w:type="dxa"/>
              <w:bottom w:w="85" w:type="dxa"/>
              <w:left w:w="85" w:type="dxa"/>
              <w:right w:w="85" w:type="dxa"/>
            </w:tcMar>
          </w:tcPr>
          <w:p>
            <w:pPr>
              <w:spacing w:before="80" w:after="80" w:line="252" w:lineRule="auto"/>
            </w:pPr>
            <w:r>
              <w:rPr>
                <w:sz w:val="19"/>
              </w:rPr>
              <w:t>Full baseline</w:t>
            </w:r>
          </w:p>
        </w:tc>
        <w:tc>
          <w:tcPr>
            <w:tcW w:type="dxa" w:w="2203"/>
            <w:vAlign w:val="center"/>
            <w:shd w:fill="F1F4F7"/>
            <w:tcMar>
              <w:top w:w="85" w:type="dxa"/>
              <w:bottom w:w="85" w:type="dxa"/>
              <w:left w:w="85" w:type="dxa"/>
              <w:right w:w="85" w:type="dxa"/>
            </w:tcMar>
          </w:tcPr>
          <w:p>
            <w:pPr>
              <w:spacing w:before="80" w:after="80" w:line="252" w:lineRule="auto"/>
            </w:pPr>
            <w:r>
              <w:rPr>
                <w:sz w:val="19"/>
              </w:rPr>
              <w:t>Phase to assign</w:t>
            </w:r>
          </w:p>
        </w:tc>
      </w:tr>
      <w:tr>
        <w:trPr>
          <w:cantSplit/>
        </w:trPr>
        <w:tc>
          <w:tcPr>
            <w:tcW w:type="dxa" w:w="2376"/>
            <w:vAlign w:val="center"/>
            <w:shd w:fill="FFFFFF"/>
            <w:tcMar>
              <w:top w:w="85" w:type="dxa"/>
              <w:bottom w:w="85" w:type="dxa"/>
              <w:left w:w="85" w:type="dxa"/>
              <w:right w:w="85" w:type="dxa"/>
            </w:tcMar>
          </w:tcPr>
          <w:p>
            <w:pPr>
              <w:spacing w:before="80" w:after="80" w:line="252" w:lineRule="auto"/>
            </w:pPr>
            <w:r>
              <w:rPr>
                <w:sz w:val="19"/>
              </w:rPr>
              <w:t>All 27 agent roles</w:t>
            </w:r>
          </w:p>
        </w:tc>
        <w:tc>
          <w:tcPr>
            <w:tcW w:type="dxa" w:w="3816"/>
            <w:vAlign w:val="center"/>
            <w:shd w:fill="FFFFFF"/>
            <w:tcMar>
              <w:top w:w="85" w:type="dxa"/>
              <w:bottom w:w="85" w:type="dxa"/>
              <w:left w:w="85" w:type="dxa"/>
              <w:right w:w="85" w:type="dxa"/>
            </w:tcMar>
          </w:tcPr>
          <w:p>
            <w:pPr>
              <w:spacing w:before="80" w:after="80" w:line="252" w:lineRule="auto"/>
            </w:pPr>
            <w:r>
              <w:rPr>
                <w:sz w:val="19"/>
              </w:rPr>
              <w:t>Full baseline</w:t>
            </w:r>
          </w:p>
        </w:tc>
        <w:tc>
          <w:tcPr>
            <w:tcW w:type="dxa" w:w="2203"/>
            <w:vAlign w:val="center"/>
            <w:shd w:fill="FFFFFF"/>
            <w:tcMar>
              <w:top w:w="85" w:type="dxa"/>
              <w:bottom w:w="85" w:type="dxa"/>
              <w:left w:w="85" w:type="dxa"/>
              <w:right w:w="85" w:type="dxa"/>
            </w:tcMar>
          </w:tcPr>
          <w:p>
            <w:pPr>
              <w:spacing w:before="80" w:after="80" w:line="252" w:lineRule="auto"/>
            </w:pPr>
            <w:r>
              <w:rPr>
                <w:sz w:val="19"/>
              </w:rPr>
              <w:t>Phase per department to assign</w:t>
            </w:r>
          </w:p>
        </w:tc>
      </w:tr>
      <w:tr>
        <w:trPr>
          <w:cantSplit/>
        </w:trPr>
        <w:tc>
          <w:tcPr>
            <w:tcW w:type="dxa" w:w="2376"/>
            <w:vAlign w:val="center"/>
            <w:shd w:fill="F1F4F7"/>
            <w:tcMar>
              <w:top w:w="85" w:type="dxa"/>
              <w:bottom w:w="85" w:type="dxa"/>
              <w:left w:w="85" w:type="dxa"/>
              <w:right w:w="85" w:type="dxa"/>
            </w:tcMar>
          </w:tcPr>
          <w:p>
            <w:pPr>
              <w:spacing w:before="80" w:after="80" w:line="252" w:lineRule="auto"/>
            </w:pPr>
            <w:r>
              <w:rPr>
                <w:sz w:val="19"/>
              </w:rPr>
              <w:t>Manual and bounded automatic workflows</w:t>
            </w:r>
          </w:p>
        </w:tc>
        <w:tc>
          <w:tcPr>
            <w:tcW w:type="dxa" w:w="3816"/>
            <w:vAlign w:val="center"/>
            <w:shd w:fill="F1F4F7"/>
            <w:tcMar>
              <w:top w:w="85" w:type="dxa"/>
              <w:bottom w:w="85" w:type="dxa"/>
              <w:left w:w="85" w:type="dxa"/>
              <w:right w:w="85" w:type="dxa"/>
            </w:tcMar>
          </w:tcPr>
          <w:p>
            <w:pPr>
              <w:spacing w:before="80" w:after="80" w:line="252" w:lineRule="auto"/>
            </w:pPr>
            <w:r>
              <w:rPr>
                <w:sz w:val="19"/>
              </w:rPr>
              <w:t>Full baseline</w:t>
            </w:r>
          </w:p>
        </w:tc>
        <w:tc>
          <w:tcPr>
            <w:tcW w:type="dxa" w:w="2203"/>
            <w:vAlign w:val="center"/>
            <w:shd w:fill="F1F4F7"/>
            <w:tcMar>
              <w:top w:w="85" w:type="dxa"/>
              <w:bottom w:w="85" w:type="dxa"/>
              <w:left w:w="85" w:type="dxa"/>
              <w:right w:w="85" w:type="dxa"/>
            </w:tcMar>
          </w:tcPr>
          <w:p>
            <w:pPr>
              <w:spacing w:before="80" w:after="80" w:line="252" w:lineRule="auto"/>
            </w:pPr>
            <w:r>
              <w:rPr>
                <w:sz w:val="19"/>
              </w:rPr>
              <w:t>Phase to assign</w:t>
            </w:r>
          </w:p>
        </w:tc>
      </w:tr>
      <w:tr>
        <w:trPr>
          <w:cantSplit/>
        </w:trPr>
        <w:tc>
          <w:tcPr>
            <w:tcW w:type="dxa" w:w="2376"/>
            <w:vAlign w:val="center"/>
            <w:shd w:fill="FFFFFF"/>
            <w:tcMar>
              <w:top w:w="85" w:type="dxa"/>
              <w:bottom w:w="85" w:type="dxa"/>
              <w:left w:w="85" w:type="dxa"/>
              <w:right w:w="85" w:type="dxa"/>
            </w:tcMar>
          </w:tcPr>
          <w:p>
            <w:pPr>
              <w:spacing w:before="80" w:after="80" w:line="252" w:lineRule="auto"/>
            </w:pPr>
            <w:r>
              <w:rPr>
                <w:sz w:val="19"/>
              </w:rPr>
              <w:t>Approvals and task recovery</w:t>
            </w:r>
          </w:p>
        </w:tc>
        <w:tc>
          <w:tcPr>
            <w:tcW w:type="dxa" w:w="3816"/>
            <w:vAlign w:val="center"/>
            <w:shd w:fill="FFFFFF"/>
            <w:tcMar>
              <w:top w:w="85" w:type="dxa"/>
              <w:bottom w:w="85" w:type="dxa"/>
              <w:left w:w="85" w:type="dxa"/>
              <w:right w:w="85" w:type="dxa"/>
            </w:tcMar>
          </w:tcPr>
          <w:p>
            <w:pPr>
              <w:spacing w:before="80" w:after="80" w:line="252" w:lineRule="auto"/>
            </w:pPr>
            <w:r>
              <w:rPr>
                <w:sz w:val="19"/>
              </w:rPr>
              <w:t>Full baseline</w:t>
            </w:r>
          </w:p>
        </w:tc>
        <w:tc>
          <w:tcPr>
            <w:tcW w:type="dxa" w:w="2203"/>
            <w:vAlign w:val="center"/>
            <w:shd w:fill="FFFFFF"/>
            <w:tcMar>
              <w:top w:w="85" w:type="dxa"/>
              <w:bottom w:w="85" w:type="dxa"/>
              <w:left w:w="85" w:type="dxa"/>
              <w:right w:w="85" w:type="dxa"/>
            </w:tcMar>
          </w:tcPr>
          <w:p>
            <w:pPr>
              <w:spacing w:before="80" w:after="80" w:line="252" w:lineRule="auto"/>
            </w:pPr>
            <w:r>
              <w:rPr>
                <w:sz w:val="19"/>
              </w:rPr>
              <w:t>Phase to assign</w:t>
            </w:r>
          </w:p>
        </w:tc>
      </w:tr>
      <w:tr>
        <w:trPr>
          <w:cantSplit/>
        </w:trPr>
        <w:tc>
          <w:tcPr>
            <w:tcW w:type="dxa" w:w="2376"/>
            <w:vAlign w:val="center"/>
            <w:shd w:fill="F1F4F7"/>
            <w:tcMar>
              <w:top w:w="85" w:type="dxa"/>
              <w:bottom w:w="85" w:type="dxa"/>
              <w:left w:w="85" w:type="dxa"/>
              <w:right w:w="85" w:type="dxa"/>
            </w:tcMar>
          </w:tcPr>
          <w:p>
            <w:pPr>
              <w:spacing w:before="80" w:after="80" w:line="252" w:lineRule="auto"/>
            </w:pPr>
            <w:r>
              <w:rPr>
                <w:sz w:val="19"/>
              </w:rPr>
              <w:t>Lightweight CRM and unified inbox</w:t>
            </w:r>
          </w:p>
        </w:tc>
        <w:tc>
          <w:tcPr>
            <w:tcW w:type="dxa" w:w="3816"/>
            <w:vAlign w:val="center"/>
            <w:shd w:fill="F1F4F7"/>
            <w:tcMar>
              <w:top w:w="85" w:type="dxa"/>
              <w:bottom w:w="85" w:type="dxa"/>
              <w:left w:w="85" w:type="dxa"/>
              <w:right w:w="85" w:type="dxa"/>
            </w:tcMar>
          </w:tcPr>
          <w:p>
            <w:pPr>
              <w:spacing w:before="80" w:after="80" w:line="252" w:lineRule="auto"/>
            </w:pPr>
            <w:r>
              <w:rPr>
                <w:sz w:val="19"/>
              </w:rPr>
              <w:t>Full baseline</w:t>
            </w:r>
          </w:p>
        </w:tc>
        <w:tc>
          <w:tcPr>
            <w:tcW w:type="dxa" w:w="2203"/>
            <w:vAlign w:val="center"/>
            <w:shd w:fill="F1F4F7"/>
            <w:tcMar>
              <w:top w:w="85" w:type="dxa"/>
              <w:bottom w:w="85" w:type="dxa"/>
              <w:left w:w="85" w:type="dxa"/>
              <w:right w:w="85" w:type="dxa"/>
            </w:tcMar>
          </w:tcPr>
          <w:p>
            <w:pPr>
              <w:spacing w:before="80" w:after="80" w:line="252" w:lineRule="auto"/>
            </w:pPr>
            <w:r>
              <w:rPr>
                <w:sz w:val="19"/>
              </w:rPr>
              <w:t>Phase to assign</w:t>
            </w:r>
          </w:p>
        </w:tc>
      </w:tr>
      <w:tr>
        <w:trPr>
          <w:cantSplit/>
        </w:trPr>
        <w:tc>
          <w:tcPr>
            <w:tcW w:type="dxa" w:w="2376"/>
            <w:vAlign w:val="center"/>
            <w:shd w:fill="FFFFFF"/>
            <w:tcMar>
              <w:top w:w="85" w:type="dxa"/>
              <w:bottom w:w="85" w:type="dxa"/>
              <w:left w:w="85" w:type="dxa"/>
              <w:right w:w="85" w:type="dxa"/>
            </w:tcMar>
          </w:tcPr>
          <w:p>
            <w:pPr>
              <w:spacing w:before="80" w:after="80" w:line="252" w:lineRule="auto"/>
            </w:pPr>
            <w:r>
              <w:rPr>
                <w:sz w:val="19"/>
              </w:rPr>
              <w:t>Booking and sales artifacts</w:t>
            </w:r>
          </w:p>
        </w:tc>
        <w:tc>
          <w:tcPr>
            <w:tcW w:type="dxa" w:w="3816"/>
            <w:vAlign w:val="center"/>
            <w:shd w:fill="FFFFFF"/>
            <w:tcMar>
              <w:top w:w="85" w:type="dxa"/>
              <w:bottom w:w="85" w:type="dxa"/>
              <w:left w:w="85" w:type="dxa"/>
              <w:right w:w="85" w:type="dxa"/>
            </w:tcMar>
          </w:tcPr>
          <w:p>
            <w:pPr>
              <w:spacing w:before="80" w:after="80" w:line="252" w:lineRule="auto"/>
            </w:pPr>
            <w:r>
              <w:rPr>
                <w:sz w:val="19"/>
              </w:rPr>
              <w:t>Full baseline</w:t>
            </w:r>
          </w:p>
        </w:tc>
        <w:tc>
          <w:tcPr>
            <w:tcW w:type="dxa" w:w="2203"/>
            <w:vAlign w:val="center"/>
            <w:shd w:fill="FFFFFF"/>
            <w:tcMar>
              <w:top w:w="85" w:type="dxa"/>
              <w:bottom w:w="85" w:type="dxa"/>
              <w:left w:w="85" w:type="dxa"/>
              <w:right w:w="85" w:type="dxa"/>
            </w:tcMar>
          </w:tcPr>
          <w:p>
            <w:pPr>
              <w:spacing w:before="80" w:after="80" w:line="252" w:lineRule="auto"/>
            </w:pPr>
            <w:r>
              <w:rPr>
                <w:sz w:val="19"/>
              </w:rPr>
              <w:t>Phase to assign</w:t>
            </w:r>
          </w:p>
        </w:tc>
      </w:tr>
      <w:tr>
        <w:trPr>
          <w:cantSplit/>
        </w:trPr>
        <w:tc>
          <w:tcPr>
            <w:tcW w:type="dxa" w:w="2376"/>
            <w:vAlign w:val="center"/>
            <w:shd w:fill="F1F4F7"/>
            <w:tcMar>
              <w:top w:w="85" w:type="dxa"/>
              <w:bottom w:w="85" w:type="dxa"/>
              <w:left w:w="85" w:type="dxa"/>
              <w:right w:w="85" w:type="dxa"/>
            </w:tcMar>
          </w:tcPr>
          <w:p>
            <w:pPr>
              <w:spacing w:before="80" w:after="80" w:line="252" w:lineRule="auto"/>
            </w:pPr>
            <w:r>
              <w:rPr>
                <w:sz w:val="19"/>
              </w:rPr>
              <w:t>Voice SMS media and outreach connections</w:t>
            </w:r>
          </w:p>
        </w:tc>
        <w:tc>
          <w:tcPr>
            <w:tcW w:type="dxa" w:w="3816"/>
            <w:vAlign w:val="center"/>
            <w:shd w:fill="F1F4F7"/>
            <w:tcMar>
              <w:top w:w="85" w:type="dxa"/>
              <w:bottom w:w="85" w:type="dxa"/>
              <w:left w:w="85" w:type="dxa"/>
              <w:right w:w="85" w:type="dxa"/>
            </w:tcMar>
          </w:tcPr>
          <w:p>
            <w:pPr>
              <w:spacing w:before="80" w:after="80" w:line="252" w:lineRule="auto"/>
            </w:pPr>
            <w:r>
              <w:rPr>
                <w:sz w:val="19"/>
              </w:rPr>
              <w:t>Full baseline subject to provider readiness</w:t>
            </w:r>
          </w:p>
        </w:tc>
        <w:tc>
          <w:tcPr>
            <w:tcW w:type="dxa" w:w="2203"/>
            <w:vAlign w:val="center"/>
            <w:shd w:fill="F1F4F7"/>
            <w:tcMar>
              <w:top w:w="85" w:type="dxa"/>
              <w:bottom w:w="85" w:type="dxa"/>
              <w:left w:w="85" w:type="dxa"/>
              <w:right w:w="85" w:type="dxa"/>
            </w:tcMar>
          </w:tcPr>
          <w:p>
            <w:pPr>
              <w:spacing w:before="80" w:after="80" w:line="252" w:lineRule="auto"/>
            </w:pPr>
            <w:r>
              <w:rPr>
                <w:sz w:val="19"/>
              </w:rPr>
              <w:t>Provider and phase to assign</w:t>
            </w:r>
          </w:p>
        </w:tc>
      </w:tr>
      <w:tr>
        <w:trPr>
          <w:cantSplit/>
        </w:trPr>
        <w:tc>
          <w:tcPr>
            <w:tcW w:type="dxa" w:w="2376"/>
            <w:vAlign w:val="center"/>
            <w:shd w:fill="FFFFFF"/>
            <w:tcMar>
              <w:top w:w="85" w:type="dxa"/>
              <w:bottom w:w="85" w:type="dxa"/>
              <w:left w:w="85" w:type="dxa"/>
              <w:right w:w="85" w:type="dxa"/>
            </w:tcMar>
          </w:tcPr>
          <w:p>
            <w:pPr>
              <w:spacing w:before="80" w:after="80" w:line="252" w:lineRule="auto"/>
            </w:pPr>
            <w:r>
              <w:rPr>
                <w:sz w:val="19"/>
              </w:rPr>
              <w:t>Credits subscription and cost controls</w:t>
            </w:r>
          </w:p>
        </w:tc>
        <w:tc>
          <w:tcPr>
            <w:tcW w:type="dxa" w:w="3816"/>
            <w:vAlign w:val="center"/>
            <w:shd w:fill="FFFFFF"/>
            <w:tcMar>
              <w:top w:w="85" w:type="dxa"/>
              <w:bottom w:w="85" w:type="dxa"/>
              <w:left w:w="85" w:type="dxa"/>
              <w:right w:w="85" w:type="dxa"/>
            </w:tcMar>
          </w:tcPr>
          <w:p>
            <w:pPr>
              <w:spacing w:before="80" w:after="80" w:line="252" w:lineRule="auto"/>
            </w:pPr>
            <w:r>
              <w:rPr>
                <w:sz w:val="19"/>
              </w:rPr>
              <w:t>Full baseline</w:t>
            </w:r>
          </w:p>
        </w:tc>
        <w:tc>
          <w:tcPr>
            <w:tcW w:type="dxa" w:w="2203"/>
            <w:vAlign w:val="center"/>
            <w:shd w:fill="FFFFFF"/>
            <w:tcMar>
              <w:top w:w="85" w:type="dxa"/>
              <w:bottom w:w="85" w:type="dxa"/>
              <w:left w:w="85" w:type="dxa"/>
              <w:right w:w="85" w:type="dxa"/>
            </w:tcMar>
          </w:tcPr>
          <w:p>
            <w:pPr>
              <w:spacing w:before="80" w:after="80" w:line="252" w:lineRule="auto"/>
            </w:pPr>
            <w:r>
              <w:rPr>
                <w:sz w:val="19"/>
              </w:rPr>
              <w:t>Phase to assign</w:t>
            </w:r>
          </w:p>
        </w:tc>
      </w:tr>
      <w:tr>
        <w:trPr>
          <w:cantSplit/>
        </w:trPr>
        <w:tc>
          <w:tcPr>
            <w:tcW w:type="dxa" w:w="2376"/>
            <w:vAlign w:val="center"/>
            <w:shd w:fill="F1F4F7"/>
            <w:tcMar>
              <w:top w:w="85" w:type="dxa"/>
              <w:bottom w:w="85" w:type="dxa"/>
              <w:left w:w="85" w:type="dxa"/>
              <w:right w:w="85" w:type="dxa"/>
            </w:tcMar>
          </w:tcPr>
          <w:p>
            <w:pPr>
              <w:spacing w:before="80" w:after="80" w:line="252" w:lineRule="auto"/>
            </w:pPr>
            <w:r>
              <w:rPr>
                <w:sz w:val="19"/>
              </w:rPr>
              <w:t>Customer reporting and admin console</w:t>
            </w:r>
          </w:p>
        </w:tc>
        <w:tc>
          <w:tcPr>
            <w:tcW w:type="dxa" w:w="3816"/>
            <w:vAlign w:val="center"/>
            <w:shd w:fill="F1F4F7"/>
            <w:tcMar>
              <w:top w:w="85" w:type="dxa"/>
              <w:bottom w:w="85" w:type="dxa"/>
              <w:left w:w="85" w:type="dxa"/>
              <w:right w:w="85" w:type="dxa"/>
            </w:tcMar>
          </w:tcPr>
          <w:p>
            <w:pPr>
              <w:spacing w:before="80" w:after="80" w:line="252" w:lineRule="auto"/>
            </w:pPr>
            <w:r>
              <w:rPr>
                <w:sz w:val="19"/>
              </w:rPr>
              <w:t>Full baseline</w:t>
            </w:r>
          </w:p>
        </w:tc>
        <w:tc>
          <w:tcPr>
            <w:tcW w:type="dxa" w:w="2203"/>
            <w:vAlign w:val="center"/>
            <w:shd w:fill="F1F4F7"/>
            <w:tcMar>
              <w:top w:w="85" w:type="dxa"/>
              <w:bottom w:w="85" w:type="dxa"/>
              <w:left w:w="85" w:type="dxa"/>
              <w:right w:w="85" w:type="dxa"/>
            </w:tcMar>
          </w:tcPr>
          <w:p>
            <w:pPr>
              <w:spacing w:before="80" w:after="80" w:line="252" w:lineRule="auto"/>
            </w:pPr>
            <w:r>
              <w:rPr>
                <w:sz w:val="19"/>
              </w:rPr>
              <w:t>Phase to assign</w:t>
            </w:r>
          </w:p>
        </w:tc>
      </w:tr>
      <w:tr>
        <w:trPr>
          <w:cantSplit/>
        </w:trPr>
        <w:tc>
          <w:tcPr>
            <w:tcW w:type="dxa" w:w="2376"/>
            <w:vAlign w:val="center"/>
            <w:shd w:fill="FFFFFF"/>
            <w:tcMar>
              <w:top w:w="85" w:type="dxa"/>
              <w:bottom w:w="85" w:type="dxa"/>
              <w:left w:w="85" w:type="dxa"/>
              <w:right w:w="85" w:type="dxa"/>
            </w:tcMar>
          </w:tcPr>
          <w:p>
            <w:pPr>
              <w:spacing w:before="80" w:after="80" w:line="252" w:lineRule="auto"/>
            </w:pPr>
            <w:r>
              <w:rPr>
                <w:sz w:val="19"/>
              </w:rPr>
              <w:t>Pixel office and accessible compact views</w:t>
            </w:r>
          </w:p>
        </w:tc>
        <w:tc>
          <w:tcPr>
            <w:tcW w:type="dxa" w:w="3816"/>
            <w:vAlign w:val="center"/>
            <w:shd w:fill="FFFFFF"/>
            <w:tcMar>
              <w:top w:w="85" w:type="dxa"/>
              <w:bottom w:w="85" w:type="dxa"/>
              <w:left w:w="85" w:type="dxa"/>
              <w:right w:w="85" w:type="dxa"/>
            </w:tcMar>
          </w:tcPr>
          <w:p>
            <w:pPr>
              <w:spacing w:before="80" w:after="80" w:line="252" w:lineRule="auto"/>
            </w:pPr>
            <w:r>
              <w:rPr>
                <w:sz w:val="19"/>
              </w:rPr>
              <w:t>Full baseline</w:t>
            </w:r>
          </w:p>
        </w:tc>
        <w:tc>
          <w:tcPr>
            <w:tcW w:type="dxa" w:w="2203"/>
            <w:vAlign w:val="center"/>
            <w:shd w:fill="FFFFFF"/>
            <w:tcMar>
              <w:top w:w="85" w:type="dxa"/>
              <w:bottom w:w="85" w:type="dxa"/>
              <w:left w:w="85" w:type="dxa"/>
              <w:right w:w="85" w:type="dxa"/>
            </w:tcMar>
          </w:tcPr>
          <w:p>
            <w:pPr>
              <w:spacing w:before="80" w:after="80" w:line="252" w:lineRule="auto"/>
            </w:pPr>
            <w:r>
              <w:rPr>
                <w:sz w:val="19"/>
              </w:rPr>
              <w:t>Phase to assign</w:t>
            </w:r>
          </w:p>
        </w:tc>
      </w:tr>
      <w:tr>
        <w:trPr>
          <w:cantSplit/>
        </w:trPr>
        <w:tc>
          <w:tcPr>
            <w:tcW w:type="dxa" w:w="2376"/>
            <w:vAlign w:val="center"/>
            <w:shd w:fill="F1F4F7"/>
            <w:tcMar>
              <w:top w:w="85" w:type="dxa"/>
              <w:bottom w:w="85" w:type="dxa"/>
              <w:left w:w="85" w:type="dxa"/>
              <w:right w:w="85" w:type="dxa"/>
            </w:tcMar>
          </w:tcPr>
          <w:p>
            <w:pPr>
              <w:spacing w:before="80" w:after="80" w:line="252" w:lineRule="auto"/>
            </w:pPr>
            <w:r>
              <w:rPr>
                <w:sz w:val="19"/>
              </w:rPr>
              <w:t>White label and reseller tools</w:t>
            </w:r>
          </w:p>
        </w:tc>
        <w:tc>
          <w:tcPr>
            <w:tcW w:type="dxa" w:w="3816"/>
            <w:vAlign w:val="center"/>
            <w:shd w:fill="F1F4F7"/>
            <w:tcMar>
              <w:top w:w="85" w:type="dxa"/>
              <w:bottom w:w="85" w:type="dxa"/>
              <w:left w:w="85" w:type="dxa"/>
              <w:right w:w="85" w:type="dxa"/>
            </w:tcMar>
          </w:tcPr>
          <w:p>
            <w:pPr>
              <w:spacing w:before="80" w:after="80" w:line="252" w:lineRule="auto"/>
            </w:pPr>
            <w:r>
              <w:rPr>
                <w:sz w:val="19"/>
              </w:rPr>
              <w:t>Outside baseline</w:t>
            </w:r>
          </w:p>
        </w:tc>
        <w:tc>
          <w:tcPr>
            <w:tcW w:type="dxa" w:w="2203"/>
            <w:vAlign w:val="center"/>
            <w:shd w:fill="F1F4F7"/>
            <w:tcMar>
              <w:top w:w="85" w:type="dxa"/>
              <w:bottom w:w="85" w:type="dxa"/>
              <w:left w:w="85" w:type="dxa"/>
              <w:right w:w="85" w:type="dxa"/>
            </w:tcMar>
          </w:tcPr>
          <w:p>
            <w:pPr>
              <w:spacing w:before="80" w:after="80" w:line="252" w:lineRule="auto"/>
            </w:pPr>
            <w:r>
              <w:rPr>
                <w:sz w:val="19"/>
              </w:rPr>
              <w:t>Separate scope approval</w:t>
            </w:r>
          </w:p>
        </w:tc>
      </w:tr>
      <w:tr>
        <w:trPr>
          <w:cantSplit/>
        </w:trPr>
        <w:tc>
          <w:tcPr>
            <w:tcW w:type="dxa" w:w="2376"/>
            <w:vAlign w:val="center"/>
            <w:shd w:fill="FFFFFF"/>
            <w:tcMar>
              <w:top w:w="85" w:type="dxa"/>
              <w:bottom w:w="85" w:type="dxa"/>
              <w:left w:w="85" w:type="dxa"/>
              <w:right w:w="85" w:type="dxa"/>
            </w:tcMar>
          </w:tcPr>
          <w:p>
            <w:pPr>
              <w:spacing w:before="80" w:after="80" w:line="252" w:lineRule="auto"/>
            </w:pPr>
            <w:r>
              <w:rPr>
                <w:sz w:val="19"/>
              </w:rPr>
              <w:t>Parent agency and client workspaces</w:t>
            </w:r>
          </w:p>
        </w:tc>
        <w:tc>
          <w:tcPr>
            <w:tcW w:type="dxa" w:w="3816"/>
            <w:vAlign w:val="center"/>
            <w:shd w:fill="FFFFFF"/>
            <w:tcMar>
              <w:top w:w="85" w:type="dxa"/>
              <w:bottom w:w="85" w:type="dxa"/>
              <w:left w:w="85" w:type="dxa"/>
              <w:right w:w="85" w:type="dxa"/>
            </w:tcMar>
          </w:tcPr>
          <w:p>
            <w:pPr>
              <w:spacing w:before="80" w:after="80" w:line="252" w:lineRule="auto"/>
            </w:pPr>
            <w:r>
              <w:rPr>
                <w:sz w:val="19"/>
              </w:rPr>
              <w:t>Outside baseline</w:t>
            </w:r>
          </w:p>
        </w:tc>
        <w:tc>
          <w:tcPr>
            <w:tcW w:type="dxa" w:w="2203"/>
            <w:vAlign w:val="center"/>
            <w:shd w:fill="FFFFFF"/>
            <w:tcMar>
              <w:top w:w="85" w:type="dxa"/>
              <w:bottom w:w="85" w:type="dxa"/>
              <w:left w:w="85" w:type="dxa"/>
              <w:right w:w="85" w:type="dxa"/>
            </w:tcMar>
          </w:tcPr>
          <w:p>
            <w:pPr>
              <w:spacing w:before="80" w:after="80" w:line="252" w:lineRule="auto"/>
            </w:pPr>
            <w:r>
              <w:rPr>
                <w:sz w:val="19"/>
              </w:rPr>
              <w:t>Explicitly excluded</w:t>
            </w:r>
          </w:p>
        </w:tc>
      </w:tr>
      <w:tr>
        <w:trPr>
          <w:cantSplit/>
        </w:trPr>
        <w:tc>
          <w:tcPr>
            <w:tcW w:type="dxa" w:w="2376"/>
            <w:vAlign w:val="center"/>
            <w:shd w:fill="F1F4F7"/>
            <w:tcMar>
              <w:top w:w="85" w:type="dxa"/>
              <w:bottom w:w="85" w:type="dxa"/>
              <w:left w:w="85" w:type="dxa"/>
              <w:right w:w="85" w:type="dxa"/>
            </w:tcMar>
          </w:tcPr>
          <w:p>
            <w:pPr>
              <w:spacing w:before="80" w:after="80" w:line="252" w:lineRule="auto"/>
            </w:pPr>
            <w:r>
              <w:rPr>
                <w:sz w:val="19"/>
              </w:rPr>
              <w:t>Native mobile apps and public agent marketplace</w:t>
            </w:r>
          </w:p>
        </w:tc>
        <w:tc>
          <w:tcPr>
            <w:tcW w:type="dxa" w:w="3816"/>
            <w:vAlign w:val="center"/>
            <w:shd w:fill="F1F4F7"/>
            <w:tcMar>
              <w:top w:w="85" w:type="dxa"/>
              <w:bottom w:w="85" w:type="dxa"/>
              <w:left w:w="85" w:type="dxa"/>
              <w:right w:w="85" w:type="dxa"/>
            </w:tcMar>
          </w:tcPr>
          <w:p>
            <w:pPr>
              <w:spacing w:before="80" w:after="80" w:line="252" w:lineRule="auto"/>
            </w:pPr>
            <w:r>
              <w:rPr>
                <w:sz w:val="19"/>
              </w:rPr>
              <w:t>Optional future extension</w:t>
            </w:r>
          </w:p>
        </w:tc>
        <w:tc>
          <w:tcPr>
            <w:tcW w:type="dxa" w:w="2203"/>
            <w:vAlign w:val="center"/>
            <w:shd w:fill="F1F4F7"/>
            <w:tcMar>
              <w:top w:w="85" w:type="dxa"/>
              <w:bottom w:w="85" w:type="dxa"/>
              <w:left w:w="85" w:type="dxa"/>
              <w:right w:w="85" w:type="dxa"/>
            </w:tcMar>
          </w:tcPr>
          <w:p>
            <w:pPr>
              <w:spacing w:before="80" w:after="80" w:line="252" w:lineRule="auto"/>
            </w:pPr>
            <w:r>
              <w:rPr>
                <w:sz w:val="19"/>
              </w:rPr>
              <w:t>Separate scope approval</w:t>
            </w:r>
          </w:p>
        </w:tc>
      </w:tr>
      <w:tr>
        <w:trPr>
          <w:cantSplit/>
        </w:trPr>
        <w:tc>
          <w:tcPr>
            <w:tcW w:type="dxa" w:w="2376"/>
            <w:vAlign w:val="center"/>
            <w:shd w:fill="FFFFFF"/>
            <w:tcMar>
              <w:top w:w="85" w:type="dxa"/>
              <w:bottom w:w="85" w:type="dxa"/>
              <w:left w:w="85" w:type="dxa"/>
              <w:right w:w="85" w:type="dxa"/>
            </w:tcMar>
          </w:tcPr>
          <w:p>
            <w:pPr>
              <w:spacing w:before="80" w:after="80" w:line="252" w:lineRule="auto"/>
            </w:pPr>
            <w:r>
              <w:rPr>
                <w:sz w:val="19"/>
              </w:rPr>
              <w:t>Enterprise SSO and customer-specific deployment</w:t>
            </w:r>
          </w:p>
        </w:tc>
        <w:tc>
          <w:tcPr>
            <w:tcW w:type="dxa" w:w="3816"/>
            <w:vAlign w:val="center"/>
            <w:shd w:fill="FFFFFF"/>
            <w:tcMar>
              <w:top w:w="85" w:type="dxa"/>
              <w:bottom w:w="85" w:type="dxa"/>
              <w:left w:w="85" w:type="dxa"/>
              <w:right w:w="85" w:type="dxa"/>
            </w:tcMar>
          </w:tcPr>
          <w:p>
            <w:pPr>
              <w:spacing w:before="80" w:after="80" w:line="252" w:lineRule="auto"/>
            </w:pPr>
            <w:r>
              <w:rPr>
                <w:sz w:val="19"/>
              </w:rPr>
              <w:t>Optional future extension</w:t>
            </w:r>
          </w:p>
        </w:tc>
        <w:tc>
          <w:tcPr>
            <w:tcW w:type="dxa" w:w="2203"/>
            <w:vAlign w:val="center"/>
            <w:shd w:fill="FFFFFF"/>
            <w:tcMar>
              <w:top w:w="85" w:type="dxa"/>
              <w:bottom w:w="85" w:type="dxa"/>
              <w:left w:w="85" w:type="dxa"/>
              <w:right w:w="85" w:type="dxa"/>
            </w:tcMar>
          </w:tcPr>
          <w:p>
            <w:pPr>
              <w:spacing w:before="80" w:after="80" w:line="252" w:lineRule="auto"/>
            </w:pPr>
            <w:r>
              <w:rPr>
                <w:sz w:val="19"/>
              </w:rPr>
              <w:t>Separate scope approval</w:t>
            </w:r>
          </w:p>
        </w:tc>
      </w:tr>
      <w:tr>
        <w:trPr>
          <w:cantSplit/>
        </w:trPr>
        <w:tc>
          <w:tcPr>
            <w:tcW w:type="dxa" w:w="2376"/>
            <w:vAlign w:val="center"/>
            <w:shd w:fill="F1F4F7"/>
            <w:tcMar>
              <w:top w:w="85" w:type="dxa"/>
              <w:bottom w:w="85" w:type="dxa"/>
              <w:left w:w="85" w:type="dxa"/>
              <w:right w:w="85" w:type="dxa"/>
            </w:tcMar>
          </w:tcPr>
          <w:p>
            <w:pPr>
              <w:spacing w:before="80" w:after="80" w:line="252" w:lineRule="auto"/>
            </w:pPr>
            <w:r>
              <w:rPr>
                <w:sz w:val="19"/>
              </w:rPr>
              <w:t>Public developer API and outbound customer webhooks</w:t>
            </w:r>
          </w:p>
        </w:tc>
        <w:tc>
          <w:tcPr>
            <w:tcW w:type="dxa" w:w="3816"/>
            <w:vAlign w:val="center"/>
            <w:shd w:fill="F1F4F7"/>
            <w:tcMar>
              <w:top w:w="85" w:type="dxa"/>
              <w:bottom w:w="85" w:type="dxa"/>
              <w:left w:w="85" w:type="dxa"/>
              <w:right w:w="85" w:type="dxa"/>
            </w:tcMar>
          </w:tcPr>
          <w:p>
            <w:pPr>
              <w:spacing w:before="80" w:after="80" w:line="252" w:lineRule="auto"/>
            </w:pPr>
            <w:r>
              <w:rPr>
                <w:sz w:val="19"/>
              </w:rPr>
              <w:t>Optional future extension</w:t>
            </w:r>
          </w:p>
        </w:tc>
        <w:tc>
          <w:tcPr>
            <w:tcW w:type="dxa" w:w="2203"/>
            <w:vAlign w:val="center"/>
            <w:shd w:fill="F1F4F7"/>
            <w:tcMar>
              <w:top w:w="85" w:type="dxa"/>
              <w:bottom w:w="85" w:type="dxa"/>
              <w:left w:w="85" w:type="dxa"/>
              <w:right w:w="85" w:type="dxa"/>
            </w:tcMar>
          </w:tcPr>
          <w:p>
            <w:pPr>
              <w:spacing w:before="80" w:after="80" w:line="252" w:lineRule="auto"/>
            </w:pPr>
            <w:r>
              <w:rPr>
                <w:sz w:val="19"/>
              </w:rPr>
              <w:t>Separate scope approval</w:t>
            </w:r>
          </w:p>
        </w:tc>
      </w:tr>
      <w:tr>
        <w:trPr>
          <w:cantSplit/>
        </w:trPr>
        <w:tc>
          <w:tcPr>
            <w:tcW w:type="dxa" w:w="2376"/>
            <w:vAlign w:val="center"/>
            <w:shd w:fill="FFFFFF"/>
            <w:tcMar>
              <w:top w:w="85" w:type="dxa"/>
              <w:bottom w:w="85" w:type="dxa"/>
              <w:left w:w="85" w:type="dxa"/>
              <w:right w:w="85" w:type="dxa"/>
            </w:tcMar>
          </w:tcPr>
          <w:p>
            <w:pPr>
              <w:spacing w:before="80" w:after="80" w:line="252" w:lineRule="auto"/>
            </w:pPr>
            <w:r>
              <w:rPr>
                <w:sz w:val="19"/>
              </w:rPr>
              <w:t>Multilingual application interface</w:t>
            </w:r>
          </w:p>
        </w:tc>
        <w:tc>
          <w:tcPr>
            <w:tcW w:type="dxa" w:w="3816"/>
            <w:vAlign w:val="center"/>
            <w:shd w:fill="FFFFFF"/>
            <w:tcMar>
              <w:top w:w="85" w:type="dxa"/>
              <w:bottom w:w="85" w:type="dxa"/>
              <w:left w:w="85" w:type="dxa"/>
              <w:right w:w="85" w:type="dxa"/>
            </w:tcMar>
          </w:tcPr>
          <w:p>
            <w:pPr>
              <w:spacing w:before="80" w:after="80" w:line="252" w:lineRule="auto"/>
            </w:pPr>
            <w:r>
              <w:rPr>
                <w:sz w:val="19"/>
              </w:rPr>
              <w:t>Optional future extension</w:t>
            </w:r>
          </w:p>
        </w:tc>
        <w:tc>
          <w:tcPr>
            <w:tcW w:type="dxa" w:w="2203"/>
            <w:vAlign w:val="center"/>
            <w:shd w:fill="FFFFFF"/>
            <w:tcMar>
              <w:top w:w="85" w:type="dxa"/>
              <w:bottom w:w="85" w:type="dxa"/>
              <w:left w:w="85" w:type="dxa"/>
              <w:right w:w="85" w:type="dxa"/>
            </w:tcMar>
          </w:tcPr>
          <w:p>
            <w:pPr>
              <w:spacing w:before="80" w:after="80" w:line="252" w:lineRule="auto"/>
            </w:pPr>
            <w:r>
              <w:rPr>
                <w:sz w:val="19"/>
              </w:rPr>
              <w:t>Separate scope approval</w:t>
            </w:r>
          </w:p>
        </w:tc>
      </w:tr>
    </w:tbl>
    <w:p>
      <w:pPr>
        <w:spacing w:after="40"/>
      </w:pPr>
    </w:p>
    <w:p>
      <w:pPr>
        <w:pStyle w:val="Heading1"/>
      </w:pPr>
      <w:r>
        <w:t>20 Completion criteria</w:t>
      </w:r>
    </w:p>
    <w:p>
      <w:r>
        <w:t>A selected release is ready only when its included requirements have traceable acceptance evidence, critical isolation and authorization tests pass, enabled integrations are verified, usage and billing reconcile, failure recovery works, customer-facing limitations are documented and an operational owner accepts the service. A polished dashboard alone does not satisfy these conditions.</w:t>
      </w:r>
    </w:p>
    <w:p>
      <w:r>
        <w:t>This SRS is the proposed full-system baseline for stakeholder review. Approved scope changes shall receive a version entry, affected requirement identifiers, rationale, updated acceptance cases and an impact assessment. The supplied agency blueprint informs the role organization; the subscription architecture, isolation, credit controls and operational requirements describe the proposed Nexus product.</w:t>
      </w:r>
    </w:p>
    <w:sectPr w:rsidR="00FC693F" w:rsidRPr="0006063C" w:rsidSect="00034616">
      <w:footerReference w:type="default" r:id="rId9"/>
      <w:pgSz w:w="11909" w:h="16834"/>
      <w:pgMar w:top="1037" w:right="1037" w:bottom="1008" w:left="1037"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Nexus SRS 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269"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9" w:lineRule="auto"/>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80" w:after="140" w:line="269" w:lineRule="auto"/>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69"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69" w:lineRule="auto" w:after="14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Nexus AI Growth Platform Software Requirements Specification</dc:title>
  <dc:subject>Full target SaaS product requirements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