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Nexus AI Growth Platform Implementation Plan</w:t>
      </w:r>
    </w:p>
    <w:p>
      <w:r>
        <w:t>Version 1.0 • 24 October 2026 • Planning document for the product founder</w:t>
      </w:r>
    </w:p>
    <w:p>
      <w:r>
        <w:t>This plan turns the full Nexus requirements into a sequence of buildable releases. The intended result is a commercial subscription product in which each business connects its tools, supplies its knowledge, and operates AI specialists through a central orchestrator and an accessible visual dashboard. Customers retain control through approvals, edits, pauses, cancellations, and manual execution.</w:t>
      </w:r>
    </w:p>
    <w:p>
      <w:r>
        <w:t>The recommended approach is to establish the visual experience and tenant isolation first, then complete one reliable workflow from customer input to approved business action. Expand across the 27 roles only after that foundation works. The full product scope remains available; release gates determine when each capability can be sold.</w:t>
      </w:r>
    </w:p>
    <w:p>
      <w:r>
        <w:t>This document supplements Nexus Full System SRS. It specifies implementation order and proposed engineering decisions. Timing, workload, and commercial validation targets below are planning assumptions, not measured delivery commitments or evidence of market fit.</w:t>
      </w:r>
    </w:p>
    <w:p>
      <w:pPr>
        <w:pStyle w:val="Heading1"/>
      </w:pPr>
      <w:r>
        <w:t>1 Product boundary and customer experience</w:t>
      </w:r>
    </w:p>
    <w:p>
      <w:r>
        <w:t>You operate one SaaS platform. Each subscribing business has its own workspace, members, integrations, knowledge, tasks, approvals, credit ledger, and reports. An agency can subscribe as a business; an agency to client hierarchy is outside this version.</w:t>
      </w:r>
    </w:p>
    <w:p>
      <w:r>
        <w:t>Customers should be able to answer four questions immediately: What needs my attention? What are my agents doing? What business result did they produce? What did it cost? Office animations support those answers rather than becoming the only way to use the software.</w:t>
      </w:r>
    </w:p>
    <w:p>
      <w:r>
        <w:t>The main journey is signup, business setup, connect an integration, select a workflow, inspect a proposed action, approve it, and track the result. The product owner separately manages subscriptions, service health, model configuration, support access, and feature releases.</w:t>
      </w:r>
    </w:p>
    <w:p>
      <w:r>
        <w:t>Full scope includes 27 agent roles across 12 business departments, one Core room, and one Revenue room. Core coordinates work. Revenue reports results and attribution; it does not transfer money or operate a bank account.</w:t>
      </w:r>
    </w:p>
    <w:p>
      <w:pPr>
        <w:pStyle w:val="Heading1"/>
      </w:pPr>
      <w:r>
        <w:t>2 Recommended technology decisions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72"/>
        <w:gridCol w:w="3600"/>
        <w:gridCol w:w="4694"/>
      </w:tblGrid>
      <w:tr>
        <w:trPr>
          <w:cantSplit/>
          <w:tblHeader/>
        </w:trPr>
        <w:tc>
          <w:tcPr>
            <w:tcW w:type="dxa" w:w="1872"/>
            <w:vAlign w:val="center"/>
            <w:shd w:fill="20344A"/>
            <w:tcMar>
              <w:top w:w="85" w:type="dxa"/>
              <w:bottom w:w="85" w:type="dxa"/>
              <w:left w:w="85" w:type="dxa"/>
              <w:right w:w="85" w:type="dxa"/>
            </w:tcMar>
          </w:tcPr>
          <w:p>
            <w:pPr>
              <w:spacing w:before="80" w:after="80" w:line="252" w:lineRule="auto"/>
            </w:pPr>
            <w:r>
              <w:rPr>
                <w:b/>
                <w:color w:val="FFFFFF"/>
                <w:sz w:val="20"/>
              </w:rPr>
              <w:t>Layer</w:t>
            </w:r>
          </w:p>
        </w:tc>
        <w:tc>
          <w:tcPr>
            <w:tcW w:type="dxa" w:w="3600"/>
            <w:vAlign w:val="center"/>
            <w:shd w:fill="20344A"/>
            <w:tcMar>
              <w:top w:w="85" w:type="dxa"/>
              <w:bottom w:w="85" w:type="dxa"/>
              <w:left w:w="85" w:type="dxa"/>
              <w:right w:w="85" w:type="dxa"/>
            </w:tcMar>
          </w:tcPr>
          <w:p>
            <w:pPr>
              <w:spacing w:before="80" w:after="80" w:line="252" w:lineRule="auto"/>
            </w:pPr>
            <w:r>
              <w:rPr>
                <w:b/>
                <w:color w:val="FFFFFF"/>
                <w:sz w:val="20"/>
              </w:rPr>
              <w:t>Selection</w:t>
            </w:r>
          </w:p>
        </w:tc>
        <w:tc>
          <w:tcPr>
            <w:tcW w:type="dxa" w:w="4694"/>
            <w:vAlign w:val="center"/>
            <w:shd w:fill="20344A"/>
            <w:tcMar>
              <w:top w:w="85" w:type="dxa"/>
              <w:bottom w:w="85" w:type="dxa"/>
              <w:left w:w="85" w:type="dxa"/>
              <w:right w:w="85" w:type="dxa"/>
            </w:tcMar>
          </w:tcPr>
          <w:p>
            <w:pPr>
              <w:spacing w:before="80" w:after="80" w:line="252" w:lineRule="auto"/>
            </w:pPr>
            <w:r>
              <w:rPr>
                <w:b/>
                <w:color w:val="FFFFFF"/>
                <w:sz w:val="20"/>
              </w:rPr>
              <w:t>Responsibility</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Web application</w:t>
            </w:r>
          </w:p>
        </w:tc>
        <w:tc>
          <w:tcPr>
            <w:tcW w:type="dxa" w:w="3600"/>
            <w:vAlign w:val="center"/>
            <w:shd w:fill="F1F4F7"/>
            <w:tcMar>
              <w:top w:w="85" w:type="dxa"/>
              <w:bottom w:w="85" w:type="dxa"/>
              <w:left w:w="85" w:type="dxa"/>
              <w:right w:w="85" w:type="dxa"/>
            </w:tcMar>
          </w:tcPr>
          <w:p>
            <w:pPr>
              <w:spacing w:before="80" w:after="80" w:line="252" w:lineRule="auto"/>
            </w:pPr>
            <w:r>
              <w:rPr>
                <w:sz w:val="20"/>
              </w:rPr>
              <w:t>React with TypeScript</w:t>
            </w:r>
          </w:p>
        </w:tc>
        <w:tc>
          <w:tcPr>
            <w:tcW w:type="dxa" w:w="4694"/>
            <w:vAlign w:val="center"/>
            <w:shd w:fill="F1F4F7"/>
            <w:tcMar>
              <w:top w:w="85" w:type="dxa"/>
              <w:bottom w:w="85" w:type="dxa"/>
              <w:left w:w="85" w:type="dxa"/>
              <w:right w:w="85" w:type="dxa"/>
            </w:tcMar>
          </w:tcPr>
          <w:p>
            <w:pPr>
              <w:spacing w:before="80" w:after="80" w:line="252" w:lineRule="auto"/>
            </w:pPr>
            <w:r>
              <w:rPr>
                <w:sz w:val="20"/>
              </w:rPr>
              <w:t>Customer workspace and platform administration</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Design system</w:t>
            </w:r>
          </w:p>
        </w:tc>
        <w:tc>
          <w:tcPr>
            <w:tcW w:type="dxa" w:w="3600"/>
            <w:vAlign w:val="center"/>
            <w:shd w:fill="FFFFFF"/>
            <w:tcMar>
              <w:top w:w="85" w:type="dxa"/>
              <w:bottom w:w="85" w:type="dxa"/>
              <w:left w:w="85" w:type="dxa"/>
              <w:right w:w="85" w:type="dxa"/>
            </w:tcMar>
          </w:tcPr>
          <w:p>
            <w:pPr>
              <w:spacing w:before="80" w:after="80" w:line="252" w:lineRule="auto"/>
            </w:pPr>
            <w:r>
              <w:rPr>
                <w:sz w:val="20"/>
              </w:rPr>
              <w:t>Tailwind CSS and shadcn/ui</w:t>
            </w:r>
          </w:p>
        </w:tc>
        <w:tc>
          <w:tcPr>
            <w:tcW w:type="dxa" w:w="4694"/>
            <w:vAlign w:val="center"/>
            <w:shd w:fill="FFFFFF"/>
            <w:tcMar>
              <w:top w:w="85" w:type="dxa"/>
              <w:bottom w:w="85" w:type="dxa"/>
              <w:left w:w="85" w:type="dxa"/>
              <w:right w:w="85" w:type="dxa"/>
            </w:tcMar>
          </w:tcPr>
          <w:p>
            <w:pPr>
              <w:spacing w:before="80" w:after="80" w:line="252" w:lineRule="auto"/>
            </w:pPr>
            <w:r>
              <w:rPr>
                <w:sz w:val="20"/>
              </w:rPr>
              <w:t>Consistent layouts, forms, dialogs, accessible controls</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Visual office</w:t>
            </w:r>
          </w:p>
        </w:tc>
        <w:tc>
          <w:tcPr>
            <w:tcW w:type="dxa" w:w="3600"/>
            <w:vAlign w:val="center"/>
            <w:shd w:fill="F1F4F7"/>
            <w:tcMar>
              <w:top w:w="85" w:type="dxa"/>
              <w:bottom w:w="85" w:type="dxa"/>
              <w:left w:w="85" w:type="dxa"/>
              <w:right w:w="85" w:type="dxa"/>
            </w:tcMar>
          </w:tcPr>
          <w:p>
            <w:pPr>
              <w:spacing w:before="80" w:after="80" w:line="252" w:lineRule="auto"/>
            </w:pPr>
            <w:r>
              <w:rPr>
                <w:sz w:val="20"/>
              </w:rPr>
              <w:t>PixiJS in a React container</w:t>
            </w:r>
          </w:p>
        </w:tc>
        <w:tc>
          <w:tcPr>
            <w:tcW w:type="dxa" w:w="4694"/>
            <w:vAlign w:val="center"/>
            <w:shd w:fill="F1F4F7"/>
            <w:tcMar>
              <w:top w:w="85" w:type="dxa"/>
              <w:bottom w:w="85" w:type="dxa"/>
              <w:left w:w="85" w:type="dxa"/>
              <w:right w:w="85" w:type="dxa"/>
            </w:tcMar>
          </w:tcPr>
          <w:p>
            <w:pPr>
              <w:spacing w:before="80" w:after="80" w:line="252" w:lineRule="auto"/>
            </w:pPr>
            <w:r>
              <w:rPr>
                <w:sz w:val="20"/>
              </w:rPr>
              <w:t>Animated agent characters and departmental rooms</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Product API</w:t>
            </w:r>
          </w:p>
        </w:tc>
        <w:tc>
          <w:tcPr>
            <w:tcW w:type="dxa" w:w="3600"/>
            <w:vAlign w:val="center"/>
            <w:shd w:fill="FFFFFF"/>
            <w:tcMar>
              <w:top w:w="85" w:type="dxa"/>
              <w:bottom w:w="85" w:type="dxa"/>
              <w:left w:w="85" w:type="dxa"/>
              <w:right w:w="85" w:type="dxa"/>
            </w:tcMar>
          </w:tcPr>
          <w:p>
            <w:pPr>
              <w:spacing w:before="80" w:after="80" w:line="252" w:lineRule="auto"/>
            </w:pPr>
            <w:r>
              <w:rPr>
                <w:sz w:val="20"/>
              </w:rPr>
              <w:t>Django and Django REST Framework</w:t>
            </w:r>
          </w:p>
        </w:tc>
        <w:tc>
          <w:tcPr>
            <w:tcW w:type="dxa" w:w="4694"/>
            <w:vAlign w:val="center"/>
            <w:shd w:fill="FFFFFF"/>
            <w:tcMar>
              <w:top w:w="85" w:type="dxa"/>
              <w:bottom w:w="85" w:type="dxa"/>
              <w:left w:w="85" w:type="dxa"/>
              <w:right w:w="85" w:type="dxa"/>
            </w:tcMar>
          </w:tcPr>
          <w:p>
            <w:pPr>
              <w:spacing w:before="80" w:after="80" w:line="252" w:lineRule="auto"/>
            </w:pPr>
            <w:r>
              <w:rPr>
                <w:sz w:val="20"/>
              </w:rPr>
              <w:t>Authentication, permissions, business records and billing rules</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Agent execution</w:t>
            </w:r>
          </w:p>
        </w:tc>
        <w:tc>
          <w:tcPr>
            <w:tcW w:type="dxa" w:w="3600"/>
            <w:vAlign w:val="center"/>
            <w:shd w:fill="F1F4F7"/>
            <w:tcMar>
              <w:top w:w="85" w:type="dxa"/>
              <w:bottom w:w="85" w:type="dxa"/>
              <w:left w:w="85" w:type="dxa"/>
              <w:right w:w="85" w:type="dxa"/>
            </w:tcMar>
          </w:tcPr>
          <w:p>
            <w:pPr>
              <w:spacing w:before="80" w:after="80" w:line="252" w:lineRule="auto"/>
            </w:pPr>
            <w:r>
              <w:rPr>
                <w:sz w:val="20"/>
              </w:rPr>
              <w:t>LangGraph in Python</w:t>
            </w:r>
          </w:p>
        </w:tc>
        <w:tc>
          <w:tcPr>
            <w:tcW w:type="dxa" w:w="4694"/>
            <w:vAlign w:val="center"/>
            <w:shd w:fill="F1F4F7"/>
            <w:tcMar>
              <w:top w:w="85" w:type="dxa"/>
              <w:bottom w:w="85" w:type="dxa"/>
              <w:left w:w="85" w:type="dxa"/>
              <w:right w:w="85" w:type="dxa"/>
            </w:tcMar>
          </w:tcPr>
          <w:p>
            <w:pPr>
              <w:spacing w:before="80" w:after="80" w:line="252" w:lineRule="auto"/>
            </w:pPr>
            <w:r>
              <w:rPr>
                <w:sz w:val="20"/>
              </w:rPr>
              <w:t>Stateful workflow graphs, coordination, checkpoints and interrupts</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AI components</w:t>
            </w:r>
          </w:p>
        </w:tc>
        <w:tc>
          <w:tcPr>
            <w:tcW w:type="dxa" w:w="3600"/>
            <w:vAlign w:val="center"/>
            <w:shd w:fill="FFFFFF"/>
            <w:tcMar>
              <w:top w:w="85" w:type="dxa"/>
              <w:bottom w:w="85" w:type="dxa"/>
              <w:left w:w="85" w:type="dxa"/>
              <w:right w:w="85" w:type="dxa"/>
            </w:tcMar>
          </w:tcPr>
          <w:p>
            <w:pPr>
              <w:spacing w:before="80" w:after="80" w:line="252" w:lineRule="auto"/>
            </w:pPr>
            <w:r>
              <w:rPr>
                <w:sz w:val="20"/>
              </w:rPr>
              <w:t>LangChain where useful</w:t>
            </w:r>
          </w:p>
        </w:tc>
        <w:tc>
          <w:tcPr>
            <w:tcW w:type="dxa" w:w="4694"/>
            <w:vAlign w:val="center"/>
            <w:shd w:fill="FFFFFF"/>
            <w:tcMar>
              <w:top w:w="85" w:type="dxa"/>
              <w:bottom w:w="85" w:type="dxa"/>
              <w:left w:w="85" w:type="dxa"/>
              <w:right w:w="85" w:type="dxa"/>
            </w:tcMar>
          </w:tcPr>
          <w:p>
            <w:pPr>
              <w:spacing w:before="80" w:after="80" w:line="252" w:lineRule="auto"/>
            </w:pPr>
            <w:r>
              <w:rPr>
                <w:sz w:val="20"/>
              </w:rPr>
              <w:t>Model adapters, tools and retrieval components</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Durable database</w:t>
            </w:r>
          </w:p>
        </w:tc>
        <w:tc>
          <w:tcPr>
            <w:tcW w:type="dxa" w:w="3600"/>
            <w:vAlign w:val="center"/>
            <w:shd w:fill="F1F4F7"/>
            <w:tcMar>
              <w:top w:w="85" w:type="dxa"/>
              <w:bottom w:w="85" w:type="dxa"/>
              <w:left w:w="85" w:type="dxa"/>
              <w:right w:w="85" w:type="dxa"/>
            </w:tcMar>
          </w:tcPr>
          <w:p>
            <w:pPr>
              <w:spacing w:before="80" w:after="80" w:line="252" w:lineRule="auto"/>
            </w:pPr>
            <w:r>
              <w:rPr>
                <w:sz w:val="20"/>
              </w:rPr>
              <w:t>PostgreSQL</w:t>
            </w:r>
          </w:p>
        </w:tc>
        <w:tc>
          <w:tcPr>
            <w:tcW w:type="dxa" w:w="4694"/>
            <w:vAlign w:val="center"/>
            <w:shd w:fill="F1F4F7"/>
            <w:tcMar>
              <w:top w:w="85" w:type="dxa"/>
              <w:bottom w:w="85" w:type="dxa"/>
              <w:left w:w="85" w:type="dxa"/>
              <w:right w:w="85" w:type="dxa"/>
            </w:tcMar>
          </w:tcPr>
          <w:p>
            <w:pPr>
              <w:spacing w:before="80" w:after="80" w:line="252" w:lineRule="auto"/>
            </w:pPr>
            <w:r>
              <w:rPr>
                <w:sz w:val="20"/>
              </w:rPr>
              <w:t>Workspace records, audit history, ledger and graph persistence</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Background execution</w:t>
            </w:r>
          </w:p>
        </w:tc>
        <w:tc>
          <w:tcPr>
            <w:tcW w:type="dxa" w:w="3600"/>
            <w:vAlign w:val="center"/>
            <w:shd w:fill="FFFFFF"/>
            <w:tcMar>
              <w:top w:w="85" w:type="dxa"/>
              <w:bottom w:w="85" w:type="dxa"/>
              <w:left w:w="85" w:type="dxa"/>
              <w:right w:w="85" w:type="dxa"/>
            </w:tcMar>
          </w:tcPr>
          <w:p>
            <w:pPr>
              <w:spacing w:before="80" w:after="80" w:line="252" w:lineRule="auto"/>
            </w:pPr>
            <w:r>
              <w:rPr>
                <w:sz w:val="20"/>
              </w:rPr>
              <w:t>Celery workers</w:t>
            </w:r>
          </w:p>
        </w:tc>
        <w:tc>
          <w:tcPr>
            <w:tcW w:type="dxa" w:w="4694"/>
            <w:vAlign w:val="center"/>
            <w:shd w:fill="FFFFFF"/>
            <w:tcMar>
              <w:top w:w="85" w:type="dxa"/>
              <w:bottom w:w="85" w:type="dxa"/>
              <w:left w:w="85" w:type="dxa"/>
              <w:right w:w="85" w:type="dxa"/>
            </w:tcMar>
          </w:tcPr>
          <w:p>
            <w:pPr>
              <w:spacing w:before="80" w:after="80" w:line="252" w:lineRule="auto"/>
            </w:pPr>
            <w:r>
              <w:rPr>
                <w:sz w:val="20"/>
              </w:rPr>
              <w:t>Execute queued workflows outside API requests</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Scheduling</w:t>
            </w:r>
          </w:p>
        </w:tc>
        <w:tc>
          <w:tcPr>
            <w:tcW w:type="dxa" w:w="3600"/>
            <w:vAlign w:val="center"/>
            <w:shd w:fill="F1F4F7"/>
            <w:tcMar>
              <w:top w:w="85" w:type="dxa"/>
              <w:bottom w:w="85" w:type="dxa"/>
              <w:left w:w="85" w:type="dxa"/>
              <w:right w:w="85" w:type="dxa"/>
            </w:tcMar>
          </w:tcPr>
          <w:p>
            <w:pPr>
              <w:spacing w:before="80" w:after="80" w:line="252" w:lineRule="auto"/>
            </w:pPr>
            <w:r>
              <w:rPr>
                <w:sz w:val="20"/>
              </w:rPr>
              <w:t>Celery Beat with database owned schedules</w:t>
            </w:r>
          </w:p>
        </w:tc>
        <w:tc>
          <w:tcPr>
            <w:tcW w:type="dxa" w:w="4694"/>
            <w:vAlign w:val="center"/>
            <w:shd w:fill="F1F4F7"/>
            <w:tcMar>
              <w:top w:w="85" w:type="dxa"/>
              <w:bottom w:w="85" w:type="dxa"/>
              <w:left w:w="85" w:type="dxa"/>
              <w:right w:w="85" w:type="dxa"/>
            </w:tcMar>
          </w:tcPr>
          <w:p>
            <w:pPr>
              <w:spacing w:before="80" w:after="80" w:line="252" w:lineRule="auto"/>
            </w:pPr>
            <w:r>
              <w:rPr>
                <w:sz w:val="20"/>
              </w:rPr>
              <w:t>Dispatch scheduled work with deduplication</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Transient infrastructure</w:t>
            </w:r>
          </w:p>
        </w:tc>
        <w:tc>
          <w:tcPr>
            <w:tcW w:type="dxa" w:w="3600"/>
            <w:vAlign w:val="center"/>
            <w:shd w:fill="FFFFFF"/>
            <w:tcMar>
              <w:top w:w="85" w:type="dxa"/>
              <w:bottom w:w="85" w:type="dxa"/>
              <w:left w:w="85" w:type="dxa"/>
              <w:right w:w="85" w:type="dxa"/>
            </w:tcMar>
          </w:tcPr>
          <w:p>
            <w:pPr>
              <w:spacing w:before="80" w:after="80" w:line="252" w:lineRule="auto"/>
            </w:pPr>
            <w:r>
              <w:rPr>
                <w:sz w:val="20"/>
              </w:rPr>
              <w:t>Redis</w:t>
            </w:r>
          </w:p>
        </w:tc>
        <w:tc>
          <w:tcPr>
            <w:tcW w:type="dxa" w:w="4694"/>
            <w:vAlign w:val="center"/>
            <w:shd w:fill="FFFFFF"/>
            <w:tcMar>
              <w:top w:w="85" w:type="dxa"/>
              <w:bottom w:w="85" w:type="dxa"/>
              <w:left w:w="85" w:type="dxa"/>
              <w:right w:w="85" w:type="dxa"/>
            </w:tcMar>
          </w:tcPr>
          <w:p>
            <w:pPr>
              <w:spacing w:before="80" w:after="80" w:line="252" w:lineRule="auto"/>
            </w:pPr>
            <w:r>
              <w:rPr>
                <w:sz w:val="20"/>
              </w:rPr>
              <w:t>Queue broker, Channels layer and short lived coordination</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Live updates</w:t>
            </w:r>
          </w:p>
        </w:tc>
        <w:tc>
          <w:tcPr>
            <w:tcW w:type="dxa" w:w="3600"/>
            <w:vAlign w:val="center"/>
            <w:shd w:fill="F1F4F7"/>
            <w:tcMar>
              <w:top w:w="85" w:type="dxa"/>
              <w:bottom w:w="85" w:type="dxa"/>
              <w:left w:w="85" w:type="dxa"/>
              <w:right w:w="85" w:type="dxa"/>
            </w:tcMar>
          </w:tcPr>
          <w:p>
            <w:pPr>
              <w:spacing w:before="80" w:after="80" w:line="252" w:lineRule="auto"/>
            </w:pPr>
            <w:r>
              <w:rPr>
                <w:sz w:val="20"/>
              </w:rPr>
              <w:t>Django Channels over ASGI</w:t>
            </w:r>
          </w:p>
        </w:tc>
        <w:tc>
          <w:tcPr>
            <w:tcW w:type="dxa" w:w="4694"/>
            <w:vAlign w:val="center"/>
            <w:shd w:fill="F1F4F7"/>
            <w:tcMar>
              <w:top w:w="85" w:type="dxa"/>
              <w:bottom w:w="85" w:type="dxa"/>
              <w:left w:w="85" w:type="dxa"/>
              <w:right w:w="85" w:type="dxa"/>
            </w:tcMar>
          </w:tcPr>
          <w:p>
            <w:pPr>
              <w:spacing w:before="80" w:after="80" w:line="252" w:lineRule="auto"/>
            </w:pPr>
            <w:r>
              <w:rPr>
                <w:sz w:val="20"/>
              </w:rPr>
              <w:t>Authenticated workspace events over WebSockets</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Files</w:t>
            </w:r>
          </w:p>
        </w:tc>
        <w:tc>
          <w:tcPr>
            <w:tcW w:type="dxa" w:w="3600"/>
            <w:vAlign w:val="center"/>
            <w:shd w:fill="FFFFFF"/>
            <w:tcMar>
              <w:top w:w="85" w:type="dxa"/>
              <w:bottom w:w="85" w:type="dxa"/>
              <w:left w:w="85" w:type="dxa"/>
              <w:right w:w="85" w:type="dxa"/>
            </w:tcMar>
          </w:tcPr>
          <w:p>
            <w:pPr>
              <w:spacing w:before="80" w:after="80" w:line="252" w:lineRule="auto"/>
            </w:pPr>
            <w:r>
              <w:rPr>
                <w:sz w:val="20"/>
              </w:rPr>
              <w:t>S3 compatible object storage</w:t>
            </w:r>
          </w:p>
        </w:tc>
        <w:tc>
          <w:tcPr>
            <w:tcW w:type="dxa" w:w="4694"/>
            <w:vAlign w:val="center"/>
            <w:shd w:fill="FFFFFF"/>
            <w:tcMar>
              <w:top w:w="85" w:type="dxa"/>
              <w:bottom w:w="85" w:type="dxa"/>
              <w:left w:w="85" w:type="dxa"/>
              <w:right w:w="85" w:type="dxa"/>
            </w:tcMar>
          </w:tcPr>
          <w:p>
            <w:pPr>
              <w:spacing w:before="80" w:after="80" w:line="252" w:lineRule="auto"/>
            </w:pPr>
            <w:r>
              <w:rPr>
                <w:sz w:val="20"/>
              </w:rPr>
              <w:t>Documents, generated assets and approved recordings</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Deployment</w:t>
            </w:r>
          </w:p>
        </w:tc>
        <w:tc>
          <w:tcPr>
            <w:tcW w:type="dxa" w:w="3600"/>
            <w:vAlign w:val="center"/>
            <w:shd w:fill="F1F4F7"/>
            <w:tcMar>
              <w:top w:w="85" w:type="dxa"/>
              <w:bottom w:w="85" w:type="dxa"/>
              <w:left w:w="85" w:type="dxa"/>
              <w:right w:w="85" w:type="dxa"/>
            </w:tcMar>
          </w:tcPr>
          <w:p>
            <w:pPr>
              <w:spacing w:before="80" w:after="80" w:line="252" w:lineRule="auto"/>
            </w:pPr>
            <w:r>
              <w:rPr>
                <w:sz w:val="20"/>
              </w:rPr>
              <w:t>Docker and managed services where affordable</w:t>
            </w:r>
          </w:p>
        </w:tc>
        <w:tc>
          <w:tcPr>
            <w:tcW w:type="dxa" w:w="4694"/>
            <w:vAlign w:val="center"/>
            <w:shd w:fill="F1F4F7"/>
            <w:tcMar>
              <w:top w:w="85" w:type="dxa"/>
              <w:bottom w:w="85" w:type="dxa"/>
              <w:left w:w="85" w:type="dxa"/>
              <w:right w:w="85" w:type="dxa"/>
            </w:tcMar>
          </w:tcPr>
          <w:p>
            <w:pPr>
              <w:spacing w:before="80" w:after="80" w:line="252" w:lineRule="auto"/>
            </w:pPr>
            <w:r>
              <w:rPr>
                <w:sz w:val="20"/>
              </w:rPr>
              <w:t>Repeatable environments and separate runtime processes</w:t>
            </w:r>
          </w:p>
        </w:tc>
      </w:tr>
    </w:tbl>
    <w:p>
      <w:pPr>
        <w:spacing w:after="40"/>
      </w:pPr>
    </w:p>
    <w:p>
      <w:r>
        <w:t>Start with a modular Django application and separate worker processes. A separate microservice for every agent would add operational work without improving the initial product. Twenty seven roles do not require twenty seven models or twenty seven permanently running servers.</w:t>
      </w:r>
    </w:p>
    <w:p>
      <w:r>
        <w:t>Use a model gateway interface so providers and model tiers can be changed without rewriting workflows. Pin dependency versions in lockfiles, test upgrades in staging, and choose supported versions when implementation begins. Keep provider credentials on the backend.</w:t>
      </w:r>
    </w:p>
    <w:p>
      <w:pPr>
        <w:pStyle w:val="Heading1"/>
      </w:pPr>
      <w:r>
        <w:t>3 Runtime architecture</w:t>
      </w:r>
    </w:p>
    <w:p>
      <w:r>
        <w:t>The browser calls the Django API to create a task. The API verifies membership, permissions, integration readiness and budget, then saves a run and queues execution. A Celery worker loads the correct tenant context and starts or resumes a LangGraph workflow. Graph nodes call registered tools and approved model providers. PostgreSQL stores durable progress, outputs, approvals, usage and checkpoints.</w:t>
      </w:r>
    </w:p>
    <w:p>
      <w:r>
        <w:t>Committed run events enter a durable outbox. A publisher sends them through Channels to authorized browsers. The dashboard updates the visible character and task card using those events. On reconnect, the browser retrieves a snapshot and events after its last sequence number.</w:t>
      </w:r>
    </w:p>
    <w:p>
      <w:r>
        <w:t>Implementation modules should include accounts, workspaces, knowledge, integrations, agents, workflows, approvals, usage, subscriptions, reporting, notifications, audit and platform administration. The frontend should mirror customer tasks rather than backend module names.</w:t>
      </w:r>
    </w:p>
    <w:p>
      <w:r>
        <w:t>Suggested repository structure is frontend for React, backend for Django and workers, infra for deployment definitions, docs for architecture and operating procedures, and tests for integration and acceptance suites. Keep shared API schemas generated or validated in CI to prevent frontend and backend drift.</w:t>
      </w:r>
    </w:p>
    <w:p>
      <w:pPr>
        <w:pStyle w:val="Heading2"/>
      </w:pPr>
      <w:r>
        <w:t>Core orchestration</w:t>
      </w:r>
    </w:p>
    <w:p>
      <w:r>
        <w:t>Core receives a business objective, identifies the permitted workflow, proposes a bounded plan, delegates to specialists, checks outputs and summarizes results. Independent specialists can also be launched directly if the user has permission. Both routes apply the same approval and budget rules.</w:t>
      </w:r>
    </w:p>
    <w:p>
      <w:r>
        <w:t>The orchestrator is an agent operating inside deterministic policy boundaries. Server code enforces allowed tools, data access, step limits, recursion limits, spend caps and approval conditions. A model cannot grant itself permission, increase its budget or bypass a pending approval.</w:t>
      </w:r>
    </w:p>
    <w:p>
      <w:r>
        <w:t>Use typed inputs and outputs for each role. A registered role defines its purpose, input schema, output schema, knowledge requirements, tool allowlist, model policy, maximum steps, timeout, cost ceiling, evaluation cases and supported operating modes. Version the role and workflow so an existing run is reproducible.</w:t>
      </w:r>
    </w:p>
    <w:p>
      <w:pPr>
        <w:pStyle w:val="Heading2"/>
      </w:pPr>
      <w:r>
        <w:t>Reliability and safe execution</w:t>
      </w:r>
    </w:p>
    <w:p>
      <w:r>
        <w:t>Assign every run a tenant scoped checkpoint namespace and stable run identifier. Permit only one active execution lease for a run. Use idempotency keys for submissions, provider actions and approval resumptions. A retry must not send the same email or create the same CRM entry twice.</w:t>
      </w:r>
    </w:p>
    <w:p>
      <w:r>
        <w:t>Celery owns job dispatch. Graph nodes own explicitly bounded operation retries. Document which layer retries each failure so retries do not multiply. Route exhausted failures to an operator queue with a readable explanation and recovery action.</w:t>
      </w:r>
    </w:p>
    <w:p>
      <w:r>
        <w:t>An interrupted graph must persist its checkpoint and release its worker. Approval creates a new resume job; a worker should not remain occupied while waiting hours for a customer. Persist durable events before publishing them. Redis loss must not erase customer records or the only copy of execution progress.</w:t>
      </w:r>
    </w:p>
    <w:p>
      <w:pPr>
        <w:pStyle w:val="Heading1"/>
      </w:pPr>
      <w:r>
        <w:t>4 Human control model</w:t>
      </w:r>
    </w:p>
    <w:p>
      <w:r>
        <w:t>Every workflow supports a clear policy: manual, assisted or automatic within limits. Manual mode lets the customer initiate and review each action. Assisted mode lets agents prepare work and request approval for consequential actions. Automatic mode runs only actions explicitly enabled by workspace policy.</w:t>
      </w:r>
    </w:p>
    <w:p>
      <w:r>
        <w:t>The approval screen shows the exact output version, destination, expected external effect and estimated charge. Customers can approve, reject, edit, request another draft or cancel. Editing creates a new version and invalidates approval of the old version. Recheck authorization and budget immediately before execution.</w:t>
      </w:r>
    </w:p>
    <w:p>
      <w:r>
        <w:t>Pause stops work at the next safe boundary. Cancel prevents future steps where possible. Neither control can recall an email already sent or reverse an external API call already accepted. The UI must distinguish a pause request from an acknowledged paused state.</w:t>
      </w:r>
    </w:p>
    <w:p>
      <w:r>
        <w:t>Support an emergency workspace stop that blocks new external actions and schedules. Allow customers to inspect completed actions and resume eligible work deliberately. Record who intervened, when, which version they approved and what happened afterward.</w:t>
      </w:r>
    </w:p>
    <w:p>
      <w:r>
        <w:t>When input is missing, use a specific information request with a resumable task. Do not endlessly ask the model to guess. Do not expose hidden model reasoning; show concise status explanations, inputs, outputs, tool actions and evidence instead.</w:t>
      </w:r>
    </w:p>
    <w:p>
      <w:pPr>
        <w:pStyle w:val="Heading1"/>
      </w:pPr>
      <w:r>
        <w:t>5 Visual design and usability plan</w:t>
      </w:r>
    </w:p>
    <w:p>
      <w:r>
        <w:t>The visual direction is a dark, futuristic business workspace with restrained cyan and violet accents, layered glass surfaces, subtle grid details and animated office characters. Reserve the strongest glow for focus and active status. Body text, numbers and primary controls need solid contrast and readable backgrounds.</w:t>
      </w:r>
    </w:p>
    <w:p>
      <w:r>
        <w:t>Build a persistent navigation sidebar, a workspace and date selector, a top level action bar, business result cards, an attention queue, an agent activity area and an inspector drawer. Keep important actions in consistent locations. Avoid hiding approval or error messages inside tiny animated rooms.</w:t>
      </w:r>
    </w:p>
    <w:p>
      <w:r>
        <w:t>Provide two synchronized views. Office view offers the immersive room and character experience. Compact view offers an efficient list or table of agents, tasks, status, cost and next action. Both use the same data and permit the same business actions. Mobile prioritizes the compact view and approvals.</w:t>
      </w:r>
    </w:p>
    <w:p>
      <w:r>
        <w:t>Character states are idle, queued, working, waiting for approval, waiting for input, paused, completed, failed and offline. Use short reusable sprite loops. Animate transitions from real persisted events, not decorative timers that falsely imply work. Label demo data clearly when testing mock screens.</w:t>
      </w:r>
    </w:p>
    <w:p>
      <w:r>
        <w:t>Each room shows the specialist names, current task, meaningful status, recent result and required action. Clicking a character opens its task inspector. Keep the animation canvas decorative for accessibility and duplicate actionable information in keyboard accessible HTML controls.</w:t>
      </w:r>
    </w:p>
    <w:p>
      <w:r>
        <w:t>Create design tokens for surfaces, spacing, typography, borders, elevation, motion and status. Include reduced motion and low effects settings. Status must use text or icons as well as color. Stop unnecessary animation in background tabs and virtualize offscreen rooms.</w:t>
      </w:r>
    </w:p>
    <w:p>
      <w:r>
        <w:t>Before connecting all agents, test onboarding, launching a workflow, editing an approval, locating a failed task and understanding cost with five representative business users. Proposed usability gate: at least four complete each primary task without coaching. Record actual observations and improve confusing steps before investing in additional visual effects.</w:t>
      </w:r>
    </w:p>
    <w:p>
      <w:pPr>
        <w:pStyle w:val="Heading1"/>
      </w:pPr>
      <w:r>
        <w:t>6 Data and API foundation</w:t>
      </w:r>
    </w:p>
    <w:p>
      <w:r>
        <w:t>Core entities are Workspace, Membership, Role, BusinessProfile, KnowledgeDocument, IntegrationConnection, AgentDefinition, AgentConfiguration, WorkflowVersion, Run, Step, Artifact, Approval, Schedule, UsageEvent, CreditLedgerEntry, Subscription, AuditEvent and OutboxEvent.</w:t>
      </w:r>
    </w:p>
    <w:p>
      <w:r>
        <w:t>Every customer owned record must have a workspace boundary. Enforce access in querysets, object permissions, background jobs, file downloads, search and WebSocket subscriptions. Test those boundaries using two unrelated tenants. Consider PostgreSQL row level security as defense in depth after designing how application and worker connections set tenant context.</w:t>
      </w:r>
    </w:p>
    <w:p>
      <w:r>
        <w:t>Keep application records and graph checkpoint storage logically separated even when they share a PostgreSQL service. Retain versioned business knowledge and source references. Begin with structured knowledge and document search; introduce vector retrieval only when retrieval tests demonstrate a need.</w:t>
      </w:r>
    </w:p>
    <w:p>
      <w:r>
        <w:t>API groups cover workspace setup, knowledge upload, integration connection, agent configuration, run creation and inspection, approval decisions, schedules, usage, billing and reporting. Standardize pagination, validation errors and idempotency behavior. Publish an API schema for the frontend.</w:t>
      </w:r>
    </w:p>
    <w:p>
      <w:r>
        <w:t>WebSocket events should include run identity, event sequence, state, timestamp and a safe display payload. Do not broadcast raw prompts, credentials or internal tool data. Fetch sensitive artifacts through permission checked endpoints. Reconnection must not fabricate completion or lose an approval request.</w:t>
      </w:r>
    </w:p>
    <w:p>
      <w:pPr>
        <w:pStyle w:val="Heading1"/>
      </w:pPr>
      <w:r>
        <w:t>7 Complete agent rollout map</w:t>
      </w:r>
    </w:p>
    <w:p>
      <w:r>
        <w:t>The order below controls implementation risk and shared dependencies. Roles introduced early can produce drafts before their external publishing connector is enabled. A draft producing role is not advertised as autonomous delivery.</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72"/>
        <w:gridCol w:w="3600"/>
        <w:gridCol w:w="4694"/>
      </w:tblGrid>
      <w:tr>
        <w:trPr>
          <w:cantSplit/>
          <w:tblHeader/>
        </w:trPr>
        <w:tc>
          <w:tcPr>
            <w:tcW w:type="dxa" w:w="1872"/>
            <w:vAlign w:val="center"/>
            <w:shd w:fill="20344A"/>
            <w:tcMar>
              <w:top w:w="85" w:type="dxa"/>
              <w:bottom w:w="85" w:type="dxa"/>
              <w:left w:w="85" w:type="dxa"/>
              <w:right w:w="85" w:type="dxa"/>
            </w:tcMar>
          </w:tcPr>
          <w:p>
            <w:pPr>
              <w:spacing w:before="80" w:after="80" w:line="252" w:lineRule="auto"/>
            </w:pPr>
            <w:r>
              <w:rPr>
                <w:b/>
                <w:color w:val="FFFFFF"/>
                <w:sz w:val="20"/>
              </w:rPr>
              <w:t>Wave</w:t>
            </w:r>
          </w:p>
        </w:tc>
        <w:tc>
          <w:tcPr>
            <w:tcW w:type="dxa" w:w="3600"/>
            <w:vAlign w:val="center"/>
            <w:shd w:fill="20344A"/>
            <w:tcMar>
              <w:top w:w="85" w:type="dxa"/>
              <w:bottom w:w="85" w:type="dxa"/>
              <w:left w:w="85" w:type="dxa"/>
              <w:right w:w="85" w:type="dxa"/>
            </w:tcMar>
          </w:tcPr>
          <w:p>
            <w:pPr>
              <w:spacing w:before="80" w:after="80" w:line="252" w:lineRule="auto"/>
            </w:pPr>
            <w:r>
              <w:rPr>
                <w:b/>
                <w:color w:val="FFFFFF"/>
                <w:sz w:val="20"/>
              </w:rPr>
              <w:t>Department</w:t>
            </w:r>
          </w:p>
        </w:tc>
        <w:tc>
          <w:tcPr>
            <w:tcW w:type="dxa" w:w="4694"/>
            <w:vAlign w:val="center"/>
            <w:shd w:fill="20344A"/>
            <w:tcMar>
              <w:top w:w="85" w:type="dxa"/>
              <w:bottom w:w="85" w:type="dxa"/>
              <w:left w:w="85" w:type="dxa"/>
              <w:right w:w="85" w:type="dxa"/>
            </w:tcMar>
          </w:tcPr>
          <w:p>
            <w:pPr>
              <w:spacing w:before="80" w:after="80" w:line="252" w:lineRule="auto"/>
            </w:pPr>
            <w:r>
              <w:rPr>
                <w:b/>
                <w:color w:val="FFFFFF"/>
                <w:sz w:val="20"/>
              </w:rPr>
              <w:t>Agent roles</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A</w:t>
            </w:r>
          </w:p>
        </w:tc>
        <w:tc>
          <w:tcPr>
            <w:tcW w:type="dxa" w:w="3600"/>
            <w:vAlign w:val="center"/>
            <w:shd w:fill="F1F4F7"/>
            <w:tcMar>
              <w:top w:w="85" w:type="dxa"/>
              <w:bottom w:w="85" w:type="dxa"/>
              <w:left w:w="85" w:type="dxa"/>
              <w:right w:w="85" w:type="dxa"/>
            </w:tcMar>
          </w:tcPr>
          <w:p>
            <w:pPr>
              <w:spacing w:before="80" w:after="80" w:line="252" w:lineRule="auto"/>
            </w:pPr>
            <w:r>
              <w:rPr>
                <w:sz w:val="20"/>
              </w:rPr>
              <w:t>Core</w:t>
            </w:r>
          </w:p>
        </w:tc>
        <w:tc>
          <w:tcPr>
            <w:tcW w:type="dxa" w:w="4694"/>
            <w:vAlign w:val="center"/>
            <w:shd w:fill="F1F4F7"/>
            <w:tcMar>
              <w:top w:w="85" w:type="dxa"/>
              <w:bottom w:w="85" w:type="dxa"/>
              <w:left w:w="85" w:type="dxa"/>
              <w:right w:w="85" w:type="dxa"/>
            </w:tcMar>
          </w:tcPr>
          <w:p>
            <w:pPr>
              <w:spacing w:before="80" w:after="80" w:line="252" w:lineRule="auto"/>
            </w:pPr>
            <w:r>
              <w:rPr>
                <w:sz w:val="20"/>
              </w:rPr>
              <w:t>Orchestrator</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A</w:t>
            </w:r>
          </w:p>
        </w:tc>
        <w:tc>
          <w:tcPr>
            <w:tcW w:type="dxa" w:w="3600"/>
            <w:vAlign w:val="center"/>
            <w:shd w:fill="FFFFFF"/>
            <w:tcMar>
              <w:top w:w="85" w:type="dxa"/>
              <w:bottom w:w="85" w:type="dxa"/>
              <w:left w:w="85" w:type="dxa"/>
              <w:right w:w="85" w:type="dxa"/>
            </w:tcMar>
          </w:tcPr>
          <w:p>
            <w:pPr>
              <w:spacing w:before="80" w:after="80" w:line="252" w:lineRule="auto"/>
            </w:pPr>
            <w:r>
              <w:rPr>
                <w:sz w:val="20"/>
              </w:rPr>
              <w:t>Lead Finder</w:t>
            </w:r>
          </w:p>
        </w:tc>
        <w:tc>
          <w:tcPr>
            <w:tcW w:type="dxa" w:w="4694"/>
            <w:vAlign w:val="center"/>
            <w:shd w:fill="FFFFFF"/>
            <w:tcMar>
              <w:top w:w="85" w:type="dxa"/>
              <w:bottom w:w="85" w:type="dxa"/>
              <w:left w:w="85" w:type="dxa"/>
              <w:right w:w="85" w:type="dxa"/>
            </w:tcMar>
          </w:tcPr>
          <w:p>
            <w:pPr>
              <w:spacing w:before="80" w:after="80" w:line="252" w:lineRule="auto"/>
            </w:pPr>
            <w:r>
              <w:rPr>
                <w:sz w:val="20"/>
              </w:rPr>
              <w:t>Scout and Scorer</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A</w:t>
            </w:r>
          </w:p>
        </w:tc>
        <w:tc>
          <w:tcPr>
            <w:tcW w:type="dxa" w:w="3600"/>
            <w:vAlign w:val="center"/>
            <w:shd w:fill="F1F4F7"/>
            <w:tcMar>
              <w:top w:w="85" w:type="dxa"/>
              <w:bottom w:w="85" w:type="dxa"/>
              <w:left w:w="85" w:type="dxa"/>
              <w:right w:w="85" w:type="dxa"/>
            </w:tcMar>
          </w:tcPr>
          <w:p>
            <w:pPr>
              <w:spacing w:before="80" w:after="80" w:line="252" w:lineRule="auto"/>
            </w:pPr>
            <w:r>
              <w:rPr>
                <w:sz w:val="20"/>
              </w:rPr>
              <w:t>Inbox</w:t>
            </w:r>
          </w:p>
        </w:tc>
        <w:tc>
          <w:tcPr>
            <w:tcW w:type="dxa" w:w="4694"/>
            <w:vAlign w:val="center"/>
            <w:shd w:fill="F1F4F7"/>
            <w:tcMar>
              <w:top w:w="85" w:type="dxa"/>
              <w:bottom w:w="85" w:type="dxa"/>
              <w:left w:w="85" w:type="dxa"/>
              <w:right w:w="85" w:type="dxa"/>
            </w:tcMar>
          </w:tcPr>
          <w:p>
            <w:pPr>
              <w:spacing w:before="80" w:after="80" w:line="252" w:lineRule="auto"/>
            </w:pPr>
            <w:r>
              <w:rPr>
                <w:sz w:val="20"/>
              </w:rPr>
              <w:t>Triage and Responder</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A</w:t>
            </w:r>
          </w:p>
        </w:tc>
        <w:tc>
          <w:tcPr>
            <w:tcW w:type="dxa" w:w="3600"/>
            <w:vAlign w:val="center"/>
            <w:shd w:fill="FFFFFF"/>
            <w:tcMar>
              <w:top w:w="85" w:type="dxa"/>
              <w:bottom w:w="85" w:type="dxa"/>
              <w:left w:w="85" w:type="dxa"/>
              <w:right w:w="85" w:type="dxa"/>
            </w:tcMar>
          </w:tcPr>
          <w:p>
            <w:pPr>
              <w:spacing w:before="80" w:after="80" w:line="252" w:lineRule="auto"/>
            </w:pPr>
            <w:r>
              <w:rPr>
                <w:sz w:val="20"/>
              </w:rPr>
              <w:t>Pre call Briefs</w:t>
            </w:r>
          </w:p>
        </w:tc>
        <w:tc>
          <w:tcPr>
            <w:tcW w:type="dxa" w:w="4694"/>
            <w:vAlign w:val="center"/>
            <w:shd w:fill="FFFFFF"/>
            <w:tcMar>
              <w:top w:w="85" w:type="dxa"/>
              <w:bottom w:w="85" w:type="dxa"/>
              <w:left w:w="85" w:type="dxa"/>
              <w:right w:w="85" w:type="dxa"/>
            </w:tcMar>
          </w:tcPr>
          <w:p>
            <w:pPr>
              <w:spacing w:before="80" w:after="80" w:line="252" w:lineRule="auto"/>
            </w:pPr>
            <w:r>
              <w:rPr>
                <w:sz w:val="20"/>
              </w:rPr>
              <w:t>Researcher and Brief writer</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B</w:t>
            </w:r>
          </w:p>
        </w:tc>
        <w:tc>
          <w:tcPr>
            <w:tcW w:type="dxa" w:w="3600"/>
            <w:vAlign w:val="center"/>
            <w:shd w:fill="F1F4F7"/>
            <w:tcMar>
              <w:top w:w="85" w:type="dxa"/>
              <w:bottom w:w="85" w:type="dxa"/>
              <w:left w:w="85" w:type="dxa"/>
              <w:right w:w="85" w:type="dxa"/>
            </w:tcMar>
          </w:tcPr>
          <w:p>
            <w:pPr>
              <w:spacing w:before="80" w:after="80" w:line="252" w:lineRule="auto"/>
            </w:pPr>
            <w:r>
              <w:rPr>
                <w:sz w:val="20"/>
              </w:rPr>
              <w:t>Offer Builder</w:t>
            </w:r>
          </w:p>
        </w:tc>
        <w:tc>
          <w:tcPr>
            <w:tcW w:type="dxa" w:w="4694"/>
            <w:vAlign w:val="center"/>
            <w:shd w:fill="F1F4F7"/>
            <w:tcMar>
              <w:top w:w="85" w:type="dxa"/>
              <w:bottom w:w="85" w:type="dxa"/>
              <w:left w:w="85" w:type="dxa"/>
              <w:right w:w="85" w:type="dxa"/>
            </w:tcMar>
          </w:tcPr>
          <w:p>
            <w:pPr>
              <w:spacing w:before="80" w:after="80" w:line="252" w:lineRule="auto"/>
            </w:pPr>
            <w:r>
              <w:rPr>
                <w:sz w:val="20"/>
              </w:rPr>
              <w:t>Offer architect and Proposal writer</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B</w:t>
            </w:r>
          </w:p>
        </w:tc>
        <w:tc>
          <w:tcPr>
            <w:tcW w:type="dxa" w:w="3600"/>
            <w:vAlign w:val="center"/>
            <w:shd w:fill="FFFFFF"/>
            <w:tcMar>
              <w:top w:w="85" w:type="dxa"/>
              <w:bottom w:w="85" w:type="dxa"/>
              <w:left w:w="85" w:type="dxa"/>
              <w:right w:w="85" w:type="dxa"/>
            </w:tcMar>
          </w:tcPr>
          <w:p>
            <w:pPr>
              <w:spacing w:before="80" w:after="80" w:line="252" w:lineRule="auto"/>
            </w:pPr>
            <w:r>
              <w:rPr>
                <w:sz w:val="20"/>
              </w:rPr>
              <w:t>Revenue</w:t>
            </w:r>
          </w:p>
        </w:tc>
        <w:tc>
          <w:tcPr>
            <w:tcW w:type="dxa" w:w="4694"/>
            <w:vAlign w:val="center"/>
            <w:shd w:fill="FFFFFF"/>
            <w:tcMar>
              <w:top w:w="85" w:type="dxa"/>
              <w:bottom w:w="85" w:type="dxa"/>
              <w:left w:w="85" w:type="dxa"/>
              <w:right w:w="85" w:type="dxa"/>
            </w:tcMar>
          </w:tcPr>
          <w:p>
            <w:pPr>
              <w:spacing w:before="80" w:after="80" w:line="252" w:lineRule="auto"/>
            </w:pPr>
            <w:r>
              <w:rPr>
                <w:sz w:val="20"/>
              </w:rPr>
              <w:t>Revenue analyst</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B</w:t>
            </w:r>
          </w:p>
        </w:tc>
        <w:tc>
          <w:tcPr>
            <w:tcW w:type="dxa" w:w="3600"/>
            <w:vAlign w:val="center"/>
            <w:shd w:fill="F1F4F7"/>
            <w:tcMar>
              <w:top w:w="85" w:type="dxa"/>
              <w:bottom w:w="85" w:type="dxa"/>
              <w:left w:w="85" w:type="dxa"/>
              <w:right w:w="85" w:type="dxa"/>
            </w:tcMar>
          </w:tcPr>
          <w:p>
            <w:pPr>
              <w:spacing w:before="80" w:after="80" w:line="252" w:lineRule="auto"/>
            </w:pPr>
            <w:r>
              <w:rPr>
                <w:sz w:val="20"/>
              </w:rPr>
              <w:t>Cold Email</w:t>
            </w:r>
          </w:p>
        </w:tc>
        <w:tc>
          <w:tcPr>
            <w:tcW w:type="dxa" w:w="4694"/>
            <w:vAlign w:val="center"/>
            <w:shd w:fill="F1F4F7"/>
            <w:tcMar>
              <w:top w:w="85" w:type="dxa"/>
              <w:bottom w:w="85" w:type="dxa"/>
              <w:left w:w="85" w:type="dxa"/>
              <w:right w:w="85" w:type="dxa"/>
            </w:tcMar>
          </w:tcPr>
          <w:p>
            <w:pPr>
              <w:spacing w:before="80" w:after="80" w:line="252" w:lineRule="auto"/>
            </w:pPr>
            <w:r>
              <w:rPr>
                <w:sz w:val="20"/>
              </w:rPr>
              <w:t>List builder and Sequencer</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B</w:t>
            </w:r>
          </w:p>
        </w:tc>
        <w:tc>
          <w:tcPr>
            <w:tcW w:type="dxa" w:w="3600"/>
            <w:vAlign w:val="center"/>
            <w:shd w:fill="FFFFFF"/>
            <w:tcMar>
              <w:top w:w="85" w:type="dxa"/>
              <w:bottom w:w="85" w:type="dxa"/>
              <w:left w:w="85" w:type="dxa"/>
              <w:right w:w="85" w:type="dxa"/>
            </w:tcMar>
          </w:tcPr>
          <w:p>
            <w:pPr>
              <w:spacing w:before="80" w:after="80" w:line="252" w:lineRule="auto"/>
            </w:pPr>
            <w:r>
              <w:rPr>
                <w:sz w:val="20"/>
              </w:rPr>
              <w:t>LinkedIn Outbound</w:t>
            </w:r>
          </w:p>
        </w:tc>
        <w:tc>
          <w:tcPr>
            <w:tcW w:type="dxa" w:w="4694"/>
            <w:vAlign w:val="center"/>
            <w:shd w:fill="FFFFFF"/>
            <w:tcMar>
              <w:top w:w="85" w:type="dxa"/>
              <w:bottom w:w="85" w:type="dxa"/>
              <w:left w:w="85" w:type="dxa"/>
              <w:right w:w="85" w:type="dxa"/>
            </w:tcMar>
          </w:tcPr>
          <w:p>
            <w:pPr>
              <w:spacing w:before="80" w:after="80" w:line="252" w:lineRule="auto"/>
            </w:pPr>
            <w:r>
              <w:rPr>
                <w:sz w:val="20"/>
              </w:rPr>
              <w:t>Prospector and Writer and Follow up</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C</w:t>
            </w:r>
          </w:p>
        </w:tc>
        <w:tc>
          <w:tcPr>
            <w:tcW w:type="dxa" w:w="3600"/>
            <w:vAlign w:val="center"/>
            <w:shd w:fill="F1F4F7"/>
            <w:tcMar>
              <w:top w:w="85" w:type="dxa"/>
              <w:bottom w:w="85" w:type="dxa"/>
              <w:left w:w="85" w:type="dxa"/>
              <w:right w:w="85" w:type="dxa"/>
            </w:tcMar>
          </w:tcPr>
          <w:p>
            <w:pPr>
              <w:spacing w:before="80" w:after="80" w:line="252" w:lineRule="auto"/>
            </w:pPr>
            <w:r>
              <w:rPr>
                <w:sz w:val="20"/>
              </w:rPr>
              <w:t>YouTube</w:t>
            </w:r>
          </w:p>
        </w:tc>
        <w:tc>
          <w:tcPr>
            <w:tcW w:type="dxa" w:w="4694"/>
            <w:vAlign w:val="center"/>
            <w:shd w:fill="F1F4F7"/>
            <w:tcMar>
              <w:top w:w="85" w:type="dxa"/>
              <w:bottom w:w="85" w:type="dxa"/>
              <w:left w:w="85" w:type="dxa"/>
              <w:right w:w="85" w:type="dxa"/>
            </w:tcMar>
          </w:tcPr>
          <w:p>
            <w:pPr>
              <w:spacing w:before="80" w:after="80" w:line="252" w:lineRule="auto"/>
            </w:pPr>
            <w:r>
              <w:rPr>
                <w:sz w:val="20"/>
              </w:rPr>
              <w:t>Scriptwriter and Clipper</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C</w:t>
            </w:r>
          </w:p>
        </w:tc>
        <w:tc>
          <w:tcPr>
            <w:tcW w:type="dxa" w:w="3600"/>
            <w:vAlign w:val="center"/>
            <w:shd w:fill="FFFFFF"/>
            <w:tcMar>
              <w:top w:w="85" w:type="dxa"/>
              <w:bottom w:w="85" w:type="dxa"/>
              <w:left w:w="85" w:type="dxa"/>
              <w:right w:w="85" w:type="dxa"/>
            </w:tcMar>
          </w:tcPr>
          <w:p>
            <w:pPr>
              <w:spacing w:before="80" w:after="80" w:line="252" w:lineRule="auto"/>
            </w:pPr>
            <w:r>
              <w:rPr>
                <w:sz w:val="20"/>
              </w:rPr>
              <w:t>Meta Ads</w:t>
            </w:r>
          </w:p>
        </w:tc>
        <w:tc>
          <w:tcPr>
            <w:tcW w:type="dxa" w:w="4694"/>
            <w:vAlign w:val="center"/>
            <w:shd w:fill="FFFFFF"/>
            <w:tcMar>
              <w:top w:w="85" w:type="dxa"/>
              <w:bottom w:w="85" w:type="dxa"/>
              <w:left w:w="85" w:type="dxa"/>
              <w:right w:w="85" w:type="dxa"/>
            </w:tcMar>
          </w:tcPr>
          <w:p>
            <w:pPr>
              <w:spacing w:before="80" w:after="80" w:line="252" w:lineRule="auto"/>
            </w:pPr>
            <w:r>
              <w:rPr>
                <w:sz w:val="20"/>
              </w:rPr>
              <w:t>Creative strategist and Analyst</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C</w:t>
            </w:r>
          </w:p>
        </w:tc>
        <w:tc>
          <w:tcPr>
            <w:tcW w:type="dxa" w:w="3600"/>
            <w:vAlign w:val="center"/>
            <w:shd w:fill="F1F4F7"/>
            <w:tcMar>
              <w:top w:w="85" w:type="dxa"/>
              <w:bottom w:w="85" w:type="dxa"/>
              <w:left w:w="85" w:type="dxa"/>
              <w:right w:w="85" w:type="dxa"/>
            </w:tcMar>
          </w:tcPr>
          <w:p>
            <w:pPr>
              <w:spacing w:before="80" w:after="80" w:line="252" w:lineRule="auto"/>
            </w:pPr>
            <w:r>
              <w:rPr>
                <w:sz w:val="20"/>
              </w:rPr>
              <w:t>Call Review</w:t>
            </w:r>
          </w:p>
        </w:tc>
        <w:tc>
          <w:tcPr>
            <w:tcW w:type="dxa" w:w="4694"/>
            <w:vAlign w:val="center"/>
            <w:shd w:fill="F1F4F7"/>
            <w:tcMar>
              <w:top w:w="85" w:type="dxa"/>
              <w:bottom w:w="85" w:type="dxa"/>
              <w:left w:w="85" w:type="dxa"/>
              <w:right w:w="85" w:type="dxa"/>
            </w:tcMar>
          </w:tcPr>
          <w:p>
            <w:pPr>
              <w:spacing w:before="80" w:after="80" w:line="252" w:lineRule="auto"/>
            </w:pPr>
            <w:r>
              <w:rPr>
                <w:sz w:val="20"/>
              </w:rPr>
              <w:t>Analyst and Coach</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D</w:t>
            </w:r>
          </w:p>
        </w:tc>
        <w:tc>
          <w:tcPr>
            <w:tcW w:type="dxa" w:w="3600"/>
            <w:vAlign w:val="center"/>
            <w:shd w:fill="FFFFFF"/>
            <w:tcMar>
              <w:top w:w="85" w:type="dxa"/>
              <w:bottom w:w="85" w:type="dxa"/>
              <w:left w:w="85" w:type="dxa"/>
              <w:right w:w="85" w:type="dxa"/>
            </w:tcMar>
          </w:tcPr>
          <w:p>
            <w:pPr>
              <w:spacing w:before="80" w:after="80" w:line="252" w:lineRule="auto"/>
            </w:pPr>
            <w:r>
              <w:rPr>
                <w:sz w:val="20"/>
              </w:rPr>
              <w:t>Cold Calling</w:t>
            </w:r>
          </w:p>
        </w:tc>
        <w:tc>
          <w:tcPr>
            <w:tcW w:type="dxa" w:w="4694"/>
            <w:vAlign w:val="center"/>
            <w:shd w:fill="FFFFFF"/>
            <w:tcMar>
              <w:top w:w="85" w:type="dxa"/>
              <w:bottom w:w="85" w:type="dxa"/>
              <w:left w:w="85" w:type="dxa"/>
              <w:right w:w="85" w:type="dxa"/>
            </w:tcMar>
          </w:tcPr>
          <w:p>
            <w:pPr>
              <w:spacing w:before="80" w:after="80" w:line="252" w:lineRule="auto"/>
            </w:pPr>
            <w:r>
              <w:rPr>
                <w:sz w:val="20"/>
              </w:rPr>
              <w:t>Call prepper and Note taker</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D</w:t>
            </w:r>
          </w:p>
        </w:tc>
        <w:tc>
          <w:tcPr>
            <w:tcW w:type="dxa" w:w="3600"/>
            <w:vAlign w:val="center"/>
            <w:shd w:fill="F1F4F7"/>
            <w:tcMar>
              <w:top w:w="85" w:type="dxa"/>
              <w:bottom w:w="85" w:type="dxa"/>
              <w:left w:w="85" w:type="dxa"/>
              <w:right w:w="85" w:type="dxa"/>
            </w:tcMar>
          </w:tcPr>
          <w:p>
            <w:pPr>
              <w:spacing w:before="80" w:after="80" w:line="252" w:lineRule="auto"/>
            </w:pPr>
            <w:r>
              <w:rPr>
                <w:sz w:val="20"/>
              </w:rPr>
              <w:t>Cold SMS</w:t>
            </w:r>
          </w:p>
        </w:tc>
        <w:tc>
          <w:tcPr>
            <w:tcW w:type="dxa" w:w="4694"/>
            <w:vAlign w:val="center"/>
            <w:shd w:fill="F1F4F7"/>
            <w:tcMar>
              <w:top w:w="85" w:type="dxa"/>
              <w:bottom w:w="85" w:type="dxa"/>
              <w:left w:w="85" w:type="dxa"/>
              <w:right w:w="85" w:type="dxa"/>
            </w:tcMar>
          </w:tcPr>
          <w:p>
            <w:pPr>
              <w:spacing w:before="80" w:after="80" w:line="252" w:lineRule="auto"/>
            </w:pPr>
            <w:r>
              <w:rPr>
                <w:sz w:val="20"/>
              </w:rPr>
              <w:t>Writer and Reply handler</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D</w:t>
            </w:r>
          </w:p>
        </w:tc>
        <w:tc>
          <w:tcPr>
            <w:tcW w:type="dxa" w:w="3600"/>
            <w:vAlign w:val="center"/>
            <w:shd w:fill="FFFFFF"/>
            <w:tcMar>
              <w:top w:w="85" w:type="dxa"/>
              <w:bottom w:w="85" w:type="dxa"/>
              <w:left w:w="85" w:type="dxa"/>
              <w:right w:w="85" w:type="dxa"/>
            </w:tcMar>
          </w:tcPr>
          <w:p>
            <w:pPr>
              <w:spacing w:before="80" w:after="80" w:line="252" w:lineRule="auto"/>
            </w:pPr>
            <w:r>
              <w:rPr>
                <w:sz w:val="20"/>
              </w:rPr>
              <w:t>AI Dialer</w:t>
            </w:r>
          </w:p>
        </w:tc>
        <w:tc>
          <w:tcPr>
            <w:tcW w:type="dxa" w:w="4694"/>
            <w:vAlign w:val="center"/>
            <w:shd w:fill="FFFFFF"/>
            <w:tcMar>
              <w:top w:w="85" w:type="dxa"/>
              <w:bottom w:w="85" w:type="dxa"/>
              <w:left w:w="85" w:type="dxa"/>
              <w:right w:w="85" w:type="dxa"/>
            </w:tcMar>
          </w:tcPr>
          <w:p>
            <w:pPr>
              <w:spacing w:before="80" w:after="80" w:line="252" w:lineRule="auto"/>
            </w:pPr>
            <w:r>
              <w:rPr>
                <w:sz w:val="20"/>
              </w:rPr>
              <w:t>Voice agent and QA</w:t>
            </w:r>
          </w:p>
        </w:tc>
      </w:tr>
    </w:tbl>
    <w:p>
      <w:pPr>
        <w:spacing w:after="40"/>
      </w:pPr>
    </w:p>
    <w:p>
      <w:r>
        <w:t>Wave A contains seven roles, B eight, C six and D six, totaling 27. Room counts include 12 specialist departments plus Core and Revenue. Agents can share infrastructure and tools, but each role must have separate acceptance cases and permissions.</w:t>
      </w:r>
    </w:p>
    <w:p>
      <w:r>
        <w:t>Wave A proves ingestion, research, classification, drafting, approval and orchestration. Wave B adds commercial outputs and structured outbound sequences. Wave C adds media processing, advertising analysis and conversation evaluation. Wave D adds telephony and SMS, where provider setup, delivery costs and operating requirements need dedicated validation.</w:t>
      </w:r>
    </w:p>
    <w:p>
      <w:r>
        <w:t>Use official supported integrations where available. Verify permitted access before promising automated LinkedIn actions or ad account operations. A manual export workflow can be an explicit interim capability. Provider permission or policy restrictions are release dependencies, not features an agent can bypass.</w:t>
      </w:r>
    </w:p>
    <w:p>
      <w:pPr>
        <w:pStyle w:val="Heading1"/>
      </w:pPr>
      <w:r>
        <w:t>8 Phased implementation and completion gates</w:t>
      </w:r>
    </w:p>
    <w:p>
      <w:r>
        <w:t>The following central workload budget is 1,500 focused engineering hours. It includes implementation, ordinary testing, documentation and release work. It excludes learning a new stack from scratch, creating a custom model, extensive bespoke artwork, legal review and waiting for external provider approval. Reestimate at every gate from actual throughput.</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72"/>
        <w:gridCol w:w="3600"/>
        <w:gridCol w:w="4694"/>
      </w:tblGrid>
      <w:tr>
        <w:trPr>
          <w:cantSplit/>
          <w:tblHeader/>
        </w:trPr>
        <w:tc>
          <w:tcPr>
            <w:tcW w:type="dxa" w:w="1872"/>
            <w:vAlign w:val="center"/>
            <w:shd w:fill="20344A"/>
            <w:tcMar>
              <w:top w:w="85" w:type="dxa"/>
              <w:bottom w:w="85" w:type="dxa"/>
              <w:left w:w="85" w:type="dxa"/>
              <w:right w:w="85" w:type="dxa"/>
            </w:tcMar>
          </w:tcPr>
          <w:p>
            <w:pPr>
              <w:spacing w:before="80" w:after="80" w:line="252" w:lineRule="auto"/>
            </w:pPr>
            <w:r>
              <w:rPr>
                <w:b/>
                <w:color w:val="FFFFFF"/>
                <w:sz w:val="20"/>
              </w:rPr>
              <w:t>Phase</w:t>
            </w:r>
          </w:p>
        </w:tc>
        <w:tc>
          <w:tcPr>
            <w:tcW w:type="dxa" w:w="3600"/>
            <w:vAlign w:val="center"/>
            <w:shd w:fill="20344A"/>
            <w:tcMar>
              <w:top w:w="85" w:type="dxa"/>
              <w:bottom w:w="85" w:type="dxa"/>
              <w:left w:w="85" w:type="dxa"/>
              <w:right w:w="85" w:type="dxa"/>
            </w:tcMar>
          </w:tcPr>
          <w:p>
            <w:pPr>
              <w:spacing w:before="80" w:after="80" w:line="252" w:lineRule="auto"/>
            </w:pPr>
            <w:r>
              <w:rPr>
                <w:b/>
                <w:color w:val="FFFFFF"/>
                <w:sz w:val="20"/>
              </w:rPr>
              <w:t>Central hours</w:t>
            </w:r>
          </w:p>
        </w:tc>
        <w:tc>
          <w:tcPr>
            <w:tcW w:type="dxa" w:w="4694"/>
            <w:vAlign w:val="center"/>
            <w:shd w:fill="20344A"/>
            <w:tcMar>
              <w:top w:w="85" w:type="dxa"/>
              <w:bottom w:w="85" w:type="dxa"/>
              <w:left w:w="85" w:type="dxa"/>
              <w:right w:w="85" w:type="dxa"/>
            </w:tcMar>
          </w:tcPr>
          <w:p>
            <w:pPr>
              <w:spacing w:before="80" w:after="80" w:line="252" w:lineRule="auto"/>
            </w:pPr>
            <w:r>
              <w:rPr>
                <w:b/>
                <w:color w:val="FFFFFF"/>
                <w:sz w:val="20"/>
              </w:rPr>
              <w:t>Completed outcome</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0 Product and design</w:t>
            </w:r>
          </w:p>
        </w:tc>
        <w:tc>
          <w:tcPr>
            <w:tcW w:type="dxa" w:w="3600"/>
            <w:vAlign w:val="center"/>
            <w:shd w:fill="F1F4F7"/>
            <w:tcMar>
              <w:top w:w="85" w:type="dxa"/>
              <w:bottom w:w="85" w:type="dxa"/>
              <w:left w:w="85" w:type="dxa"/>
              <w:right w:w="85" w:type="dxa"/>
            </w:tcMar>
          </w:tcPr>
          <w:p>
            <w:pPr>
              <w:spacing w:before="80" w:after="80" w:line="252" w:lineRule="auto"/>
            </w:pPr>
            <w:r>
              <w:rPr>
                <w:sz w:val="20"/>
              </w:rPr>
              <w:t>70</w:t>
            </w:r>
          </w:p>
        </w:tc>
        <w:tc>
          <w:tcPr>
            <w:tcW w:type="dxa" w:w="4694"/>
            <w:vAlign w:val="center"/>
            <w:shd w:fill="F1F4F7"/>
            <w:tcMar>
              <w:top w:w="85" w:type="dxa"/>
              <w:bottom w:w="85" w:type="dxa"/>
              <w:left w:w="85" w:type="dxa"/>
              <w:right w:w="85" w:type="dxa"/>
            </w:tcMar>
          </w:tcPr>
          <w:p>
            <w:pPr>
              <w:spacing w:before="80" w:after="80" w:line="252" w:lineRule="auto"/>
            </w:pPr>
            <w:r>
              <w:rPr>
                <w:sz w:val="20"/>
              </w:rPr>
              <w:t>Validated journeys and coherent visual specification</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1 Platform foundation</w:t>
            </w:r>
          </w:p>
        </w:tc>
        <w:tc>
          <w:tcPr>
            <w:tcW w:type="dxa" w:w="3600"/>
            <w:vAlign w:val="center"/>
            <w:shd w:fill="FFFFFF"/>
            <w:tcMar>
              <w:top w:w="85" w:type="dxa"/>
              <w:bottom w:w="85" w:type="dxa"/>
              <w:left w:w="85" w:type="dxa"/>
              <w:right w:w="85" w:type="dxa"/>
            </w:tcMar>
          </w:tcPr>
          <w:p>
            <w:pPr>
              <w:spacing w:before="80" w:after="80" w:line="252" w:lineRule="auto"/>
            </w:pPr>
            <w:r>
              <w:rPr>
                <w:sz w:val="20"/>
              </w:rPr>
              <w:t>110</w:t>
            </w:r>
          </w:p>
        </w:tc>
        <w:tc>
          <w:tcPr>
            <w:tcW w:type="dxa" w:w="4694"/>
            <w:vAlign w:val="center"/>
            <w:shd w:fill="FFFFFF"/>
            <w:tcMar>
              <w:top w:w="85" w:type="dxa"/>
              <w:bottom w:w="85" w:type="dxa"/>
              <w:left w:w="85" w:type="dxa"/>
              <w:right w:w="85" w:type="dxa"/>
            </w:tcMar>
          </w:tcPr>
          <w:p>
            <w:pPr>
              <w:spacing w:before="80" w:after="80" w:line="252" w:lineRule="auto"/>
            </w:pPr>
            <w:r>
              <w:rPr>
                <w:sz w:val="20"/>
              </w:rPr>
              <w:t>Isolated workspaces and usable application shell</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2 First live workflow</w:t>
            </w:r>
          </w:p>
        </w:tc>
        <w:tc>
          <w:tcPr>
            <w:tcW w:type="dxa" w:w="3600"/>
            <w:vAlign w:val="center"/>
            <w:shd w:fill="F1F4F7"/>
            <w:tcMar>
              <w:top w:w="85" w:type="dxa"/>
              <w:bottom w:w="85" w:type="dxa"/>
              <w:left w:w="85" w:type="dxa"/>
              <w:right w:w="85" w:type="dxa"/>
            </w:tcMar>
          </w:tcPr>
          <w:p>
            <w:pPr>
              <w:spacing w:before="80" w:after="80" w:line="252" w:lineRule="auto"/>
            </w:pPr>
            <w:r>
              <w:rPr>
                <w:sz w:val="20"/>
              </w:rPr>
              <w:t>150</w:t>
            </w:r>
          </w:p>
        </w:tc>
        <w:tc>
          <w:tcPr>
            <w:tcW w:type="dxa" w:w="4694"/>
            <w:vAlign w:val="center"/>
            <w:shd w:fill="F1F4F7"/>
            <w:tcMar>
              <w:top w:w="85" w:type="dxa"/>
              <w:bottom w:w="85" w:type="dxa"/>
              <w:left w:w="85" w:type="dxa"/>
              <w:right w:w="85" w:type="dxa"/>
            </w:tcMar>
          </w:tcPr>
          <w:p>
            <w:pPr>
              <w:spacing w:before="80" w:after="80" w:line="252" w:lineRule="auto"/>
            </w:pPr>
            <w:r>
              <w:rPr>
                <w:sz w:val="20"/>
              </w:rPr>
              <w:t>Reliable execution with approval and real visual events</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3 Paid pilot readiness</w:t>
            </w:r>
          </w:p>
        </w:tc>
        <w:tc>
          <w:tcPr>
            <w:tcW w:type="dxa" w:w="3600"/>
            <w:vAlign w:val="center"/>
            <w:shd w:fill="FFFFFF"/>
            <w:tcMar>
              <w:top w:w="85" w:type="dxa"/>
              <w:bottom w:w="85" w:type="dxa"/>
              <w:left w:w="85" w:type="dxa"/>
              <w:right w:w="85" w:type="dxa"/>
            </w:tcMar>
          </w:tcPr>
          <w:p>
            <w:pPr>
              <w:spacing w:before="80" w:after="80" w:line="252" w:lineRule="auto"/>
            </w:pPr>
            <w:r>
              <w:rPr>
                <w:sz w:val="20"/>
              </w:rPr>
              <w:t>120</w:t>
            </w:r>
          </w:p>
        </w:tc>
        <w:tc>
          <w:tcPr>
            <w:tcW w:type="dxa" w:w="4694"/>
            <w:vAlign w:val="center"/>
            <w:shd w:fill="FFFFFF"/>
            <w:tcMar>
              <w:top w:w="85" w:type="dxa"/>
              <w:bottom w:w="85" w:type="dxa"/>
              <w:left w:w="85" w:type="dxa"/>
              <w:right w:w="85" w:type="dxa"/>
            </w:tcMar>
          </w:tcPr>
          <w:p>
            <w:pPr>
              <w:spacing w:before="80" w:after="80" w:line="252" w:lineRule="auto"/>
            </w:pPr>
            <w:r>
              <w:rPr>
                <w:sz w:val="20"/>
              </w:rPr>
              <w:t>Metering, subscriptions, support and pilot operations</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4 Wave B expansion</w:t>
            </w:r>
          </w:p>
        </w:tc>
        <w:tc>
          <w:tcPr>
            <w:tcW w:type="dxa" w:w="3600"/>
            <w:vAlign w:val="center"/>
            <w:shd w:fill="F1F4F7"/>
            <w:tcMar>
              <w:top w:w="85" w:type="dxa"/>
              <w:bottom w:w="85" w:type="dxa"/>
              <w:left w:w="85" w:type="dxa"/>
              <w:right w:w="85" w:type="dxa"/>
            </w:tcMar>
          </w:tcPr>
          <w:p>
            <w:pPr>
              <w:spacing w:before="80" w:after="80" w:line="252" w:lineRule="auto"/>
            </w:pPr>
            <w:r>
              <w:rPr>
                <w:sz w:val="20"/>
              </w:rPr>
              <w:t>240</w:t>
            </w:r>
          </w:p>
        </w:tc>
        <w:tc>
          <w:tcPr>
            <w:tcW w:type="dxa" w:w="4694"/>
            <w:vAlign w:val="center"/>
            <w:shd w:fill="F1F4F7"/>
            <w:tcMar>
              <w:top w:w="85" w:type="dxa"/>
              <w:bottom w:w="85" w:type="dxa"/>
              <w:left w:w="85" w:type="dxa"/>
              <w:right w:w="85" w:type="dxa"/>
            </w:tcMar>
          </w:tcPr>
          <w:p>
            <w:pPr>
              <w:spacing w:before="80" w:after="80" w:line="252" w:lineRule="auto"/>
            </w:pPr>
            <w:r>
              <w:rPr>
                <w:sz w:val="20"/>
              </w:rPr>
              <w:t>Commercial workflows and approved outbound connectors</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5 Wave C expansion</w:t>
            </w:r>
          </w:p>
        </w:tc>
        <w:tc>
          <w:tcPr>
            <w:tcW w:type="dxa" w:w="3600"/>
            <w:vAlign w:val="center"/>
            <w:shd w:fill="FFFFFF"/>
            <w:tcMar>
              <w:top w:w="85" w:type="dxa"/>
              <w:bottom w:w="85" w:type="dxa"/>
              <w:left w:w="85" w:type="dxa"/>
              <w:right w:w="85" w:type="dxa"/>
            </w:tcMar>
          </w:tcPr>
          <w:p>
            <w:pPr>
              <w:spacing w:before="80" w:after="80" w:line="252" w:lineRule="auto"/>
            </w:pPr>
            <w:r>
              <w:rPr>
                <w:sz w:val="20"/>
              </w:rPr>
              <w:t>220</w:t>
            </w:r>
          </w:p>
        </w:tc>
        <w:tc>
          <w:tcPr>
            <w:tcW w:type="dxa" w:w="4694"/>
            <w:vAlign w:val="center"/>
            <w:shd w:fill="FFFFFF"/>
            <w:tcMar>
              <w:top w:w="85" w:type="dxa"/>
              <w:bottom w:w="85" w:type="dxa"/>
              <w:left w:w="85" w:type="dxa"/>
              <w:right w:w="85" w:type="dxa"/>
            </w:tcMar>
          </w:tcPr>
          <w:p>
            <w:pPr>
              <w:spacing w:before="80" w:after="80" w:line="252" w:lineRule="auto"/>
            </w:pPr>
            <w:r>
              <w:rPr>
                <w:sz w:val="20"/>
              </w:rPr>
              <w:t>Media, advertising and call analysis capabilities</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6 Wave D expansion</w:t>
            </w:r>
          </w:p>
        </w:tc>
        <w:tc>
          <w:tcPr>
            <w:tcW w:type="dxa" w:w="3600"/>
            <w:vAlign w:val="center"/>
            <w:shd w:fill="F1F4F7"/>
            <w:tcMar>
              <w:top w:w="85" w:type="dxa"/>
              <w:bottom w:w="85" w:type="dxa"/>
              <w:left w:w="85" w:type="dxa"/>
              <w:right w:w="85" w:type="dxa"/>
            </w:tcMar>
          </w:tcPr>
          <w:p>
            <w:pPr>
              <w:spacing w:before="80" w:after="80" w:line="252" w:lineRule="auto"/>
            </w:pPr>
            <w:r>
              <w:rPr>
                <w:sz w:val="20"/>
              </w:rPr>
              <w:t>240</w:t>
            </w:r>
          </w:p>
        </w:tc>
        <w:tc>
          <w:tcPr>
            <w:tcW w:type="dxa" w:w="4694"/>
            <w:vAlign w:val="center"/>
            <w:shd w:fill="F1F4F7"/>
            <w:tcMar>
              <w:top w:w="85" w:type="dxa"/>
              <w:bottom w:w="85" w:type="dxa"/>
              <w:left w:w="85" w:type="dxa"/>
              <w:right w:w="85" w:type="dxa"/>
            </w:tcMar>
          </w:tcPr>
          <w:p>
            <w:pPr>
              <w:spacing w:before="80" w:after="80" w:line="252" w:lineRule="auto"/>
            </w:pPr>
            <w:r>
              <w:rPr>
                <w:sz w:val="20"/>
              </w:rPr>
              <w:t>Telephony and SMS workflows with operational controls</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7 Full release hardening</w:t>
            </w:r>
          </w:p>
        </w:tc>
        <w:tc>
          <w:tcPr>
            <w:tcW w:type="dxa" w:w="3600"/>
            <w:vAlign w:val="center"/>
            <w:shd w:fill="FFFFFF"/>
            <w:tcMar>
              <w:top w:w="85" w:type="dxa"/>
              <w:bottom w:w="85" w:type="dxa"/>
              <w:left w:w="85" w:type="dxa"/>
              <w:right w:w="85" w:type="dxa"/>
            </w:tcMar>
          </w:tcPr>
          <w:p>
            <w:pPr>
              <w:spacing w:before="80" w:after="80" w:line="252" w:lineRule="auto"/>
            </w:pPr>
            <w:r>
              <w:rPr>
                <w:sz w:val="20"/>
              </w:rPr>
              <w:t>200</w:t>
            </w:r>
          </w:p>
        </w:tc>
        <w:tc>
          <w:tcPr>
            <w:tcW w:type="dxa" w:w="4694"/>
            <w:vAlign w:val="center"/>
            <w:shd w:fill="FFFFFF"/>
            <w:tcMar>
              <w:top w:w="85" w:type="dxa"/>
              <w:bottom w:w="85" w:type="dxa"/>
              <w:left w:w="85" w:type="dxa"/>
              <w:right w:w="85" w:type="dxa"/>
            </w:tcMar>
          </w:tcPr>
          <w:p>
            <w:pPr>
              <w:spacing w:before="80" w:after="80" w:line="252" w:lineRule="auto"/>
            </w:pPr>
            <w:r>
              <w:rPr>
                <w:sz w:val="20"/>
              </w:rPr>
              <w:t>Tested recovery, scale, onboarding and release operations</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8 Validation and refinement</w:t>
            </w:r>
          </w:p>
        </w:tc>
        <w:tc>
          <w:tcPr>
            <w:tcW w:type="dxa" w:w="3600"/>
            <w:vAlign w:val="center"/>
            <w:shd w:fill="F1F4F7"/>
            <w:tcMar>
              <w:top w:w="85" w:type="dxa"/>
              <w:bottom w:w="85" w:type="dxa"/>
              <w:left w:w="85" w:type="dxa"/>
              <w:right w:w="85" w:type="dxa"/>
            </w:tcMar>
          </w:tcPr>
          <w:p>
            <w:pPr>
              <w:spacing w:before="80" w:after="80" w:line="252" w:lineRule="auto"/>
            </w:pPr>
            <w:r>
              <w:rPr>
                <w:sz w:val="20"/>
              </w:rPr>
              <w:t>150</w:t>
            </w:r>
          </w:p>
        </w:tc>
        <w:tc>
          <w:tcPr>
            <w:tcW w:type="dxa" w:w="4694"/>
            <w:vAlign w:val="center"/>
            <w:shd w:fill="F1F4F7"/>
            <w:tcMar>
              <w:top w:w="85" w:type="dxa"/>
              <w:bottom w:w="85" w:type="dxa"/>
              <w:left w:w="85" w:type="dxa"/>
              <w:right w:w="85" w:type="dxa"/>
            </w:tcMar>
          </w:tcPr>
          <w:p>
            <w:pPr>
              <w:spacing w:before="80" w:after="80" w:line="252" w:lineRule="auto"/>
            </w:pPr>
            <w:r>
              <w:rPr>
                <w:sz w:val="20"/>
              </w:rPr>
              <w:t>Measured customer feedback and quality improvements</w:t>
            </w:r>
          </w:p>
        </w:tc>
      </w:tr>
    </w:tbl>
    <w:p>
      <w:pPr>
        <w:spacing w:after="40"/>
      </w:pPr>
    </w:p>
    <w:p>
      <w:pPr>
        <w:pStyle w:val="Heading2"/>
      </w:pPr>
      <w:r>
        <w:t>Phase 0 Product and design</w:t>
      </w:r>
    </w:p>
    <w:p>
      <w:r>
        <w:t>Select one initial customer segment and one measurable workflow outcome. Interview prospective users, map their current process and define what a successful task means. Produce a clickable dashboard prototype, design tokens, core journeys and empty, loading, error and permission states. Plan all rooms visually while only wiring one real workflow first.</w:t>
      </w:r>
    </w:p>
    <w:p>
      <w:r>
        <w:t>Gate: prospective users understand the value and can navigate the prototype; the founder approves the visual direction; the initial workflow has testable inputs, outputs and success criteria. A visually impressive prototype alone is not market validation.</w:t>
      </w:r>
    </w:p>
    <w:p>
      <w:pPr>
        <w:pStyle w:val="Heading2"/>
      </w:pPr>
      <w:r>
        <w:t>Phase 1 Platform foundation</w:t>
      </w:r>
    </w:p>
    <w:p>
      <w:r>
        <w:t>Create development and staging environments, CI, database migrations, authentication, membership roles, workspace isolation, knowledge records, encrypted integration credentials and the dashboard shell. Implement basic audit events and API error handling. Add two tenant security tests immediately.</w:t>
      </w:r>
    </w:p>
    <w:p>
      <w:r>
        <w:t>Gate: one tenant cannot retrieve or modify another tenant's records, files or live events. Setup and login work reliably. The frontend can display real workspace data with sensible empty states.</w:t>
      </w:r>
    </w:p>
    <w:p>
      <w:pPr>
        <w:pStyle w:val="Heading2"/>
      </w:pPr>
      <w:r>
        <w:t>Phase 2 First live workflow</w:t>
      </w:r>
    </w:p>
    <w:p>
      <w:r>
        <w:t>Build one vertical slice: import a permitted lead or inquiry, research relevant business context, produce a scored recommendation and draft response, request approval, execute one supported external action and record the outcome. Add Core routing, specialist contracts, checkpoints, worker dispatch, budgets, outbox events and PixiJS state mapping.</w:t>
      </w:r>
    </w:p>
    <w:p>
      <w:r>
        <w:t>Add the remaining Wave A roles gradually using the same infrastructure. Keep the initial evaluation dataset small and hand reviewed. Verify interruption, reconnect and recovery with real backend events.</w:t>
      </w:r>
    </w:p>
    <w:p>
      <w:r>
        <w:t>Gate: repeated runs work with bounded costs; a restarted worker resumes safely; edited drafts require new approval; repeated approval submissions cannot duplicate external actions; every visual working state corresponds to a real run.</w:t>
      </w:r>
    </w:p>
    <w:p>
      <w:pPr>
        <w:pStyle w:val="Heading2"/>
      </w:pPr>
      <w:r>
        <w:t>Phase 3 Paid pilot readiness</w:t>
      </w:r>
    </w:p>
    <w:p>
      <w:r>
        <w:t>Add subscription entitlements, a credit ledger, usage reservations, reconciliation, customer notifications, support tools, data export and retention controls. Integrate an appropriate payment provider after confirming merchant eligibility for the business location. Use test payments first and validate webhook signatures and duplicates.</w:t>
      </w:r>
    </w:p>
    <w:p>
      <w:r>
        <w:t>Recruit three to five design partners as a planning target. Onboard them personally, observe real usage and fix recurring friction. Provide a clear capability list and known limitations. Do not describe draft only features as autonomous integrations.</w:t>
      </w:r>
    </w:p>
    <w:p>
      <w:r>
        <w:t>Gate: a customer can subscribe, complete setup, use the released workflow, understand charges and obtain support. Critical isolation, payment and duplicate action defects are closed. Backup restoration is demonstrated in staging.</w:t>
      </w:r>
    </w:p>
    <w:p>
      <w:pPr>
        <w:pStyle w:val="Heading2"/>
      </w:pPr>
      <w:r>
        <w:t>Phases 4 to 6 Department expansion</w:t>
      </w:r>
    </w:p>
    <w:p>
      <w:r>
        <w:t>For each new department, define the job, data contract, tools, operating modes and acceptance cases; implement drafts; add approvals; connect external actions; add metering; then release behind a feature flag. Reuse agent templates and common integration adapters without weakening per role evaluation.</w:t>
      </w:r>
    </w:p>
    <w:p>
      <w:r>
        <w:t>Treat media generation, rendering, transcription and real time voice as distinct cost and latency classes. Add upload limits, background processing, callback validation and failure recovery. Do not assume a generic text agent can safely replace the operational work of each integration.</w:t>
      </w:r>
    </w:p>
    <w:p>
      <w:r>
        <w:t>Gate for each department: documented inputs and outputs, meaningful evaluation results, valid permissions, tested cost ceiling, visible human controls, reliable integration behavior and an understandable dashboard view. Departments can ship independently after passing their gates.</w:t>
      </w:r>
    </w:p>
    <w:p>
      <w:pPr>
        <w:pStyle w:val="Heading2"/>
      </w:pPr>
      <w:r>
        <w:t>Phases 7 and 8 Full release</w:t>
      </w:r>
    </w:p>
    <w:p>
      <w:r>
        <w:t>Complete performance tests, accessibility review, operational dashboards, restoration drills, model upgrade evaluations and incident procedures. Improve onboarding and customer support from observed behavior. Reassess packaging and pricing with measured usage and willingness to pay.</w:t>
      </w:r>
    </w:p>
    <w:p>
      <w:r>
        <w:t>Gate: all advertised capabilities meet their acceptance criteria, operational owners and support procedures exist, and service objectives are supported by load and recovery tests. Record unsupported channels explicitly. The release is a commercial operating service, not simply a collection of agent prompts.</w:t>
      </w:r>
    </w:p>
    <w:p>
      <w:pPr>
        <w:pStyle w:val="Heading1"/>
      </w:pPr>
      <w:r>
        <w:t>9 Calendar estimates</w:t>
      </w:r>
    </w:p>
    <w:p>
      <w:r>
        <w:t>A practical initial range is 350 to 550 focused hours for a limited production pilot and 1,200 to 2,000 hours for the full product described here. The full range includes pilot work. These estimates assume an experienced solo full stack developer and reuse of standard components. Custom animation, unfamiliar integrations and significant scope changes can extend them.</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72"/>
        <w:gridCol w:w="3600"/>
        <w:gridCol w:w="4694"/>
      </w:tblGrid>
      <w:tr>
        <w:trPr>
          <w:cantSplit/>
          <w:tblHeader/>
        </w:trPr>
        <w:tc>
          <w:tcPr>
            <w:tcW w:type="dxa" w:w="1872"/>
            <w:vAlign w:val="center"/>
            <w:shd w:fill="20344A"/>
            <w:tcMar>
              <w:top w:w="85" w:type="dxa"/>
              <w:bottom w:w="85" w:type="dxa"/>
              <w:left w:w="85" w:type="dxa"/>
              <w:right w:w="85" w:type="dxa"/>
            </w:tcMar>
          </w:tcPr>
          <w:p>
            <w:pPr>
              <w:spacing w:before="80" w:after="80" w:line="252" w:lineRule="auto"/>
            </w:pPr>
            <w:r>
              <w:rPr>
                <w:b/>
                <w:color w:val="FFFFFF"/>
                <w:sz w:val="20"/>
              </w:rPr>
              <w:t>Weekly focused time</w:t>
            </w:r>
          </w:p>
        </w:tc>
        <w:tc>
          <w:tcPr>
            <w:tcW w:type="dxa" w:w="3600"/>
            <w:vAlign w:val="center"/>
            <w:shd w:fill="20344A"/>
            <w:tcMar>
              <w:top w:w="85" w:type="dxa"/>
              <w:bottom w:w="85" w:type="dxa"/>
              <w:left w:w="85" w:type="dxa"/>
              <w:right w:w="85" w:type="dxa"/>
            </w:tcMar>
          </w:tcPr>
          <w:p>
            <w:pPr>
              <w:spacing w:before="80" w:after="80" w:line="252" w:lineRule="auto"/>
            </w:pPr>
            <w:r>
              <w:rPr>
                <w:b/>
                <w:color w:val="FFFFFF"/>
                <w:sz w:val="20"/>
              </w:rPr>
              <w:t>Pilot at 350 to 550 hours</w:t>
            </w:r>
          </w:p>
        </w:tc>
        <w:tc>
          <w:tcPr>
            <w:tcW w:type="dxa" w:w="4694"/>
            <w:vAlign w:val="center"/>
            <w:shd w:fill="20344A"/>
            <w:tcMar>
              <w:top w:w="85" w:type="dxa"/>
              <w:bottom w:w="85" w:type="dxa"/>
              <w:left w:w="85" w:type="dxa"/>
              <w:right w:w="85" w:type="dxa"/>
            </w:tcMar>
          </w:tcPr>
          <w:p>
            <w:pPr>
              <w:spacing w:before="80" w:after="80" w:line="252" w:lineRule="auto"/>
            </w:pPr>
            <w:r>
              <w:rPr>
                <w:b/>
                <w:color w:val="FFFFFF"/>
                <w:sz w:val="20"/>
              </w:rPr>
              <w:t>Full product at 1200 to 2000 hours</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10 hours</w:t>
            </w:r>
          </w:p>
        </w:tc>
        <w:tc>
          <w:tcPr>
            <w:tcW w:type="dxa" w:w="3600"/>
            <w:vAlign w:val="center"/>
            <w:shd w:fill="F1F4F7"/>
            <w:tcMar>
              <w:top w:w="85" w:type="dxa"/>
              <w:bottom w:w="85" w:type="dxa"/>
              <w:left w:w="85" w:type="dxa"/>
              <w:right w:w="85" w:type="dxa"/>
            </w:tcMar>
          </w:tcPr>
          <w:p>
            <w:pPr>
              <w:spacing w:before="80" w:after="80" w:line="252" w:lineRule="auto"/>
            </w:pPr>
            <w:r>
              <w:rPr>
                <w:sz w:val="20"/>
              </w:rPr>
              <w:t>35 to 55 weeks</w:t>
            </w:r>
          </w:p>
        </w:tc>
        <w:tc>
          <w:tcPr>
            <w:tcW w:type="dxa" w:w="4694"/>
            <w:vAlign w:val="center"/>
            <w:shd w:fill="F1F4F7"/>
            <w:tcMar>
              <w:top w:w="85" w:type="dxa"/>
              <w:bottom w:w="85" w:type="dxa"/>
              <w:left w:w="85" w:type="dxa"/>
              <w:right w:w="85" w:type="dxa"/>
            </w:tcMar>
          </w:tcPr>
          <w:p>
            <w:pPr>
              <w:spacing w:before="80" w:after="80" w:line="252" w:lineRule="auto"/>
            </w:pPr>
            <w:r>
              <w:rPr>
                <w:sz w:val="20"/>
              </w:rPr>
              <w:t>120 to 200 weeks</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20 hours</w:t>
            </w:r>
          </w:p>
        </w:tc>
        <w:tc>
          <w:tcPr>
            <w:tcW w:type="dxa" w:w="3600"/>
            <w:vAlign w:val="center"/>
            <w:shd w:fill="FFFFFF"/>
            <w:tcMar>
              <w:top w:w="85" w:type="dxa"/>
              <w:bottom w:w="85" w:type="dxa"/>
              <w:left w:w="85" w:type="dxa"/>
              <w:right w:w="85" w:type="dxa"/>
            </w:tcMar>
          </w:tcPr>
          <w:p>
            <w:pPr>
              <w:spacing w:before="80" w:after="80" w:line="252" w:lineRule="auto"/>
            </w:pPr>
            <w:r>
              <w:rPr>
                <w:sz w:val="20"/>
              </w:rPr>
              <w:t>18 to 28 weeks</w:t>
            </w:r>
          </w:p>
        </w:tc>
        <w:tc>
          <w:tcPr>
            <w:tcW w:type="dxa" w:w="4694"/>
            <w:vAlign w:val="center"/>
            <w:shd w:fill="FFFFFF"/>
            <w:tcMar>
              <w:top w:w="85" w:type="dxa"/>
              <w:bottom w:w="85" w:type="dxa"/>
              <w:left w:w="85" w:type="dxa"/>
              <w:right w:w="85" w:type="dxa"/>
            </w:tcMar>
          </w:tcPr>
          <w:p>
            <w:pPr>
              <w:spacing w:before="80" w:after="80" w:line="252" w:lineRule="auto"/>
            </w:pPr>
            <w:r>
              <w:rPr>
                <w:sz w:val="20"/>
              </w:rPr>
              <w:t>60 to 100 weeks</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30 hours</w:t>
            </w:r>
          </w:p>
        </w:tc>
        <w:tc>
          <w:tcPr>
            <w:tcW w:type="dxa" w:w="3600"/>
            <w:vAlign w:val="center"/>
            <w:shd w:fill="F1F4F7"/>
            <w:tcMar>
              <w:top w:w="85" w:type="dxa"/>
              <w:bottom w:w="85" w:type="dxa"/>
              <w:left w:w="85" w:type="dxa"/>
              <w:right w:w="85" w:type="dxa"/>
            </w:tcMar>
          </w:tcPr>
          <w:p>
            <w:pPr>
              <w:spacing w:before="80" w:after="80" w:line="252" w:lineRule="auto"/>
            </w:pPr>
            <w:r>
              <w:rPr>
                <w:sz w:val="20"/>
              </w:rPr>
              <w:t>12 to 19 weeks</w:t>
            </w:r>
          </w:p>
        </w:tc>
        <w:tc>
          <w:tcPr>
            <w:tcW w:type="dxa" w:w="4694"/>
            <w:vAlign w:val="center"/>
            <w:shd w:fill="F1F4F7"/>
            <w:tcMar>
              <w:top w:w="85" w:type="dxa"/>
              <w:bottom w:w="85" w:type="dxa"/>
              <w:left w:w="85" w:type="dxa"/>
              <w:right w:w="85" w:type="dxa"/>
            </w:tcMar>
          </w:tcPr>
          <w:p>
            <w:pPr>
              <w:spacing w:before="80" w:after="80" w:line="252" w:lineRule="auto"/>
            </w:pPr>
            <w:r>
              <w:rPr>
                <w:sz w:val="20"/>
              </w:rPr>
              <w:t>40 to 67 weeks</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40 hours</w:t>
            </w:r>
          </w:p>
        </w:tc>
        <w:tc>
          <w:tcPr>
            <w:tcW w:type="dxa" w:w="3600"/>
            <w:vAlign w:val="center"/>
            <w:shd w:fill="FFFFFF"/>
            <w:tcMar>
              <w:top w:w="85" w:type="dxa"/>
              <w:bottom w:w="85" w:type="dxa"/>
              <w:left w:w="85" w:type="dxa"/>
              <w:right w:w="85" w:type="dxa"/>
            </w:tcMar>
          </w:tcPr>
          <w:p>
            <w:pPr>
              <w:spacing w:before="80" w:after="80" w:line="252" w:lineRule="auto"/>
            </w:pPr>
            <w:r>
              <w:rPr>
                <w:sz w:val="20"/>
              </w:rPr>
              <w:t>9 to 14 weeks</w:t>
            </w:r>
          </w:p>
        </w:tc>
        <w:tc>
          <w:tcPr>
            <w:tcW w:type="dxa" w:w="4694"/>
            <w:vAlign w:val="center"/>
            <w:shd w:fill="FFFFFF"/>
            <w:tcMar>
              <w:top w:w="85" w:type="dxa"/>
              <w:bottom w:w="85" w:type="dxa"/>
              <w:left w:w="85" w:type="dxa"/>
              <w:right w:w="85" w:type="dxa"/>
            </w:tcMar>
          </w:tcPr>
          <w:p>
            <w:pPr>
              <w:spacing w:before="80" w:after="80" w:line="252" w:lineRule="auto"/>
            </w:pPr>
            <w:r>
              <w:rPr>
                <w:sz w:val="20"/>
              </w:rPr>
              <w:t>30 to 50 weeks</w:t>
            </w:r>
          </w:p>
        </w:tc>
      </w:tr>
    </w:tbl>
    <w:p>
      <w:pPr>
        <w:spacing w:after="40"/>
      </w:pPr>
    </w:p>
    <w:p>
      <w:r>
        <w:t>Weeks are rounded up and assume steady productive work. Holidays, external approvals and interruptions add calendar time. At four hours per working day and five days per week, use the 20 hour row. Track focused hours for the first month before committing to a launch date.</w:t>
      </w:r>
    </w:p>
    <w:p>
      <w:r>
        <w:t>The central phase budget reaches pilot readiness at 450 hours and full scope at 1,500 hours. Multiple developers can overlap work after agreeing on contracts, but coordination and reviews mean elapsed time will not divide perfectly by team size.</w:t>
      </w:r>
    </w:p>
    <w:p>
      <w:pPr>
        <w:pStyle w:val="Heading1"/>
      </w:pPr>
      <w:r>
        <w:t>10 First thirty working days</w:t>
      </w:r>
    </w:p>
    <w:p>
      <w:r>
        <w:t>This starter schedule assumes approximately three focused hours per workday. It covers about 90 hours of discovery, UI foundation and a narrow technical proof. It does not promise a production pilot in one month. If a task exceeds its slot, carry it forward rather than skipping its completion check.</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72"/>
        <w:gridCol w:w="3600"/>
        <w:gridCol w:w="4694"/>
      </w:tblGrid>
      <w:tr>
        <w:trPr>
          <w:cantSplit/>
          <w:tblHeader/>
        </w:trPr>
        <w:tc>
          <w:tcPr>
            <w:tcW w:type="dxa" w:w="1872"/>
            <w:vAlign w:val="center"/>
            <w:shd w:fill="20344A"/>
            <w:tcMar>
              <w:top w:w="85" w:type="dxa"/>
              <w:bottom w:w="85" w:type="dxa"/>
              <w:left w:w="85" w:type="dxa"/>
              <w:right w:w="85" w:type="dxa"/>
            </w:tcMar>
          </w:tcPr>
          <w:p>
            <w:pPr>
              <w:spacing w:before="80" w:after="80" w:line="252" w:lineRule="auto"/>
            </w:pPr>
            <w:r>
              <w:rPr>
                <w:b/>
                <w:color w:val="FFFFFF"/>
                <w:sz w:val="20"/>
              </w:rPr>
              <w:t>Day</w:t>
            </w:r>
          </w:p>
        </w:tc>
        <w:tc>
          <w:tcPr>
            <w:tcW w:type="dxa" w:w="3600"/>
            <w:vAlign w:val="center"/>
            <w:shd w:fill="20344A"/>
            <w:tcMar>
              <w:top w:w="85" w:type="dxa"/>
              <w:bottom w:w="85" w:type="dxa"/>
              <w:left w:w="85" w:type="dxa"/>
              <w:right w:w="85" w:type="dxa"/>
            </w:tcMar>
          </w:tcPr>
          <w:p>
            <w:pPr>
              <w:spacing w:before="80" w:after="80" w:line="252" w:lineRule="auto"/>
            </w:pPr>
            <w:r>
              <w:rPr>
                <w:b/>
                <w:color w:val="FFFFFF"/>
                <w:sz w:val="20"/>
              </w:rPr>
              <w:t>Focus</w:t>
            </w:r>
          </w:p>
        </w:tc>
        <w:tc>
          <w:tcPr>
            <w:tcW w:type="dxa" w:w="4694"/>
            <w:vAlign w:val="center"/>
            <w:shd w:fill="20344A"/>
            <w:tcMar>
              <w:top w:w="85" w:type="dxa"/>
              <w:bottom w:w="85" w:type="dxa"/>
              <w:left w:w="85" w:type="dxa"/>
              <w:right w:w="85" w:type="dxa"/>
            </w:tcMar>
          </w:tcPr>
          <w:p>
            <w:pPr>
              <w:spacing w:before="80" w:after="80" w:line="252" w:lineRule="auto"/>
            </w:pPr>
            <w:r>
              <w:rPr>
                <w:b/>
                <w:color w:val="FFFFFF"/>
                <w:sz w:val="20"/>
              </w:rPr>
              <w:t>Evidence to save</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1</w:t>
            </w:r>
          </w:p>
        </w:tc>
        <w:tc>
          <w:tcPr>
            <w:tcW w:type="dxa" w:w="3600"/>
            <w:vAlign w:val="center"/>
            <w:shd w:fill="F1F4F7"/>
            <w:tcMar>
              <w:top w:w="85" w:type="dxa"/>
              <w:bottom w:w="85" w:type="dxa"/>
              <w:left w:w="85" w:type="dxa"/>
              <w:right w:w="85" w:type="dxa"/>
            </w:tcMar>
          </w:tcPr>
          <w:p>
            <w:pPr>
              <w:spacing w:before="80" w:after="80" w:line="252" w:lineRule="auto"/>
            </w:pPr>
            <w:r>
              <w:rPr>
                <w:sz w:val="20"/>
              </w:rPr>
              <w:t>Choose first customer and workflow</w:t>
            </w:r>
          </w:p>
        </w:tc>
        <w:tc>
          <w:tcPr>
            <w:tcW w:type="dxa" w:w="4694"/>
            <w:vAlign w:val="center"/>
            <w:shd w:fill="F1F4F7"/>
            <w:tcMar>
              <w:top w:w="85" w:type="dxa"/>
              <w:bottom w:w="85" w:type="dxa"/>
              <w:left w:w="85" w:type="dxa"/>
              <w:right w:w="85" w:type="dxa"/>
            </w:tcMar>
          </w:tcPr>
          <w:p>
            <w:pPr>
              <w:spacing w:before="80" w:after="80" w:line="252" w:lineRule="auto"/>
            </w:pPr>
            <w:r>
              <w:rPr>
                <w:sz w:val="20"/>
              </w:rPr>
              <w:t>One page scope and outcome definition</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2</w:t>
            </w:r>
          </w:p>
        </w:tc>
        <w:tc>
          <w:tcPr>
            <w:tcW w:type="dxa" w:w="3600"/>
            <w:vAlign w:val="center"/>
            <w:shd w:fill="FFFFFF"/>
            <w:tcMar>
              <w:top w:w="85" w:type="dxa"/>
              <w:bottom w:w="85" w:type="dxa"/>
              <w:left w:w="85" w:type="dxa"/>
              <w:right w:w="85" w:type="dxa"/>
            </w:tcMar>
          </w:tcPr>
          <w:p>
            <w:pPr>
              <w:spacing w:before="80" w:after="80" w:line="252" w:lineRule="auto"/>
            </w:pPr>
            <w:r>
              <w:rPr>
                <w:sz w:val="20"/>
              </w:rPr>
              <w:t>Describe customer tasks and pain points</w:t>
            </w:r>
          </w:p>
        </w:tc>
        <w:tc>
          <w:tcPr>
            <w:tcW w:type="dxa" w:w="4694"/>
            <w:vAlign w:val="center"/>
            <w:shd w:fill="FFFFFF"/>
            <w:tcMar>
              <w:top w:w="85" w:type="dxa"/>
              <w:bottom w:w="85" w:type="dxa"/>
              <w:left w:w="85" w:type="dxa"/>
              <w:right w:w="85" w:type="dxa"/>
            </w:tcMar>
          </w:tcPr>
          <w:p>
            <w:pPr>
              <w:spacing w:before="80" w:after="80" w:line="252" w:lineRule="auto"/>
            </w:pPr>
            <w:r>
              <w:rPr>
                <w:sz w:val="20"/>
              </w:rPr>
              <w:t>Interview guide and journey map</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3</w:t>
            </w:r>
          </w:p>
        </w:tc>
        <w:tc>
          <w:tcPr>
            <w:tcW w:type="dxa" w:w="3600"/>
            <w:vAlign w:val="center"/>
            <w:shd w:fill="F1F4F7"/>
            <w:tcMar>
              <w:top w:w="85" w:type="dxa"/>
              <w:bottom w:w="85" w:type="dxa"/>
              <w:left w:w="85" w:type="dxa"/>
              <w:right w:w="85" w:type="dxa"/>
            </w:tcMar>
          </w:tcPr>
          <w:p>
            <w:pPr>
              <w:spacing w:before="80" w:after="80" w:line="252" w:lineRule="auto"/>
            </w:pPr>
            <w:r>
              <w:rPr>
                <w:sz w:val="20"/>
              </w:rPr>
              <w:t>Gather initial customer feedback</w:t>
            </w:r>
          </w:p>
        </w:tc>
        <w:tc>
          <w:tcPr>
            <w:tcW w:type="dxa" w:w="4694"/>
            <w:vAlign w:val="center"/>
            <w:shd w:fill="F1F4F7"/>
            <w:tcMar>
              <w:top w:w="85" w:type="dxa"/>
              <w:bottom w:w="85" w:type="dxa"/>
              <w:left w:w="85" w:type="dxa"/>
              <w:right w:w="85" w:type="dxa"/>
            </w:tcMar>
          </w:tcPr>
          <w:p>
            <w:pPr>
              <w:spacing w:before="80" w:after="80" w:line="252" w:lineRule="auto"/>
            </w:pPr>
            <w:r>
              <w:rPr>
                <w:sz w:val="20"/>
              </w:rPr>
              <w:t>Notes and assumptions to validate</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4</w:t>
            </w:r>
          </w:p>
        </w:tc>
        <w:tc>
          <w:tcPr>
            <w:tcW w:type="dxa" w:w="3600"/>
            <w:vAlign w:val="center"/>
            <w:shd w:fill="FFFFFF"/>
            <w:tcMar>
              <w:top w:w="85" w:type="dxa"/>
              <w:bottom w:w="85" w:type="dxa"/>
              <w:left w:w="85" w:type="dxa"/>
              <w:right w:w="85" w:type="dxa"/>
            </w:tcMar>
          </w:tcPr>
          <w:p>
            <w:pPr>
              <w:spacing w:before="80" w:after="80" w:line="252" w:lineRule="auto"/>
            </w:pPr>
            <w:r>
              <w:rPr>
                <w:sz w:val="20"/>
              </w:rPr>
              <w:t>Map dashboard navigation</w:t>
            </w:r>
          </w:p>
        </w:tc>
        <w:tc>
          <w:tcPr>
            <w:tcW w:type="dxa" w:w="4694"/>
            <w:vAlign w:val="center"/>
            <w:shd w:fill="FFFFFF"/>
            <w:tcMar>
              <w:top w:w="85" w:type="dxa"/>
              <w:bottom w:w="85" w:type="dxa"/>
              <w:left w:w="85" w:type="dxa"/>
              <w:right w:w="85" w:type="dxa"/>
            </w:tcMar>
          </w:tcPr>
          <w:p>
            <w:pPr>
              <w:spacing w:before="80" w:after="80" w:line="252" w:lineRule="auto"/>
            </w:pPr>
            <w:r>
              <w:rPr>
                <w:sz w:val="20"/>
              </w:rPr>
              <w:t>Screen map and primary action locations</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5</w:t>
            </w:r>
          </w:p>
        </w:tc>
        <w:tc>
          <w:tcPr>
            <w:tcW w:type="dxa" w:w="3600"/>
            <w:vAlign w:val="center"/>
            <w:shd w:fill="F1F4F7"/>
            <w:tcMar>
              <w:top w:w="85" w:type="dxa"/>
              <w:bottom w:w="85" w:type="dxa"/>
              <w:left w:w="85" w:type="dxa"/>
              <w:right w:w="85" w:type="dxa"/>
            </w:tcMar>
          </w:tcPr>
          <w:p>
            <w:pPr>
              <w:spacing w:before="80" w:after="80" w:line="252" w:lineRule="auto"/>
            </w:pPr>
            <w:r>
              <w:rPr>
                <w:sz w:val="20"/>
              </w:rPr>
              <w:t>Define visual tokens</w:t>
            </w:r>
          </w:p>
        </w:tc>
        <w:tc>
          <w:tcPr>
            <w:tcW w:type="dxa" w:w="4694"/>
            <w:vAlign w:val="center"/>
            <w:shd w:fill="F1F4F7"/>
            <w:tcMar>
              <w:top w:w="85" w:type="dxa"/>
              <w:bottom w:w="85" w:type="dxa"/>
              <w:left w:w="85" w:type="dxa"/>
              <w:right w:w="85" w:type="dxa"/>
            </w:tcMar>
          </w:tcPr>
          <w:p>
            <w:pPr>
              <w:spacing w:before="80" w:after="80" w:line="252" w:lineRule="auto"/>
            </w:pPr>
            <w:r>
              <w:rPr>
                <w:sz w:val="20"/>
              </w:rPr>
              <w:t>Colors, type, spacing and motion rules</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6</w:t>
            </w:r>
          </w:p>
        </w:tc>
        <w:tc>
          <w:tcPr>
            <w:tcW w:type="dxa" w:w="3600"/>
            <w:vAlign w:val="center"/>
            <w:shd w:fill="FFFFFF"/>
            <w:tcMar>
              <w:top w:w="85" w:type="dxa"/>
              <w:bottom w:w="85" w:type="dxa"/>
              <w:left w:w="85" w:type="dxa"/>
              <w:right w:w="85" w:type="dxa"/>
            </w:tcMar>
          </w:tcPr>
          <w:p>
            <w:pPr>
              <w:spacing w:before="80" w:after="80" w:line="252" w:lineRule="auto"/>
            </w:pPr>
            <w:r>
              <w:rPr>
                <w:sz w:val="20"/>
              </w:rPr>
              <w:t>Design overview and attention queue</w:t>
            </w:r>
          </w:p>
        </w:tc>
        <w:tc>
          <w:tcPr>
            <w:tcW w:type="dxa" w:w="4694"/>
            <w:vAlign w:val="center"/>
            <w:shd w:fill="FFFFFF"/>
            <w:tcMar>
              <w:top w:w="85" w:type="dxa"/>
              <w:bottom w:w="85" w:type="dxa"/>
              <w:left w:w="85" w:type="dxa"/>
              <w:right w:w="85" w:type="dxa"/>
            </w:tcMar>
          </w:tcPr>
          <w:p>
            <w:pPr>
              <w:spacing w:before="80" w:after="80" w:line="252" w:lineRule="auto"/>
            </w:pPr>
            <w:r>
              <w:rPr>
                <w:sz w:val="20"/>
              </w:rPr>
              <w:t>Clickable overview screen</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7</w:t>
            </w:r>
          </w:p>
        </w:tc>
        <w:tc>
          <w:tcPr>
            <w:tcW w:type="dxa" w:w="3600"/>
            <w:vAlign w:val="center"/>
            <w:shd w:fill="F1F4F7"/>
            <w:tcMar>
              <w:top w:w="85" w:type="dxa"/>
              <w:bottom w:w="85" w:type="dxa"/>
              <w:left w:w="85" w:type="dxa"/>
              <w:right w:w="85" w:type="dxa"/>
            </w:tcMar>
          </w:tcPr>
          <w:p>
            <w:pPr>
              <w:spacing w:before="80" w:after="80" w:line="252" w:lineRule="auto"/>
            </w:pPr>
            <w:r>
              <w:rPr>
                <w:sz w:val="20"/>
              </w:rPr>
              <w:t>Design office and compact views</w:t>
            </w:r>
          </w:p>
        </w:tc>
        <w:tc>
          <w:tcPr>
            <w:tcW w:type="dxa" w:w="4694"/>
            <w:vAlign w:val="center"/>
            <w:shd w:fill="F1F4F7"/>
            <w:tcMar>
              <w:top w:w="85" w:type="dxa"/>
              <w:bottom w:w="85" w:type="dxa"/>
              <w:left w:w="85" w:type="dxa"/>
              <w:right w:w="85" w:type="dxa"/>
            </w:tcMar>
          </w:tcPr>
          <w:p>
            <w:pPr>
              <w:spacing w:before="80" w:after="80" w:line="252" w:lineRule="auto"/>
            </w:pPr>
            <w:r>
              <w:rPr>
                <w:sz w:val="20"/>
              </w:rPr>
              <w:t>Matched views of the same mock tasks</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8</w:t>
            </w:r>
          </w:p>
        </w:tc>
        <w:tc>
          <w:tcPr>
            <w:tcW w:type="dxa" w:w="3600"/>
            <w:vAlign w:val="center"/>
            <w:shd w:fill="FFFFFF"/>
            <w:tcMar>
              <w:top w:w="85" w:type="dxa"/>
              <w:bottom w:w="85" w:type="dxa"/>
              <w:left w:w="85" w:type="dxa"/>
              <w:right w:w="85" w:type="dxa"/>
            </w:tcMar>
          </w:tcPr>
          <w:p>
            <w:pPr>
              <w:spacing w:before="80" w:after="80" w:line="252" w:lineRule="auto"/>
            </w:pPr>
            <w:r>
              <w:rPr>
                <w:sz w:val="20"/>
              </w:rPr>
              <w:t>Design agent inspector</w:t>
            </w:r>
          </w:p>
        </w:tc>
        <w:tc>
          <w:tcPr>
            <w:tcW w:type="dxa" w:w="4694"/>
            <w:vAlign w:val="center"/>
            <w:shd w:fill="FFFFFF"/>
            <w:tcMar>
              <w:top w:w="85" w:type="dxa"/>
              <w:bottom w:w="85" w:type="dxa"/>
              <w:left w:w="85" w:type="dxa"/>
              <w:right w:w="85" w:type="dxa"/>
            </w:tcMar>
          </w:tcPr>
          <w:p>
            <w:pPr>
              <w:spacing w:before="80" w:after="80" w:line="252" w:lineRule="auto"/>
            </w:pPr>
            <w:r>
              <w:rPr>
                <w:sz w:val="20"/>
              </w:rPr>
              <w:t>Task, output, cost and control states</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9</w:t>
            </w:r>
          </w:p>
        </w:tc>
        <w:tc>
          <w:tcPr>
            <w:tcW w:type="dxa" w:w="3600"/>
            <w:vAlign w:val="center"/>
            <w:shd w:fill="F1F4F7"/>
            <w:tcMar>
              <w:top w:w="85" w:type="dxa"/>
              <w:bottom w:w="85" w:type="dxa"/>
              <w:left w:w="85" w:type="dxa"/>
              <w:right w:w="85" w:type="dxa"/>
            </w:tcMar>
          </w:tcPr>
          <w:p>
            <w:pPr>
              <w:spacing w:before="80" w:after="80" w:line="252" w:lineRule="auto"/>
            </w:pPr>
            <w:r>
              <w:rPr>
                <w:sz w:val="20"/>
              </w:rPr>
              <w:t>Design approval flow</w:t>
            </w:r>
          </w:p>
        </w:tc>
        <w:tc>
          <w:tcPr>
            <w:tcW w:type="dxa" w:w="4694"/>
            <w:vAlign w:val="center"/>
            <w:shd w:fill="F1F4F7"/>
            <w:tcMar>
              <w:top w:w="85" w:type="dxa"/>
              <w:bottom w:w="85" w:type="dxa"/>
              <w:left w:w="85" w:type="dxa"/>
              <w:right w:w="85" w:type="dxa"/>
            </w:tcMar>
          </w:tcPr>
          <w:p>
            <w:pPr>
              <w:spacing w:before="80" w:after="80" w:line="252" w:lineRule="auto"/>
            </w:pPr>
            <w:r>
              <w:rPr>
                <w:sz w:val="20"/>
              </w:rPr>
              <w:t>Edit, approve, reject and stale draft states</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10</w:t>
            </w:r>
          </w:p>
        </w:tc>
        <w:tc>
          <w:tcPr>
            <w:tcW w:type="dxa" w:w="3600"/>
            <w:vAlign w:val="center"/>
            <w:shd w:fill="FFFFFF"/>
            <w:tcMar>
              <w:top w:w="85" w:type="dxa"/>
              <w:bottom w:w="85" w:type="dxa"/>
              <w:left w:w="85" w:type="dxa"/>
              <w:right w:w="85" w:type="dxa"/>
            </w:tcMar>
          </w:tcPr>
          <w:p>
            <w:pPr>
              <w:spacing w:before="80" w:after="80" w:line="252" w:lineRule="auto"/>
            </w:pPr>
            <w:r>
              <w:rPr>
                <w:sz w:val="20"/>
              </w:rPr>
              <w:t>Review usability</w:t>
            </w:r>
          </w:p>
        </w:tc>
        <w:tc>
          <w:tcPr>
            <w:tcW w:type="dxa" w:w="4694"/>
            <w:vAlign w:val="center"/>
            <w:shd w:fill="FFFFFF"/>
            <w:tcMar>
              <w:top w:w="85" w:type="dxa"/>
              <w:bottom w:w="85" w:type="dxa"/>
              <w:left w:w="85" w:type="dxa"/>
              <w:right w:w="85" w:type="dxa"/>
            </w:tcMar>
          </w:tcPr>
          <w:p>
            <w:pPr>
              <w:spacing w:before="80" w:after="80" w:line="252" w:lineRule="auto"/>
            </w:pPr>
            <w:r>
              <w:rPr>
                <w:sz w:val="20"/>
              </w:rPr>
              <w:t>Observations and prioritized corrections</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11</w:t>
            </w:r>
          </w:p>
        </w:tc>
        <w:tc>
          <w:tcPr>
            <w:tcW w:type="dxa" w:w="3600"/>
            <w:vAlign w:val="center"/>
            <w:shd w:fill="F1F4F7"/>
            <w:tcMar>
              <w:top w:w="85" w:type="dxa"/>
              <w:bottom w:w="85" w:type="dxa"/>
              <w:left w:w="85" w:type="dxa"/>
              <w:right w:w="85" w:type="dxa"/>
            </w:tcMar>
          </w:tcPr>
          <w:p>
            <w:pPr>
              <w:spacing w:before="80" w:after="80" w:line="252" w:lineRule="auto"/>
            </w:pPr>
            <w:r>
              <w:rPr>
                <w:sz w:val="20"/>
              </w:rPr>
              <w:t>Set up repository and environments</w:t>
            </w:r>
          </w:p>
        </w:tc>
        <w:tc>
          <w:tcPr>
            <w:tcW w:type="dxa" w:w="4694"/>
            <w:vAlign w:val="center"/>
            <w:shd w:fill="F1F4F7"/>
            <w:tcMar>
              <w:top w:w="85" w:type="dxa"/>
              <w:bottom w:w="85" w:type="dxa"/>
              <w:left w:w="85" w:type="dxa"/>
              <w:right w:w="85" w:type="dxa"/>
            </w:tcMar>
          </w:tcPr>
          <w:p>
            <w:pPr>
              <w:spacing w:before="80" w:after="80" w:line="252" w:lineRule="auto"/>
            </w:pPr>
            <w:r>
              <w:rPr>
                <w:sz w:val="20"/>
              </w:rPr>
              <w:t>React and Django running locally</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12</w:t>
            </w:r>
          </w:p>
        </w:tc>
        <w:tc>
          <w:tcPr>
            <w:tcW w:type="dxa" w:w="3600"/>
            <w:vAlign w:val="center"/>
            <w:shd w:fill="FFFFFF"/>
            <w:tcMar>
              <w:top w:w="85" w:type="dxa"/>
              <w:bottom w:w="85" w:type="dxa"/>
              <w:left w:w="85" w:type="dxa"/>
              <w:right w:w="85" w:type="dxa"/>
            </w:tcMar>
          </w:tcPr>
          <w:p>
            <w:pPr>
              <w:spacing w:before="80" w:after="80" w:line="252" w:lineRule="auto"/>
            </w:pPr>
            <w:r>
              <w:rPr>
                <w:sz w:val="20"/>
              </w:rPr>
              <w:t>Configure checks and database</w:t>
            </w:r>
          </w:p>
        </w:tc>
        <w:tc>
          <w:tcPr>
            <w:tcW w:type="dxa" w:w="4694"/>
            <w:vAlign w:val="center"/>
            <w:shd w:fill="FFFFFF"/>
            <w:tcMar>
              <w:top w:w="85" w:type="dxa"/>
              <w:bottom w:w="85" w:type="dxa"/>
              <w:left w:w="85" w:type="dxa"/>
              <w:right w:w="85" w:type="dxa"/>
            </w:tcMar>
          </w:tcPr>
          <w:p>
            <w:pPr>
              <w:spacing w:before="80" w:after="80" w:line="252" w:lineRule="auto"/>
            </w:pPr>
            <w:r>
              <w:rPr>
                <w:sz w:val="20"/>
              </w:rPr>
              <w:t>Automated build and initial migrations</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13</w:t>
            </w:r>
          </w:p>
        </w:tc>
        <w:tc>
          <w:tcPr>
            <w:tcW w:type="dxa" w:w="3600"/>
            <w:vAlign w:val="center"/>
            <w:shd w:fill="F1F4F7"/>
            <w:tcMar>
              <w:top w:w="85" w:type="dxa"/>
              <w:bottom w:w="85" w:type="dxa"/>
              <w:left w:w="85" w:type="dxa"/>
              <w:right w:w="85" w:type="dxa"/>
            </w:tcMar>
          </w:tcPr>
          <w:p>
            <w:pPr>
              <w:spacing w:before="80" w:after="80" w:line="252" w:lineRule="auto"/>
            </w:pPr>
            <w:r>
              <w:rPr>
                <w:sz w:val="20"/>
              </w:rPr>
              <w:t>Implement authentication skeleton</w:t>
            </w:r>
          </w:p>
        </w:tc>
        <w:tc>
          <w:tcPr>
            <w:tcW w:type="dxa" w:w="4694"/>
            <w:vAlign w:val="center"/>
            <w:shd w:fill="F1F4F7"/>
            <w:tcMar>
              <w:top w:w="85" w:type="dxa"/>
              <w:bottom w:w="85" w:type="dxa"/>
              <w:left w:w="85" w:type="dxa"/>
              <w:right w:w="85" w:type="dxa"/>
            </w:tcMar>
          </w:tcPr>
          <w:p>
            <w:pPr>
              <w:spacing w:before="80" w:after="80" w:line="252" w:lineRule="auto"/>
            </w:pPr>
            <w:r>
              <w:rPr>
                <w:sz w:val="20"/>
              </w:rPr>
              <w:t>Login and protected API route</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14</w:t>
            </w:r>
          </w:p>
        </w:tc>
        <w:tc>
          <w:tcPr>
            <w:tcW w:type="dxa" w:w="3600"/>
            <w:vAlign w:val="center"/>
            <w:shd w:fill="FFFFFF"/>
            <w:tcMar>
              <w:top w:w="85" w:type="dxa"/>
              <w:bottom w:w="85" w:type="dxa"/>
              <w:left w:w="85" w:type="dxa"/>
              <w:right w:w="85" w:type="dxa"/>
            </w:tcMar>
          </w:tcPr>
          <w:p>
            <w:pPr>
              <w:spacing w:before="80" w:after="80" w:line="252" w:lineRule="auto"/>
            </w:pPr>
            <w:r>
              <w:rPr>
                <w:sz w:val="20"/>
              </w:rPr>
              <w:t>Add workspace and membership models</w:t>
            </w:r>
          </w:p>
        </w:tc>
        <w:tc>
          <w:tcPr>
            <w:tcW w:type="dxa" w:w="4694"/>
            <w:vAlign w:val="center"/>
            <w:shd w:fill="FFFFFF"/>
            <w:tcMar>
              <w:top w:w="85" w:type="dxa"/>
              <w:bottom w:w="85" w:type="dxa"/>
              <w:left w:w="85" w:type="dxa"/>
              <w:right w:w="85" w:type="dxa"/>
            </w:tcMar>
          </w:tcPr>
          <w:p>
            <w:pPr>
              <w:spacing w:before="80" w:after="80" w:line="252" w:lineRule="auto"/>
            </w:pPr>
            <w:r>
              <w:rPr>
                <w:sz w:val="20"/>
              </w:rPr>
              <w:t>Two isolated development tenants</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15</w:t>
            </w:r>
          </w:p>
        </w:tc>
        <w:tc>
          <w:tcPr>
            <w:tcW w:type="dxa" w:w="3600"/>
            <w:vAlign w:val="center"/>
            <w:shd w:fill="F1F4F7"/>
            <w:tcMar>
              <w:top w:w="85" w:type="dxa"/>
              <w:bottom w:w="85" w:type="dxa"/>
              <w:left w:w="85" w:type="dxa"/>
              <w:right w:w="85" w:type="dxa"/>
            </w:tcMar>
          </w:tcPr>
          <w:p>
            <w:pPr>
              <w:spacing w:before="80" w:after="80" w:line="252" w:lineRule="auto"/>
            </w:pPr>
            <w:r>
              <w:rPr>
                <w:sz w:val="20"/>
              </w:rPr>
              <w:t>Test tenant boundaries</w:t>
            </w:r>
          </w:p>
        </w:tc>
        <w:tc>
          <w:tcPr>
            <w:tcW w:type="dxa" w:w="4694"/>
            <w:vAlign w:val="center"/>
            <w:shd w:fill="F1F4F7"/>
            <w:tcMar>
              <w:top w:w="85" w:type="dxa"/>
              <w:bottom w:w="85" w:type="dxa"/>
              <w:left w:w="85" w:type="dxa"/>
              <w:right w:w="85" w:type="dxa"/>
            </w:tcMar>
          </w:tcPr>
          <w:p>
            <w:pPr>
              <w:spacing w:before="80" w:after="80" w:line="252" w:lineRule="auto"/>
            </w:pPr>
            <w:r>
              <w:rPr>
                <w:sz w:val="20"/>
              </w:rPr>
              <w:t>Passing read and write isolation cases</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16</w:t>
            </w:r>
          </w:p>
        </w:tc>
        <w:tc>
          <w:tcPr>
            <w:tcW w:type="dxa" w:w="3600"/>
            <w:vAlign w:val="center"/>
            <w:shd w:fill="FFFFFF"/>
            <w:tcMar>
              <w:top w:w="85" w:type="dxa"/>
              <w:bottom w:w="85" w:type="dxa"/>
              <w:left w:w="85" w:type="dxa"/>
              <w:right w:w="85" w:type="dxa"/>
            </w:tcMar>
          </w:tcPr>
          <w:p>
            <w:pPr>
              <w:spacing w:before="80" w:after="80" w:line="252" w:lineRule="auto"/>
            </w:pPr>
            <w:r>
              <w:rPr>
                <w:sz w:val="20"/>
              </w:rPr>
              <w:t>Implement navigation shell</w:t>
            </w:r>
          </w:p>
        </w:tc>
        <w:tc>
          <w:tcPr>
            <w:tcW w:type="dxa" w:w="4694"/>
            <w:vAlign w:val="center"/>
            <w:shd w:fill="FFFFFF"/>
            <w:tcMar>
              <w:top w:w="85" w:type="dxa"/>
              <w:bottom w:w="85" w:type="dxa"/>
              <w:left w:w="85" w:type="dxa"/>
              <w:right w:w="85" w:type="dxa"/>
            </w:tcMar>
          </w:tcPr>
          <w:p>
            <w:pPr>
              <w:spacing w:before="80" w:after="80" w:line="252" w:lineRule="auto"/>
            </w:pPr>
            <w:r>
              <w:rPr>
                <w:sz w:val="20"/>
              </w:rPr>
              <w:t>Responsive sidebar and header</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17</w:t>
            </w:r>
          </w:p>
        </w:tc>
        <w:tc>
          <w:tcPr>
            <w:tcW w:type="dxa" w:w="3600"/>
            <w:vAlign w:val="center"/>
            <w:shd w:fill="F1F4F7"/>
            <w:tcMar>
              <w:top w:w="85" w:type="dxa"/>
              <w:bottom w:w="85" w:type="dxa"/>
              <w:left w:w="85" w:type="dxa"/>
              <w:right w:w="85" w:type="dxa"/>
            </w:tcMar>
          </w:tcPr>
          <w:p>
            <w:pPr>
              <w:spacing w:before="80" w:after="80" w:line="252" w:lineRule="auto"/>
            </w:pPr>
            <w:r>
              <w:rPr>
                <w:sz w:val="20"/>
              </w:rPr>
              <w:t>Build overview components</w:t>
            </w:r>
          </w:p>
        </w:tc>
        <w:tc>
          <w:tcPr>
            <w:tcW w:type="dxa" w:w="4694"/>
            <w:vAlign w:val="center"/>
            <w:shd w:fill="F1F4F7"/>
            <w:tcMar>
              <w:top w:w="85" w:type="dxa"/>
              <w:bottom w:w="85" w:type="dxa"/>
              <w:left w:w="85" w:type="dxa"/>
              <w:right w:w="85" w:type="dxa"/>
            </w:tcMar>
          </w:tcPr>
          <w:p>
            <w:pPr>
              <w:spacing w:before="80" w:after="80" w:line="252" w:lineRule="auto"/>
            </w:pPr>
            <w:r>
              <w:rPr>
                <w:sz w:val="20"/>
              </w:rPr>
              <w:t>Empty, loading and error states</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18</w:t>
            </w:r>
          </w:p>
        </w:tc>
        <w:tc>
          <w:tcPr>
            <w:tcW w:type="dxa" w:w="3600"/>
            <w:vAlign w:val="center"/>
            <w:shd w:fill="FFFFFF"/>
            <w:tcMar>
              <w:top w:w="85" w:type="dxa"/>
              <w:bottom w:w="85" w:type="dxa"/>
              <w:left w:w="85" w:type="dxa"/>
              <w:right w:w="85" w:type="dxa"/>
            </w:tcMar>
          </w:tcPr>
          <w:p>
            <w:pPr>
              <w:spacing w:before="80" w:after="80" w:line="252" w:lineRule="auto"/>
            </w:pPr>
            <w:r>
              <w:rPr>
                <w:sz w:val="20"/>
              </w:rPr>
              <w:t>Build compact task list</w:t>
            </w:r>
          </w:p>
        </w:tc>
        <w:tc>
          <w:tcPr>
            <w:tcW w:type="dxa" w:w="4694"/>
            <w:vAlign w:val="center"/>
            <w:shd w:fill="FFFFFF"/>
            <w:tcMar>
              <w:top w:w="85" w:type="dxa"/>
              <w:bottom w:w="85" w:type="dxa"/>
              <w:left w:w="85" w:type="dxa"/>
              <w:right w:w="85" w:type="dxa"/>
            </w:tcMar>
          </w:tcPr>
          <w:p>
            <w:pPr>
              <w:spacing w:before="80" w:after="80" w:line="252" w:lineRule="auto"/>
            </w:pPr>
            <w:r>
              <w:rPr>
                <w:sz w:val="20"/>
              </w:rPr>
              <w:t>Filterable fixture based task view</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19</w:t>
            </w:r>
          </w:p>
        </w:tc>
        <w:tc>
          <w:tcPr>
            <w:tcW w:type="dxa" w:w="3600"/>
            <w:vAlign w:val="center"/>
            <w:shd w:fill="F1F4F7"/>
            <w:tcMar>
              <w:top w:w="85" w:type="dxa"/>
              <w:bottom w:w="85" w:type="dxa"/>
              <w:left w:w="85" w:type="dxa"/>
              <w:right w:w="85" w:type="dxa"/>
            </w:tcMar>
          </w:tcPr>
          <w:p>
            <w:pPr>
              <w:spacing w:before="80" w:after="80" w:line="252" w:lineRule="auto"/>
            </w:pPr>
            <w:r>
              <w:rPr>
                <w:sz w:val="20"/>
              </w:rPr>
              <w:t>Integrate one character prototype</w:t>
            </w:r>
          </w:p>
        </w:tc>
        <w:tc>
          <w:tcPr>
            <w:tcW w:type="dxa" w:w="4694"/>
            <w:vAlign w:val="center"/>
            <w:shd w:fill="F1F4F7"/>
            <w:tcMar>
              <w:top w:w="85" w:type="dxa"/>
              <w:bottom w:w="85" w:type="dxa"/>
              <w:left w:w="85" w:type="dxa"/>
              <w:right w:w="85" w:type="dxa"/>
            </w:tcMar>
          </w:tcPr>
          <w:p>
            <w:pPr>
              <w:spacing w:before="80" w:after="80" w:line="252" w:lineRule="auto"/>
            </w:pPr>
            <w:r>
              <w:rPr>
                <w:sz w:val="20"/>
              </w:rPr>
              <w:t>State controlled animation component</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20</w:t>
            </w:r>
          </w:p>
        </w:tc>
        <w:tc>
          <w:tcPr>
            <w:tcW w:type="dxa" w:w="3600"/>
            <w:vAlign w:val="center"/>
            <w:shd w:fill="FFFFFF"/>
            <w:tcMar>
              <w:top w:w="85" w:type="dxa"/>
              <w:bottom w:w="85" w:type="dxa"/>
              <w:left w:w="85" w:type="dxa"/>
              <w:right w:w="85" w:type="dxa"/>
            </w:tcMar>
          </w:tcPr>
          <w:p>
            <w:pPr>
              <w:spacing w:before="80" w:after="80" w:line="252" w:lineRule="auto"/>
            </w:pPr>
            <w:r>
              <w:rPr>
                <w:sz w:val="20"/>
              </w:rPr>
              <w:t>Add accessible fallback</w:t>
            </w:r>
          </w:p>
        </w:tc>
        <w:tc>
          <w:tcPr>
            <w:tcW w:type="dxa" w:w="4694"/>
            <w:vAlign w:val="center"/>
            <w:shd w:fill="FFFFFF"/>
            <w:tcMar>
              <w:top w:w="85" w:type="dxa"/>
              <w:bottom w:w="85" w:type="dxa"/>
              <w:left w:w="85" w:type="dxa"/>
              <w:right w:w="85" w:type="dxa"/>
            </w:tcMar>
          </w:tcPr>
          <w:p>
            <w:pPr>
              <w:spacing w:before="80" w:after="80" w:line="252" w:lineRule="auto"/>
            </w:pPr>
            <w:r>
              <w:rPr>
                <w:sz w:val="20"/>
              </w:rPr>
              <w:t>Keyboard controls and reduced motion</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21</w:t>
            </w:r>
          </w:p>
        </w:tc>
        <w:tc>
          <w:tcPr>
            <w:tcW w:type="dxa" w:w="3600"/>
            <w:vAlign w:val="center"/>
            <w:shd w:fill="F1F4F7"/>
            <w:tcMar>
              <w:top w:w="85" w:type="dxa"/>
              <w:bottom w:w="85" w:type="dxa"/>
              <w:left w:w="85" w:type="dxa"/>
              <w:right w:w="85" w:type="dxa"/>
            </w:tcMar>
          </w:tcPr>
          <w:p>
            <w:pPr>
              <w:spacing w:before="80" w:after="80" w:line="252" w:lineRule="auto"/>
            </w:pPr>
            <w:r>
              <w:rPr>
                <w:sz w:val="20"/>
              </w:rPr>
              <w:t>Define agent and run contracts</w:t>
            </w:r>
          </w:p>
        </w:tc>
        <w:tc>
          <w:tcPr>
            <w:tcW w:type="dxa" w:w="4694"/>
            <w:vAlign w:val="center"/>
            <w:shd w:fill="F1F4F7"/>
            <w:tcMar>
              <w:top w:w="85" w:type="dxa"/>
              <w:bottom w:w="85" w:type="dxa"/>
              <w:left w:w="85" w:type="dxa"/>
              <w:right w:w="85" w:type="dxa"/>
            </w:tcMar>
          </w:tcPr>
          <w:p>
            <w:pPr>
              <w:spacing w:before="80" w:after="80" w:line="252" w:lineRule="auto"/>
            </w:pPr>
            <w:r>
              <w:rPr>
                <w:sz w:val="20"/>
              </w:rPr>
              <w:t>Typed schemas and sample outputs</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22</w:t>
            </w:r>
          </w:p>
        </w:tc>
        <w:tc>
          <w:tcPr>
            <w:tcW w:type="dxa" w:w="3600"/>
            <w:vAlign w:val="center"/>
            <w:shd w:fill="FFFFFF"/>
            <w:tcMar>
              <w:top w:w="85" w:type="dxa"/>
              <w:bottom w:w="85" w:type="dxa"/>
              <w:left w:w="85" w:type="dxa"/>
              <w:right w:w="85" w:type="dxa"/>
            </w:tcMar>
          </w:tcPr>
          <w:p>
            <w:pPr>
              <w:spacing w:before="80" w:after="80" w:line="252" w:lineRule="auto"/>
            </w:pPr>
            <w:r>
              <w:rPr>
                <w:sz w:val="20"/>
              </w:rPr>
              <w:t>Implement one bounded graph</w:t>
            </w:r>
          </w:p>
        </w:tc>
        <w:tc>
          <w:tcPr>
            <w:tcW w:type="dxa" w:w="4694"/>
            <w:vAlign w:val="center"/>
            <w:shd w:fill="FFFFFF"/>
            <w:tcMar>
              <w:top w:w="85" w:type="dxa"/>
              <w:bottom w:w="85" w:type="dxa"/>
              <w:left w:w="85" w:type="dxa"/>
              <w:right w:w="85" w:type="dxa"/>
            </w:tcMar>
          </w:tcPr>
          <w:p>
            <w:pPr>
              <w:spacing w:before="80" w:after="80" w:line="252" w:lineRule="auto"/>
            </w:pPr>
            <w:r>
              <w:rPr>
                <w:sz w:val="20"/>
              </w:rPr>
              <w:t>One local draft generating run</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23</w:t>
            </w:r>
          </w:p>
        </w:tc>
        <w:tc>
          <w:tcPr>
            <w:tcW w:type="dxa" w:w="3600"/>
            <w:vAlign w:val="center"/>
            <w:shd w:fill="F1F4F7"/>
            <w:tcMar>
              <w:top w:w="85" w:type="dxa"/>
              <w:bottom w:w="85" w:type="dxa"/>
              <w:left w:w="85" w:type="dxa"/>
              <w:right w:w="85" w:type="dxa"/>
            </w:tcMar>
          </w:tcPr>
          <w:p>
            <w:pPr>
              <w:spacing w:before="80" w:after="80" w:line="252" w:lineRule="auto"/>
            </w:pPr>
            <w:r>
              <w:rPr>
                <w:sz w:val="20"/>
              </w:rPr>
              <w:t>Persist graph progress</w:t>
            </w:r>
          </w:p>
        </w:tc>
        <w:tc>
          <w:tcPr>
            <w:tcW w:type="dxa" w:w="4694"/>
            <w:vAlign w:val="center"/>
            <w:shd w:fill="F1F4F7"/>
            <w:tcMar>
              <w:top w:w="85" w:type="dxa"/>
              <w:bottom w:w="85" w:type="dxa"/>
              <w:left w:w="85" w:type="dxa"/>
              <w:right w:w="85" w:type="dxa"/>
            </w:tcMar>
          </w:tcPr>
          <w:p>
            <w:pPr>
              <w:spacing w:before="80" w:after="80" w:line="252" w:lineRule="auto"/>
            </w:pPr>
            <w:r>
              <w:rPr>
                <w:sz w:val="20"/>
              </w:rPr>
              <w:t>Checkpoint and resume proof</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24</w:t>
            </w:r>
          </w:p>
        </w:tc>
        <w:tc>
          <w:tcPr>
            <w:tcW w:type="dxa" w:w="3600"/>
            <w:vAlign w:val="center"/>
            <w:shd w:fill="FFFFFF"/>
            <w:tcMar>
              <w:top w:w="85" w:type="dxa"/>
              <w:bottom w:w="85" w:type="dxa"/>
              <w:left w:w="85" w:type="dxa"/>
              <w:right w:w="85" w:type="dxa"/>
            </w:tcMar>
          </w:tcPr>
          <w:p>
            <w:pPr>
              <w:spacing w:before="80" w:after="80" w:line="252" w:lineRule="auto"/>
            </w:pPr>
            <w:r>
              <w:rPr>
                <w:sz w:val="20"/>
              </w:rPr>
              <w:t>Add Celery dispatch</w:t>
            </w:r>
          </w:p>
        </w:tc>
        <w:tc>
          <w:tcPr>
            <w:tcW w:type="dxa" w:w="4694"/>
            <w:vAlign w:val="center"/>
            <w:shd w:fill="FFFFFF"/>
            <w:tcMar>
              <w:top w:w="85" w:type="dxa"/>
              <w:bottom w:w="85" w:type="dxa"/>
              <w:left w:w="85" w:type="dxa"/>
              <w:right w:w="85" w:type="dxa"/>
            </w:tcMar>
          </w:tcPr>
          <w:p>
            <w:pPr>
              <w:spacing w:before="80" w:after="80" w:line="252" w:lineRule="auto"/>
            </w:pPr>
            <w:r>
              <w:rPr>
                <w:sz w:val="20"/>
              </w:rPr>
              <w:t>API initiated background run</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25</w:t>
            </w:r>
          </w:p>
        </w:tc>
        <w:tc>
          <w:tcPr>
            <w:tcW w:type="dxa" w:w="3600"/>
            <w:vAlign w:val="center"/>
            <w:shd w:fill="F1F4F7"/>
            <w:tcMar>
              <w:top w:w="85" w:type="dxa"/>
              <w:bottom w:w="85" w:type="dxa"/>
              <w:left w:w="85" w:type="dxa"/>
              <w:right w:w="85" w:type="dxa"/>
            </w:tcMar>
          </w:tcPr>
          <w:p>
            <w:pPr>
              <w:spacing w:before="80" w:after="80" w:line="252" w:lineRule="auto"/>
            </w:pPr>
            <w:r>
              <w:rPr>
                <w:sz w:val="20"/>
              </w:rPr>
              <w:t>Save run events</w:t>
            </w:r>
          </w:p>
        </w:tc>
        <w:tc>
          <w:tcPr>
            <w:tcW w:type="dxa" w:w="4694"/>
            <w:vAlign w:val="center"/>
            <w:shd w:fill="F1F4F7"/>
            <w:tcMar>
              <w:top w:w="85" w:type="dxa"/>
              <w:bottom w:w="85" w:type="dxa"/>
              <w:left w:w="85" w:type="dxa"/>
              <w:right w:w="85" w:type="dxa"/>
            </w:tcMar>
          </w:tcPr>
          <w:p>
            <w:pPr>
              <w:spacing w:before="80" w:after="80" w:line="252" w:lineRule="auto"/>
            </w:pPr>
            <w:r>
              <w:rPr>
                <w:sz w:val="20"/>
              </w:rPr>
              <w:t>Ordered events and snapshot endpoint</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26</w:t>
            </w:r>
          </w:p>
        </w:tc>
        <w:tc>
          <w:tcPr>
            <w:tcW w:type="dxa" w:w="3600"/>
            <w:vAlign w:val="center"/>
            <w:shd w:fill="FFFFFF"/>
            <w:tcMar>
              <w:top w:w="85" w:type="dxa"/>
              <w:bottom w:w="85" w:type="dxa"/>
              <w:left w:w="85" w:type="dxa"/>
              <w:right w:w="85" w:type="dxa"/>
            </w:tcMar>
          </w:tcPr>
          <w:p>
            <w:pPr>
              <w:spacing w:before="80" w:after="80" w:line="252" w:lineRule="auto"/>
            </w:pPr>
            <w:r>
              <w:rPr>
                <w:sz w:val="20"/>
              </w:rPr>
              <w:t>Connect live updates</w:t>
            </w:r>
          </w:p>
        </w:tc>
        <w:tc>
          <w:tcPr>
            <w:tcW w:type="dxa" w:w="4694"/>
            <w:vAlign w:val="center"/>
            <w:shd w:fill="FFFFFF"/>
            <w:tcMar>
              <w:top w:w="85" w:type="dxa"/>
              <w:bottom w:w="85" w:type="dxa"/>
              <w:left w:w="85" w:type="dxa"/>
              <w:right w:w="85" w:type="dxa"/>
            </w:tcMar>
          </w:tcPr>
          <w:p>
            <w:pPr>
              <w:spacing w:before="80" w:after="80" w:line="252" w:lineRule="auto"/>
            </w:pPr>
            <w:r>
              <w:rPr>
                <w:sz w:val="20"/>
              </w:rPr>
              <w:t>One authenticated live task screen</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27</w:t>
            </w:r>
          </w:p>
        </w:tc>
        <w:tc>
          <w:tcPr>
            <w:tcW w:type="dxa" w:w="3600"/>
            <w:vAlign w:val="center"/>
            <w:shd w:fill="F1F4F7"/>
            <w:tcMar>
              <w:top w:w="85" w:type="dxa"/>
              <w:bottom w:w="85" w:type="dxa"/>
              <w:left w:w="85" w:type="dxa"/>
              <w:right w:w="85" w:type="dxa"/>
            </w:tcMar>
          </w:tcPr>
          <w:p>
            <w:pPr>
              <w:spacing w:before="80" w:after="80" w:line="252" w:lineRule="auto"/>
            </w:pPr>
            <w:r>
              <w:rPr>
                <w:sz w:val="20"/>
              </w:rPr>
              <w:t>Add approval record</w:t>
            </w:r>
          </w:p>
        </w:tc>
        <w:tc>
          <w:tcPr>
            <w:tcW w:type="dxa" w:w="4694"/>
            <w:vAlign w:val="center"/>
            <w:shd w:fill="F1F4F7"/>
            <w:tcMar>
              <w:top w:w="85" w:type="dxa"/>
              <w:bottom w:w="85" w:type="dxa"/>
              <w:left w:w="85" w:type="dxa"/>
              <w:right w:w="85" w:type="dxa"/>
            </w:tcMar>
          </w:tcPr>
          <w:p>
            <w:pPr>
              <w:spacing w:before="80" w:after="80" w:line="252" w:lineRule="auto"/>
            </w:pPr>
            <w:r>
              <w:rPr>
                <w:sz w:val="20"/>
              </w:rPr>
              <w:t>Exact draft version pending approval</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28</w:t>
            </w:r>
          </w:p>
        </w:tc>
        <w:tc>
          <w:tcPr>
            <w:tcW w:type="dxa" w:w="3600"/>
            <w:vAlign w:val="center"/>
            <w:shd w:fill="FFFFFF"/>
            <w:tcMar>
              <w:top w:w="85" w:type="dxa"/>
              <w:bottom w:w="85" w:type="dxa"/>
              <w:left w:w="85" w:type="dxa"/>
              <w:right w:w="85" w:type="dxa"/>
            </w:tcMar>
          </w:tcPr>
          <w:p>
            <w:pPr>
              <w:spacing w:before="80" w:after="80" w:line="252" w:lineRule="auto"/>
            </w:pPr>
            <w:r>
              <w:rPr>
                <w:sz w:val="20"/>
              </w:rPr>
              <w:t>Prove human intervention</w:t>
            </w:r>
          </w:p>
        </w:tc>
        <w:tc>
          <w:tcPr>
            <w:tcW w:type="dxa" w:w="4694"/>
            <w:vAlign w:val="center"/>
            <w:shd w:fill="FFFFFF"/>
            <w:tcMar>
              <w:top w:w="85" w:type="dxa"/>
              <w:bottom w:w="85" w:type="dxa"/>
              <w:left w:w="85" w:type="dxa"/>
              <w:right w:w="85" w:type="dxa"/>
            </w:tcMar>
          </w:tcPr>
          <w:p>
            <w:pPr>
              <w:spacing w:before="80" w:after="80" w:line="252" w:lineRule="auto"/>
            </w:pPr>
            <w:r>
              <w:rPr>
                <w:sz w:val="20"/>
              </w:rPr>
              <w:t>Edit and resume without duplicate action</w:t>
            </w:r>
          </w:p>
        </w:tc>
      </w:tr>
      <w:tr>
        <w:trPr>
          <w:cantSplit/>
        </w:trPr>
        <w:tc>
          <w:tcPr>
            <w:tcW w:type="dxa" w:w="1872"/>
            <w:vAlign w:val="center"/>
            <w:shd w:fill="F1F4F7"/>
            <w:tcMar>
              <w:top w:w="85" w:type="dxa"/>
              <w:bottom w:w="85" w:type="dxa"/>
              <w:left w:w="85" w:type="dxa"/>
              <w:right w:w="85" w:type="dxa"/>
            </w:tcMar>
          </w:tcPr>
          <w:p>
            <w:pPr>
              <w:spacing w:before="80" w:after="80" w:line="252" w:lineRule="auto"/>
            </w:pPr>
            <w:r>
              <w:rPr>
                <w:sz w:val="20"/>
              </w:rPr>
              <w:t>29</w:t>
            </w:r>
          </w:p>
        </w:tc>
        <w:tc>
          <w:tcPr>
            <w:tcW w:type="dxa" w:w="3600"/>
            <w:vAlign w:val="center"/>
            <w:shd w:fill="F1F4F7"/>
            <w:tcMar>
              <w:top w:w="85" w:type="dxa"/>
              <w:bottom w:w="85" w:type="dxa"/>
              <w:left w:w="85" w:type="dxa"/>
              <w:right w:w="85" w:type="dxa"/>
            </w:tcMar>
          </w:tcPr>
          <w:p>
            <w:pPr>
              <w:spacing w:before="80" w:after="80" w:line="252" w:lineRule="auto"/>
            </w:pPr>
            <w:r>
              <w:rPr>
                <w:sz w:val="20"/>
              </w:rPr>
              <w:t>Connect animation to real state</w:t>
            </w:r>
          </w:p>
        </w:tc>
        <w:tc>
          <w:tcPr>
            <w:tcW w:type="dxa" w:w="4694"/>
            <w:vAlign w:val="center"/>
            <w:shd w:fill="F1F4F7"/>
            <w:tcMar>
              <w:top w:w="85" w:type="dxa"/>
              <w:bottom w:w="85" w:type="dxa"/>
              <w:left w:w="85" w:type="dxa"/>
              <w:right w:w="85" w:type="dxa"/>
            </w:tcMar>
          </w:tcPr>
          <w:p>
            <w:pPr>
              <w:spacing w:before="80" w:after="80" w:line="252" w:lineRule="auto"/>
            </w:pPr>
            <w:r>
              <w:rPr>
                <w:sz w:val="20"/>
              </w:rPr>
              <w:t>Working and waiting states from backend</w:t>
            </w:r>
          </w:p>
        </w:tc>
      </w:tr>
      <w:tr>
        <w:trPr>
          <w:cantSplit/>
        </w:trPr>
        <w:tc>
          <w:tcPr>
            <w:tcW w:type="dxa" w:w="1872"/>
            <w:vAlign w:val="center"/>
            <w:shd w:fill="FFFFFF"/>
            <w:tcMar>
              <w:top w:w="85" w:type="dxa"/>
              <w:bottom w:w="85" w:type="dxa"/>
              <w:left w:w="85" w:type="dxa"/>
              <w:right w:w="85" w:type="dxa"/>
            </w:tcMar>
          </w:tcPr>
          <w:p>
            <w:pPr>
              <w:spacing w:before="80" w:after="80" w:line="252" w:lineRule="auto"/>
            </w:pPr>
            <w:r>
              <w:rPr>
                <w:sz w:val="20"/>
              </w:rPr>
              <w:t>30</w:t>
            </w:r>
          </w:p>
        </w:tc>
        <w:tc>
          <w:tcPr>
            <w:tcW w:type="dxa" w:w="3600"/>
            <w:vAlign w:val="center"/>
            <w:shd w:fill="FFFFFF"/>
            <w:tcMar>
              <w:top w:w="85" w:type="dxa"/>
              <w:bottom w:w="85" w:type="dxa"/>
              <w:left w:w="85" w:type="dxa"/>
              <w:right w:w="85" w:type="dxa"/>
            </w:tcMar>
          </w:tcPr>
          <w:p>
            <w:pPr>
              <w:spacing w:before="80" w:after="80" w:line="252" w:lineRule="auto"/>
            </w:pPr>
            <w:r>
              <w:rPr>
                <w:sz w:val="20"/>
              </w:rPr>
              <w:t>Review and reestimate</w:t>
            </w:r>
          </w:p>
        </w:tc>
        <w:tc>
          <w:tcPr>
            <w:tcW w:type="dxa" w:w="4694"/>
            <w:vAlign w:val="center"/>
            <w:shd w:fill="FFFFFF"/>
            <w:tcMar>
              <w:top w:w="85" w:type="dxa"/>
              <w:bottom w:w="85" w:type="dxa"/>
              <w:left w:w="85" w:type="dxa"/>
              <w:right w:w="85" w:type="dxa"/>
            </w:tcMar>
          </w:tcPr>
          <w:p>
            <w:pPr>
              <w:spacing w:before="80" w:after="80" w:line="252" w:lineRule="auto"/>
            </w:pPr>
            <w:r>
              <w:rPr>
                <w:sz w:val="20"/>
              </w:rPr>
              <w:t>Demo, defects, actual hours and next backlog</w:t>
            </w:r>
          </w:p>
        </w:tc>
      </w:tr>
    </w:tbl>
    <w:p>
      <w:pPr>
        <w:spacing w:after="40"/>
      </w:pPr>
    </w:p>
    <w:p>
      <w:r>
        <w:t>Use a daily rhythm of ten minutes to choose one verifiable outcome, about two hours for implementation, forty minutes for checks and cleanup, and ten minutes to record the next step. If only one hour is available, reduce scope to one component or test; do not rush several unfinished features.</w:t>
      </w:r>
    </w:p>
    <w:p>
      <w:r>
        <w:t>Each week, demonstrate a working customer journey, review costs and security assumptions, and maintain a small backlog for the following week. Keep a separate list of ideas so visual polish requests do not silently replace critical foundation work.</w:t>
      </w:r>
    </w:p>
    <w:p>
      <w:pPr>
        <w:pStyle w:val="Heading1"/>
      </w:pPr>
      <w:r>
        <w:t>11 Subscription and credit implementation</w:t>
      </w:r>
    </w:p>
    <w:p>
      <w:r>
        <w:t>Separate subscription entitlements from usage credits. A subscription controls access, seats, limits and enabled features. A credit ledger records reservations, charges, releases, refunds and adjustments. Do not update only a mutable balance without a transaction history.</w:t>
      </w:r>
    </w:p>
    <w:p>
      <w:r>
        <w:t>Before a run, reserve an estimated maximum allowance using an atomic database transaction. Reconcile actual provider usage when known and release unused reservations. Stop or request permission before exceeding a budget. Set per run, daily and monthly limits and cap concurrent runs to prevent simultaneous overspending.</w:t>
      </w:r>
    </w:p>
    <w:p>
      <w:r>
        <w:t>Record provider cost separately from customer credits. Version the conversion rules so historical charges remain explainable. Handle delayed usage reports, duplicate callbacks, partial failures, cancellations and refunds explicitly. Keep financial reporting separate from unverified agent claims of revenue.</w:t>
      </w:r>
    </w:p>
    <w:p>
      <w:r>
        <w:t>Show estimated cost before execution and actual billed usage afterward. Inform customers when an estimate cannot be exact, such as telephony duration or variable media generation. Let them inspect a task level usage breakdown.</w:t>
      </w:r>
    </w:p>
    <w:p>
      <w:pPr>
        <w:pStyle w:val="Heading1"/>
      </w:pPr>
      <w:r>
        <w:t>12 Initial cost strategy</w:t>
      </w:r>
    </w:p>
    <w:p>
      <w:r>
        <w:t>Use local development, open source libraries, mock adapters and recorded test fixtures to reduce development spending. Free provider tiers can support experiments but should not be the economic foundation of a paid service. Availability, rate limits and commercial terms must be checked when selecting a provider.</w:t>
      </w:r>
    </w:p>
    <w:p>
      <w:r>
        <w:t>Start with a small number of paid or customer supplied integrations. Bring your own key is an optional customer mode only where provider terms permit it; store those credentials securely and isolate them by tenant. A customer key does not eliminate your hosting, support or storage costs.</w:t>
      </w:r>
    </w:p>
    <w:p>
      <w:r>
        <w:t>Use inexpensive models for classification and routing, stronger models where evaluations justify them, bounded context, caching of suitable non sensitive outputs and explicit execution limits. Avoid having the orchestrator ask all 27 agents to reason on every request.</w:t>
      </w:r>
    </w:p>
    <w:p>
      <w:r>
        <w:t>Track hosting, database, Redis, storage, model usage, search or enrichment, email delivery, telephony, monitoring and payment processing separately. Estimate contribution margin from measured customer usage before setting prices. Voice, SMS and external data are separate cost centers, not free extensions of a text agent.</w:t>
      </w:r>
    </w:p>
    <w:p>
      <w:pPr>
        <w:pStyle w:val="Heading1"/>
      </w:pPr>
      <w:r>
        <w:t>13 Testing and release checks</w:t>
      </w:r>
    </w:p>
    <w:p>
      <w:r>
        <w:t>Maintain unit tests for policy and ledger logic, integration tests for connectors and persistence, graph tests for state transitions, and browser tests for core customer journeys. Use mocked providers for deterministic tests and controlled staging accounts for real integration checks.</w:t>
      </w:r>
    </w:p>
    <w:p>
      <w:pPr>
        <w:pStyle w:val="ListBullet"/>
      </w:pPr>
      <w:r>
        <w:t>Tenant isolation: unrelated customers cannot access records, knowledge, files, jobs, search results or events.</w:t>
      </w:r>
    </w:p>
    <w:p>
      <w:pPr>
        <w:pStyle w:val="ListBullet"/>
      </w:pPr>
      <w:r>
        <w:t>Approval integrity: an approved version is the executed version; edited or expired approvals cannot execute.</w:t>
      </w:r>
    </w:p>
    <w:p>
      <w:pPr>
        <w:pStyle w:val="ListBullet"/>
      </w:pPr>
      <w:r>
        <w:t>Duplicate prevention: retries, repeated webhooks and double clicks cannot duplicate external actions or charges.</w:t>
      </w:r>
    </w:p>
    <w:p>
      <w:pPr>
        <w:pStyle w:val="ListBullet"/>
      </w:pPr>
      <w:r>
        <w:t>Recovery: worker termination, reconnect and provider timeout preserve an accurate task state.</w:t>
      </w:r>
    </w:p>
    <w:p>
      <w:pPr>
        <w:pStyle w:val="ListBullet"/>
      </w:pPr>
      <w:r>
        <w:t>Budget enforcement: concurrent runs cannot exceed the available reserved allowance.</w:t>
      </w:r>
    </w:p>
    <w:p>
      <w:pPr>
        <w:pStyle w:val="ListBullet"/>
      </w:pPr>
      <w:r>
        <w:t>Policy enforcement: malicious text in uploaded documents cannot authorize new tools or disclose another tenant's data.</w:t>
      </w:r>
    </w:p>
    <w:p>
      <w:pPr>
        <w:pStyle w:val="ListBullet"/>
      </w:pPr>
      <w:r>
        <w:t>Accessibility: core tasks work by keyboard, at narrow viewport widths and with reduced motion.</w:t>
      </w:r>
    </w:p>
    <w:p>
      <w:pPr>
        <w:pStyle w:val="ListBullet"/>
      </w:pPr>
      <w:r>
        <w:t>Agent quality: outputs meet role specific rubrics, cite evidence when needed and handle missing information.</w:t>
      </w:r>
    </w:p>
    <w:p>
      <w:pPr>
        <w:pStyle w:val="ListBullet"/>
      </w:pPr>
      <w:r>
        <w:t>Billing: test purchase, renewal, failed payment, cancellation, refund and out of order events.</w:t>
      </w:r>
    </w:p>
    <w:p>
      <w:pPr>
        <w:pStyle w:val="ListBullet"/>
      </w:pPr>
      <w:r>
        <w:t>Operations: restore a backup, rotate a credential and disable a failing integration in staging.</w:t>
      </w:r>
    </w:p>
    <w:p>
      <w:r>
        <w:t>Create a small labeled evaluation set for every role before release, with normal, ambiguous, missing data and adversarial cases. Expand it from real failures using appropriately protected customer data. Record pass criteria before evaluating a model change; do not judge only a few attractive demo outputs.</w:t>
      </w:r>
    </w:p>
    <w:p>
      <w:r>
        <w:t>Initial performance goals should be measured under a declared pilot load. Suggested targets are a responsive application shell, prompt acknowledgement of task submission and visible progress soon after a committed event. Set numerical service objectives after obtaining staging baselines and estimating affordable infrastructure; avoid selling unsupported guarantees.</w:t>
      </w:r>
    </w:p>
    <w:p>
      <w:pPr>
        <w:pStyle w:val="Heading1"/>
      </w:pPr>
      <w:r>
        <w:t>14 Production operations and security</w:t>
      </w:r>
    </w:p>
    <w:p>
      <w:r>
        <w:t>Run the ASGI web process, Celery workers and one active scheduler as separately deployable processes. Use managed PostgreSQL where practical, TLS, secret management, restricted infrastructure access and automated migrations with rollback planning. Scale workers by workload and provider limits rather than by character count.</w:t>
      </w:r>
    </w:p>
    <w:p>
      <w:r>
        <w:t>Collect structured logs, error reports, queue age, run failure rate, approval wait time, integration health, model cost and tenant usage. Redact sensitive content. Alert on stalled queues, widespread provider failures, unexpected spending and failed billing reconciliation.</w:t>
      </w:r>
    </w:p>
    <w:p>
      <w:r>
        <w:t>Document backup frequency and retention, and test restoration. Define recovery objectives appropriate to the paid pilot before promising them. Make support access time limited and audited. Define export, retention and deletion behavior for uploaded documents and recordings.</w:t>
      </w:r>
    </w:p>
    <w:p>
      <w:r>
        <w:t>Customer data supplied to an agent is untrusted input. Keep instructions and policy outside retrieved content. Validate tool arguments, constrain outbound network destinations where needed and verify file uploads. Use least privilege integration scopes and revoke credentials when disconnected.</w:t>
      </w:r>
    </w:p>
    <w:p>
      <w:r>
        <w:t>For messaging, advertising and recordings, verify channel permissions and applicable requirements before release. Give customers controls for suppression, consent related records and quiet hours where relevant. These are implementation dependencies to review for the intended market, not a claim of jurisdiction specific legal compliance.</w:t>
      </w:r>
    </w:p>
    <w:p>
      <w:pPr>
        <w:pStyle w:val="Heading1"/>
      </w:pPr>
      <w:r>
        <w:t>15 Commercial validation and investor evidence</w:t>
      </w:r>
    </w:p>
    <w:p>
      <w:r>
        <w:t>Validate a specific workflow before investing equally in every department. Interview prospective buyers about their current process, frequency, existing spend and desired result. Then observe actual use in a limited pilot. A futuristic dashboard is a differentiator only if it helps customers understand and control useful work.</w:t>
      </w:r>
    </w:p>
    <w:p>
      <w:r>
        <w:t>Measure activation, time to first useful result, weekly returning workspaces, completed workflows, approval rate, editing rate, time saved where measurable, cost per successful task and willingness to pay. Distinguish a model generated estimate from an observed business outcome.</w:t>
      </w:r>
    </w:p>
    <w:p>
      <w:r>
        <w:t>Use pilot findings to decide which department ships next. If users repeatedly reject drafts or require extensive corrections, improve knowledge and task quality before adding more agents. If customers cannot navigate approvals, fix the interface before increasing autonomous execution.</w:t>
      </w:r>
    </w:p>
    <w:p>
      <w:r>
        <w:t>For investor discussions, retain a clear product demonstration, documented customer feedback, actual usage and retention data, operating cost breakdown, security architecture and milestone history. Do not fabricate revenue, conversion or cost savings to populate the dashboard. Label illustrative metrics as demo values.</w:t>
      </w:r>
    </w:p>
    <w:p>
      <w:pPr>
        <w:pStyle w:val="Heading1"/>
      </w:pPr>
      <w:r>
        <w:t>16 Decision log and immediate next steps</w:t>
      </w:r>
    </w:p>
    <w:p>
      <w:r>
        <w:t>The following decisions remain open: first customer segment, first live integration, weekly development hours, payment provider eligibility, model providers, hosting region, retention periods, brand assets and initial pricing. Record each decision with its reason and review date. These choices should not prevent work on the shared UI and tenant foundation.</w:t>
      </w:r>
    </w:p>
    <w:p>
      <w:r>
        <w:t>Start with the Day 1 scope page and the dashboard journey map. Then create a visual prototype for overview, agent inspector and approval editing. Build the underlying tenant model before connecting real customer tools. The first demonstrable engineering milestone is one real task moving through the dashboard, graph, human approval and recorded outcome.</w:t>
      </w:r>
    </w:p>
    <w:p>
      <w:r>
        <w:t>Definition of done for every delivered feature: usable customer flow, permission checks, sensible empty and failure states, bounded cost, meaningful tests, accurate activity display, support documentation and a deployment path. A department becomes generally available only when its full advertised behavior satisfies this definition.</w:t>
      </w:r>
    </w:p>
    <w:p>
      <w:pPr>
        <w:pStyle w:val="Heading1"/>
      </w:pPr>
      <w:r>
        <w:t>17 Technical references</w:t>
      </w:r>
    </w:p>
    <w:p>
      <w:r>
        <w:t>Official documentation supports the framework capabilities used in this plan. The architecture, workloads and sequencing are proposed design decisions. Verify the exact APIs and package versions when implementation begins.</w:t>
      </w:r>
    </w:p>
    <w:p>
      <w:pPr>
        <w:pStyle w:val="ListBullet"/>
      </w:pPr>
      <w:r>
        <w:t>LangGraph overview https://docs.langchain.com/oss/python/langgraph/overview</w:t>
      </w:r>
    </w:p>
    <w:p>
      <w:pPr>
        <w:pStyle w:val="ListBullet"/>
      </w:pPr>
      <w:r>
        <w:t>LangGraph interrupts https://docs.langchain.com/oss/python/langgraph/interrupts</w:t>
      </w:r>
    </w:p>
    <w:p>
      <w:pPr>
        <w:pStyle w:val="ListBullet"/>
      </w:pPr>
      <w:r>
        <w:t>LangGraph persistence https://docs.langchain.com/oss/python/langgraph/persistence</w:t>
      </w:r>
    </w:p>
    <w:p>
      <w:pPr>
        <w:pStyle w:val="ListBullet"/>
      </w:pPr>
      <w:r>
        <w:t>Django Channels https://channels.readthedocs.io/en/stable/</w:t>
      </w:r>
    </w:p>
    <w:p>
      <w:pPr>
        <w:pStyle w:val="ListBullet"/>
      </w:pPr>
      <w:r>
        <w:t>Celery introduction https://docs.celeryq.dev/en/stable/getting-started/introduction.html</w:t>
      </w:r>
    </w:p>
    <w:p>
      <w:pPr>
        <w:pStyle w:val="ListBullet"/>
      </w:pPr>
      <w:r>
        <w:t>PixiJS https://pixijs.com/</w:t>
      </w:r>
    </w:p>
    <w:sectPr w:rsidR="00FC693F" w:rsidRPr="0006063C" w:rsidSect="00034616">
      <w:footerReference w:type="default" r:id="rId9"/>
      <w:pgSz w:w="12240" w:h="15840"/>
      <w:pgMar w:top="1037" w:right="1037" w:bottom="1008"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Nexus Implementation Plan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40" w:line="269" w:lineRule="auto"/>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6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AI Growth Platform Implementation Plan</dc:title>
  <dc:subject>Phased implementation roadmap for a commercial AI product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