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mbria" w:hAnsi="Cambria"/>
          <w:b/>
          <w:color w:val="13233A"/>
          <w:sz w:val="42"/>
        </w:rPr>
        <w:t>TRACE Tutor: A Reasoning-Transparent AI Agent</w:t>
        <w:br/>
        <w:t>for Programming Education</w:t>
      </w:r>
    </w:p>
    <w:p>
      <w:pPr>
        <w:spacing w:after="200"/>
        <w:jc w:val="center"/>
      </w:pPr>
      <w:r>
        <w:rPr>
          <w:rFonts w:ascii="Cambria" w:hAnsi="Cambria"/>
          <w:i/>
          <w:color w:val="2F6FB5"/>
          <w:sz w:val="25"/>
        </w:rPr>
        <w:t>A Controlled Study of Learning Gains, Skill Transfer, and AI Dependency</w:t>
        <w:br/>
        <w:t>Among Higher Secondary Students in Bangladesh</w:t>
      </w:r>
    </w:p>
    <w:p>
      <w:pPr>
        <w:spacing w:after="60"/>
        <w:jc w:val="center"/>
      </w:pPr>
      <w:r>
        <w:rPr>
          <w:color w:val="5C6B80"/>
          <w:sz w:val="20"/>
        </w:rPr>
        <w:t>Principal Investigator: [Your Name]    •    Affiliation: [Institution]    •    Date: [Month, Year]</w:t>
      </w:r>
    </w:p>
    <w:p>
      <w:pPr>
        <w:spacing w:after="240"/>
        <w:jc w:val="center"/>
      </w:pPr>
      <w:r>
        <w:rPr>
          <w:i/>
          <w:color w:val="5C6B80"/>
          <w:sz w:val="18"/>
        </w:rPr>
        <w:t>Revised draft (v3) — every description of the system in §4 now matches the implemented platform. New in this revision: the application stack and data stores (§4.4.3), the local code-execution service (§4.4.4), the item bank as actually constructed (§4.5), the protocol controls enforced by the software (§4.7), and an implementation status audit (§4.9).</w:t>
      </w:r>
    </w:p>
    <w:p>
      <w:pPr>
        <w:spacing w:before="40" w:after="160"/>
        <w:pBdr>
          <w:bottom w:val="single" w:sz="6" w:color="C7D0DB"/>
        </w:pBdr>
      </w:pPr>
    </w:p>
    <w:p>
      <w:pPr>
        <w:jc w:val="both"/>
      </w:pPr>
      <w:r>
        <w:rPr>
          <w:b/>
          <w:sz w:val="21"/>
        </w:rPr>
        <w:t>Abstract.</w:t>
      </w:r>
      <w:r>
        <w:rPr>
          <w:b w:val="0"/>
          <w:i w:val="0"/>
          <w:sz w:val="21"/>
        </w:rPr>
        <w:t xml:space="preserve">  Large language model (LLM) tutors can raise short-term performance in programming tasks, but a growing body of controlled evidence shows that when AI supplies complete solutions on demand, students over-rely on it and their independent coding skill degrades once the AI is withdrawn. This proposal investigates whether making an AI tutor’s reasoning visible — exposing the step-by-step problem decomposition, conceptual justification, and worked logic rather than only the final answer — mitigates this dependency while preserving learning benefits. We present TRACE Tutor, an implemented LLM-based agent with two operating modes that differ only in whether pedagogical reasoning is shown to the student. The tutor’s explanations are produced through retrieval-augmented generation (RAG): the system retrieves passages from a vector index built by optical character recognition over the scanned national higher-secondary ICT textbook, and grounds every generated explanation in that retrieved content, returning the source page with each answer. The study’s assessment items are authored against the same retrieved corpus and must pass a two-stage certification — an expert-teacher validation survey scored with content validity indices, followed by a psychometric pilot — before any item reaches a participant. In a between-subjects controlled experiment with higher secondary students in Bangladesh (target N ≈ 60), we will measure three outcomes: (1) learning gains via a pre-/post-test with normalized gain scores; (2) skill transfer via performance on structurally novel problems; and (3) AI dependency via a withdrawal task in which the tutor is removed, complemented by behavioural interaction logs and a self-report reliance scale. We hypothesise that reasoning-transparency produces comparable or superior learning gains, superior transfer, and materially lower dependency relative to an answer-only baseline. The study contributes empirical evidence from an under-represented educational context, a criterion-based justification of every core technology choice, and a reusable, open design for evaluating pedagogical AI.</w:t>
      </w:r>
    </w:p>
    <w:p>
      <w:pPr>
        <w:spacing w:after="200"/>
        <w:jc w:val="both"/>
      </w:pPr>
      <w:r>
        <w:rPr>
          <w:i/>
          <w:color w:val="5C6B80"/>
          <w:sz w:val="19"/>
        </w:rPr>
        <w:t>Keywords: AI in education; intelligent tutoring systems; large language models; retrieval-augmented generation; content validity; over-reliance; worked examples; self-explanation; computing education; skill transfer; Bangladesh</w:t>
      </w:r>
    </w:p>
    <w:p>
      <w:pPr>
        <w:spacing w:before="40" w:after="160"/>
        <w:pBdr>
          <w:bottom w:val="single" w:sz="6" w:color="C7D0DB"/>
        </w:pBdr>
      </w:pPr>
    </w:p>
    <w:p>
      <w:pPr>
        <w:pStyle w:val="Heading1"/>
      </w:pPr>
      <w:r>
        <w:t>1.  Introduction and Problem Statement</w:t>
      </w:r>
    </w:p>
    <w:p>
      <w:pPr>
        <w:spacing w:after="140"/>
        <w:jc w:val="both"/>
      </w:pPr>
      <w:r>
        <w:rPr>
          <w:b w:val="0"/>
          <w:i w:val="0"/>
          <w:sz w:val="21"/>
        </w:rPr>
        <w:t>Generative AI tools such as ChatGPT and GitHub Copilot have moved rapidly into how novices learn to program. A 2025 systematic review of 58 peer-reviewed studies found that the overwhelming majority report programming-support benefits from AI agents, yet roughly two-thirds also document over-reliance leading to superficial learning, alongside concerns about AI errors and academic integrity (Systematic Review, 2025). The central tension for computing education is therefore not whether AI helps students complete tasks — it plainly does — but whether that help builds durable competence or quietly substitutes for it.</w:t>
      </w:r>
    </w:p>
    <w:p>
      <w:pPr>
        <w:spacing w:after="140"/>
        <w:jc w:val="both"/>
      </w:pPr>
      <w:r>
        <w:rPr>
          <w:b w:val="0"/>
          <w:i w:val="0"/>
          <w:sz w:val="21"/>
        </w:rPr>
        <w:t>The most rigorous recent evidence is sobering. In a controlled experiment with 69 high-school students learning Python, Kazemitabaar et al. found that access to an AI code generator improved immediate outcomes, but a follow-up analysis showed that when students relied on the AI to solve tasks autonomously, their subsequent coding skill without AI was consistently diminished. In a separate large-scale study of nearly a thousand high-school students, Bastani et al. compared groups with unrestricted AI, no AI, and an AI with pedagogical “guardrails”: students who lost access to unrestricted AI performed worse than those who never had it, whereas the guardrailed condition was protected from this penalty. The mechanism, echoed in work presented at Wharton (2026), is that on-demand AI makes tasks too easy, pushing learners outside the zone in which productive struggle drives learning.</w:t>
      </w:r>
    </w:p>
    <w:p>
      <w:pPr>
        <w:spacing w:after="140"/>
        <w:jc w:val="both"/>
      </w:pPr>
      <w:r>
        <w:rPr>
          <w:b w:val="0"/>
          <w:i w:val="0"/>
          <w:sz w:val="21"/>
        </w:rPr>
        <w:t xml:space="preserve">These findings point to a specific, testable design question: if unfiltered answer-giving is what harms learning, does changing </w:t>
      </w:r>
      <w:r>
        <w:rPr>
          <w:i/>
          <w:sz w:val="21"/>
        </w:rPr>
        <w:t>what the AI shows the student</w:t>
      </w:r>
      <w:r>
        <w:rPr>
          <w:b w:val="0"/>
          <w:i w:val="0"/>
          <w:sz w:val="21"/>
        </w:rPr>
        <w:t xml:space="preserve"> — its reasoning rather than its conclusion — change the outcome? This proposal isolates exactly that variable.</w:t>
      </w:r>
    </w:p>
    <w:p>
      <w:pPr>
        <w:pStyle w:val="Heading2"/>
      </w:pPr>
      <w:r>
        <w:t>1.1  The Gap</w:t>
      </w:r>
    </w:p>
    <w:p>
      <w:pPr>
        <w:spacing w:after="140"/>
        <w:jc w:val="both"/>
      </w:pPr>
      <w:r>
        <w:rPr>
          <w:b w:val="0"/>
          <w:i w:val="0"/>
          <w:sz w:val="21"/>
        </w:rPr>
        <w:t>Existing pedagogical AI tools such as CodeAid and CodeHelp already avoid displaying direct code solutions, and guardrail approaches show promise. However, three gaps remain.</w:t>
      </w:r>
    </w:p>
    <w:p>
      <w:pPr>
        <w:pStyle w:val="ListBullet"/>
        <w:spacing w:after="60"/>
        <w:ind w:left="340"/>
        <w:jc w:val="both"/>
      </w:pPr>
      <w:r>
        <w:rPr>
          <w:b/>
          <w:sz w:val="21"/>
        </w:rPr>
        <w:t>Reasoning-transparency as an isolated variable.</w:t>
      </w:r>
      <w:r>
        <w:rPr>
          <w:b w:val="0"/>
          <w:i w:val="0"/>
          <w:sz w:val="21"/>
        </w:rPr>
        <w:t xml:space="preserve"> Prior work varies many things at once (whether code is shown, how hints are staged, prompt-engineering guardrails). Few studies hold the underlying model and task constant and manipulate only whether the tutor’s pedagogical reasoning is visible to the learner.</w:t>
      </w:r>
    </w:p>
    <w:p>
      <w:pPr>
        <w:pStyle w:val="ListBullet"/>
        <w:spacing w:after="60"/>
        <w:ind w:left="340"/>
        <w:jc w:val="both"/>
      </w:pPr>
      <w:r>
        <w:rPr>
          <w:b/>
          <w:sz w:val="21"/>
        </w:rPr>
        <w:t>Dependency as a measured outcome, not an aside.</w:t>
      </w:r>
      <w:r>
        <w:rPr>
          <w:b w:val="0"/>
          <w:i w:val="0"/>
          <w:sz w:val="21"/>
        </w:rPr>
        <w:t xml:space="preserve"> Over-reliance is frequently discussed qualitatively but less often operationalised with a behavioural withdrawal task plus interaction logs in the same design as learning and transfer.</w:t>
      </w:r>
    </w:p>
    <w:p>
      <w:pPr>
        <w:pStyle w:val="ListBullet"/>
        <w:spacing w:after="60"/>
        <w:ind w:left="340"/>
        <w:jc w:val="both"/>
      </w:pPr>
      <w:r>
        <w:rPr>
          <w:b/>
          <w:sz w:val="21"/>
        </w:rPr>
        <w:t>Context.</w:t>
      </w:r>
      <w:r>
        <w:rPr>
          <w:b w:val="0"/>
          <w:i w:val="0"/>
          <w:sz w:val="21"/>
        </w:rPr>
        <w:t xml:space="preserve"> Almost all controlled evidence comes from North American, European, or East Asian settings. There is little rigorous data on AI tutoring for higher secondary students in Bangladesh, despite rapid AI adoption and distinct constraints (class size, device access, language, exam-driven pedagogy).</w:t>
      </w:r>
    </w:p>
    <w:p>
      <w:pPr>
        <w:pStyle w:val="Heading2"/>
      </w:pPr>
      <w:r>
        <w:t>1.2  Contribution</w:t>
      </w:r>
    </w:p>
    <w:p>
      <w:pPr>
        <w:pStyle w:val="ListBullet"/>
        <w:spacing w:after="60"/>
        <w:ind w:left="340"/>
        <w:jc w:val="both"/>
      </w:pPr>
      <w:r>
        <w:rPr>
          <w:b/>
          <w:sz w:val="21"/>
        </w:rPr>
        <w:t>An artifact</w:t>
      </w:r>
      <w:r>
        <w:rPr>
          <w:b w:val="0"/>
          <w:i w:val="0"/>
          <w:sz w:val="21"/>
        </w:rPr>
        <w:t xml:space="preserve"> — TRACE Tutor, a working LLM-based agent whose reasoning-visible and answer-only modes differ by a single controlled factor, with built-in interaction logging, a curriculum-grounded retrieval layer, a local code-execution service, and an expert review portal.</w:t>
      </w:r>
    </w:p>
    <w:p>
      <w:pPr>
        <w:pStyle w:val="ListBullet"/>
        <w:spacing w:after="60"/>
        <w:ind w:left="340"/>
        <w:jc w:val="both"/>
      </w:pPr>
      <w:r>
        <w:rPr>
          <w:b/>
          <w:sz w:val="21"/>
        </w:rPr>
        <w:t>A certified question bank</w:t>
      </w:r>
      <w:r>
        <w:rPr>
          <w:b w:val="0"/>
          <w:i w:val="0"/>
          <w:sz w:val="21"/>
        </w:rPr>
        <w:t xml:space="preserve"> — a bilingual (Bangla–English), curriculum-aligned bank of 60 items across four parallel forms, certified through an expert content-validity survey and a psychometric pilot before any student sees it (§4.5).</w:t>
      </w:r>
    </w:p>
    <w:p>
      <w:pPr>
        <w:pStyle w:val="ListBullet"/>
        <w:spacing w:after="60"/>
        <w:ind w:left="340"/>
        <w:jc w:val="both"/>
      </w:pPr>
      <w:r>
        <w:rPr>
          <w:b/>
          <w:sz w:val="21"/>
        </w:rPr>
        <w:t>Empirical evidence</w:t>
      </w:r>
      <w:r>
        <w:rPr>
          <w:b w:val="0"/>
          <w:i w:val="0"/>
          <w:sz w:val="21"/>
        </w:rPr>
        <w:t xml:space="preserve"> — a controlled between-subjects study quantifying the effect of reasoning-transparency on learning gains, transfer, and dependency.</w:t>
      </w:r>
    </w:p>
    <w:p>
      <w:pPr>
        <w:pStyle w:val="ListBullet"/>
        <w:spacing w:after="60"/>
        <w:ind w:left="340"/>
        <w:jc w:val="both"/>
      </w:pPr>
      <w:r>
        <w:rPr>
          <w:b/>
          <w:sz w:val="21"/>
        </w:rPr>
        <w:t>Contextual evidence</w:t>
      </w:r>
      <w:r>
        <w:rPr>
          <w:b w:val="0"/>
          <w:i w:val="0"/>
          <w:sz w:val="21"/>
        </w:rPr>
        <w:t xml:space="preserve"> — the first such controlled study, to our knowledge, situated with higher secondary students in Bangladesh.</w:t>
      </w:r>
    </w:p>
    <w:p>
      <w:pPr>
        <w:pStyle w:val="ListBullet"/>
        <w:spacing w:after="60"/>
        <w:ind w:left="340"/>
        <w:jc w:val="both"/>
      </w:pPr>
      <w:r>
        <w:rPr>
          <w:b/>
          <w:sz w:val="21"/>
        </w:rPr>
        <w:t>An open design</w:t>
      </w:r>
      <w:r>
        <w:rPr>
          <w:b w:val="0"/>
          <w:i w:val="0"/>
          <w:sz w:val="21"/>
        </w:rPr>
        <w:t xml:space="preserve"> — instruments, prompts, item bank, and analysis plan released for replication.</w:t>
      </w:r>
    </w:p>
    <w:p>
      <w:pPr>
        <w:pStyle w:val="Heading1"/>
      </w:pPr>
      <w:r>
        <w:t>2.  Background and Theoretical Framework</w:t>
      </w:r>
    </w:p>
    <w:p>
      <w:pPr>
        <w:pStyle w:val="Heading2"/>
      </w:pPr>
      <w:r>
        <w:t>2.1  Why showing reasoning might help: worked examples and self-explanation</w:t>
      </w:r>
    </w:p>
    <w:p>
      <w:pPr>
        <w:spacing w:after="140"/>
        <w:jc w:val="both"/>
      </w:pPr>
      <w:r>
        <w:rPr>
          <w:b w:val="0"/>
          <w:i w:val="0"/>
          <w:sz w:val="21"/>
        </w:rPr>
        <w:t xml:space="preserve">The proposal rests on two well-established findings in the learning sciences. The </w:t>
      </w:r>
      <w:r>
        <w:rPr>
          <w:b/>
          <w:sz w:val="21"/>
        </w:rPr>
        <w:t>worked-example effect</w:t>
      </w:r>
      <w:r>
        <w:rPr>
          <w:b w:val="0"/>
          <w:i w:val="0"/>
          <w:sz w:val="21"/>
        </w:rPr>
        <w:t xml:space="preserve"> (grounded in Cognitive Load Theory; Sweller) holds that novices often learn more from studying fully worked solutions than from unguided problem-solving, because their limited working memory is spent on schema acquisition rather than means-ends search. The </w:t>
      </w:r>
      <w:r>
        <w:rPr>
          <w:b/>
          <w:sz w:val="21"/>
        </w:rPr>
        <w:t>self-explanation effect</w:t>
      </w:r>
      <w:r>
        <w:rPr>
          <w:b w:val="0"/>
          <w:i w:val="0"/>
          <w:sz w:val="21"/>
        </w:rPr>
        <w:t xml:space="preserve"> holds that learners who explain the reasoning behind each step of a solution to themselves build deeper, more transferable understanding than those who merely read the answer.</w:t>
      </w:r>
    </w:p>
    <w:p>
      <w:pPr>
        <w:spacing w:after="140"/>
        <w:jc w:val="both"/>
      </w:pPr>
      <w:r>
        <w:rPr>
          <w:b w:val="0"/>
          <w:i w:val="0"/>
          <w:sz w:val="21"/>
        </w:rPr>
        <w:t>TRACE Tutor’s reasoning-visible mode is designed to operationalise both. By exposing the decomposition of a problem, the concept invoked at each step, and the justification for each decision, the tutor turns each answer into a worked example and prompts the student toward self-explanation — precisely the cognitive engagement that answer-only AI use bypasses. This provides a principled, not merely intuitive, reason to expect a transparency benefit for transfer in particular.</w:t>
      </w:r>
    </w:p>
    <w:p>
      <w:pPr>
        <w:pStyle w:val="Heading2"/>
      </w:pPr>
      <w:r>
        <w:t>2.2  The over-reliance problem</w:t>
      </w:r>
    </w:p>
    <w:p>
      <w:pPr>
        <w:spacing w:after="140"/>
        <w:jc w:val="both"/>
      </w:pPr>
      <w:r>
        <w:rPr>
          <w:b w:val="0"/>
          <w:i w:val="0"/>
          <w:sz w:val="21"/>
        </w:rPr>
        <w:t>Research in human–AI collaboration consistently finds that people over-trust and lean too heavily on AI agents, even when the AI is wrong. In interactive learning environments this parallels long-standing findings on “bottom-out hints” — when students can extract the final answer with little explanation, help-seeking becomes counter-productive and learning gains fall. A recent controlled study (Stanford SCALE, 2025) operationalised reliance directly by having students solve problems with an AI that gave both correct and deliberately incorrect suggestions, and related appropriate reliance to programming self-efficacy and literacy. We adopt a compatible, behaviourally grounded stance toward measuring dependency rather than relying on self-report alone.</w:t>
      </w:r>
    </w:p>
    <w:p>
      <w:pPr>
        <w:pStyle w:val="Heading2"/>
      </w:pPr>
      <w:r>
        <w:t>2.3  Positioning of TRACE Tutor</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494"/>
            <w:shd w:val="clear" w:fill="1F3D6B"/>
          </w:tcPr>
          <w:p>
            <w:pPr>
              <w:spacing w:after="40" w:before="40"/>
            </w:pPr>
            <w:r/>
            <w:r>
              <w:rPr>
                <w:b/>
                <w:color w:val="FFFFFF"/>
                <w:sz w:val="18"/>
              </w:rPr>
              <w:t>Approach</w:t>
            </w:r>
          </w:p>
        </w:tc>
        <w:tc>
          <w:tcPr>
            <w:tcW w:type="dxa" w:w="3628"/>
            <w:shd w:val="clear" w:fill="1F3D6B"/>
          </w:tcPr>
          <w:p>
            <w:pPr>
              <w:spacing w:after="40" w:before="40"/>
            </w:pPr>
            <w:r/>
            <w:r>
              <w:rPr>
                <w:b/>
                <w:color w:val="FFFFFF"/>
                <w:sz w:val="18"/>
              </w:rPr>
              <w:t>What the student sees</w:t>
            </w:r>
          </w:p>
        </w:tc>
        <w:tc>
          <w:tcPr>
            <w:tcW w:type="dxa" w:w="3061"/>
            <w:shd w:val="clear" w:fill="1F3D6B"/>
          </w:tcPr>
          <w:p>
            <w:pPr>
              <w:spacing w:after="40" w:before="40"/>
            </w:pPr>
            <w:r/>
            <w:r>
              <w:rPr>
                <w:b/>
                <w:color w:val="FFFFFF"/>
                <w:sz w:val="18"/>
              </w:rPr>
              <w:t>Expected risk</w:t>
            </w:r>
          </w:p>
        </w:tc>
      </w:tr>
      <w:tr>
        <w:tc>
          <w:tcPr>
            <w:tcW w:type="dxa" w:w="2494"/>
          </w:tcPr>
          <w:p>
            <w:pPr>
              <w:spacing w:after="40" w:before="40"/>
            </w:pPr>
            <w:r/>
            <w:r>
              <w:rPr>
                <w:b w:val="0"/>
                <w:i w:val="0"/>
                <w:sz w:val="18"/>
              </w:rPr>
              <w:t>Unrestricted LLM</w:t>
            </w:r>
          </w:p>
        </w:tc>
        <w:tc>
          <w:tcPr>
            <w:tcW w:type="dxa" w:w="3628"/>
          </w:tcPr>
          <w:p>
            <w:pPr>
              <w:spacing w:after="40" w:before="40"/>
            </w:pPr>
            <w:r/>
            <w:r>
              <w:rPr>
                <w:b w:val="0"/>
                <w:i w:val="0"/>
                <w:sz w:val="18"/>
              </w:rPr>
              <w:t>Complete code solution on demand</w:t>
            </w:r>
          </w:p>
        </w:tc>
        <w:tc>
          <w:tcPr>
            <w:tcW w:type="dxa" w:w="3061"/>
          </w:tcPr>
          <w:p>
            <w:pPr>
              <w:spacing w:after="40" w:before="40"/>
            </w:pPr>
            <w:r/>
            <w:r>
              <w:rPr>
                <w:b w:val="0"/>
                <w:i w:val="0"/>
                <w:sz w:val="18"/>
              </w:rPr>
              <w:t>High dependency; skill loss on withdrawal</w:t>
            </w:r>
          </w:p>
        </w:tc>
      </w:tr>
      <w:tr>
        <w:tc>
          <w:tcPr>
            <w:tcW w:type="dxa" w:w="2494"/>
            <w:shd w:val="clear" w:fill="F4F6F9"/>
          </w:tcPr>
          <w:p>
            <w:pPr>
              <w:spacing w:after="40" w:before="40"/>
            </w:pPr>
            <w:r/>
            <w:r>
              <w:rPr>
                <w:b w:val="0"/>
                <w:i w:val="0"/>
                <w:sz w:val="18"/>
              </w:rPr>
              <w:t>Answer-only tutor (our baseline)</w:t>
            </w:r>
          </w:p>
        </w:tc>
        <w:tc>
          <w:tcPr>
            <w:tcW w:type="dxa" w:w="3628"/>
            <w:shd w:val="clear" w:fill="F4F6F9"/>
          </w:tcPr>
          <w:p>
            <w:pPr>
              <w:spacing w:after="40" w:before="40"/>
            </w:pPr>
            <w:r/>
            <w:r>
              <w:rPr>
                <w:b w:val="0"/>
                <w:i w:val="0"/>
                <w:sz w:val="18"/>
              </w:rPr>
              <w:t>Correct final answer or fix, no reasoning shown</w:t>
            </w:r>
          </w:p>
        </w:tc>
        <w:tc>
          <w:tcPr>
            <w:tcW w:type="dxa" w:w="3061"/>
            <w:shd w:val="clear" w:fill="F4F6F9"/>
          </w:tcPr>
          <w:p>
            <w:pPr>
              <w:spacing w:after="40" w:before="40"/>
            </w:pPr>
            <w:r/>
            <w:r>
              <w:rPr>
                <w:b w:val="0"/>
                <w:i w:val="0"/>
                <w:sz w:val="18"/>
              </w:rPr>
              <w:t>Moderate–high dependency</w:t>
            </w:r>
          </w:p>
        </w:tc>
      </w:tr>
      <w:tr>
        <w:tc>
          <w:tcPr>
            <w:tcW w:type="dxa" w:w="2494"/>
          </w:tcPr>
          <w:p>
            <w:pPr>
              <w:spacing w:after="40" w:before="40"/>
            </w:pPr>
            <w:r/>
            <w:r>
              <w:rPr>
                <w:b w:val="0"/>
                <w:i w:val="0"/>
                <w:sz w:val="18"/>
              </w:rPr>
              <w:t>TRACE Tutor (treatment)</w:t>
            </w:r>
          </w:p>
        </w:tc>
        <w:tc>
          <w:tcPr>
            <w:tcW w:type="dxa" w:w="3628"/>
          </w:tcPr>
          <w:p>
            <w:pPr>
              <w:spacing w:after="40" w:before="40"/>
            </w:pPr>
            <w:r/>
            <w:r>
              <w:rPr>
                <w:b w:val="0"/>
                <w:i w:val="0"/>
                <w:sz w:val="18"/>
              </w:rPr>
              <w:t>Step-by-step reasoning, concept at each step, justification — the answer as a worked example</w:t>
            </w:r>
          </w:p>
        </w:tc>
        <w:tc>
          <w:tcPr>
            <w:tcW w:type="dxa" w:w="3061"/>
          </w:tcPr>
          <w:p>
            <w:pPr>
              <w:spacing w:after="40" w:before="40"/>
            </w:pPr>
            <w:r/>
            <w:r>
              <w:rPr>
                <w:b w:val="0"/>
                <w:i w:val="0"/>
                <w:sz w:val="18"/>
              </w:rPr>
              <w:t>Hypothesised: lower dependency, better transfer</w:t>
            </w:r>
          </w:p>
        </w:tc>
      </w:tr>
    </w:tbl>
    <w:p>
      <w:pPr>
        <w:spacing w:after="80"/>
      </w:pPr>
    </w:p>
    <w:p>
      <w:pPr>
        <w:spacing w:after="140"/>
        <w:jc w:val="both"/>
      </w:pPr>
      <w:r>
        <w:rPr>
          <w:i/>
          <w:color w:val="5C6B80"/>
          <w:sz w:val="18"/>
        </w:rPr>
        <w:t>Note.</w:t>
      </w:r>
      <w:r>
        <w:rPr>
          <w:b w:val="0"/>
          <w:i w:val="0"/>
          <w:color w:val="5C6B80"/>
          <w:sz w:val="18"/>
        </w:rPr>
        <w:t xml:space="preserve"> Both tutor conditions call the same underlying model, with the same retrieved passages, on the same tasks; they differ only in the visibility of pedagogical reasoning. This single-factor manipulation is the study’s core design strength, and §4.3 describes the specific software controls that protect it.</w:t>
      </w:r>
    </w:p>
    <w:p>
      <w:pPr>
        <w:pStyle w:val="Heading2"/>
      </w:pPr>
      <w:r>
        <w:t>2.4  Grounding the tutor: retrieval-augmented generation</w:t>
      </w:r>
    </w:p>
    <w:p>
      <w:pPr>
        <w:spacing w:after="140"/>
        <w:jc w:val="both"/>
      </w:pPr>
      <w:r>
        <w:rPr>
          <w:b w:val="0"/>
          <w:i w:val="0"/>
          <w:sz w:val="21"/>
        </w:rPr>
        <w:t>LLMs generate fluent but occasionally fabricated content. In a tutor for minors preparing for board examinations, an explanation that contradicts the prescribed textbook is not a cosmetic error — it is mis-teaching. Retrieval-augmented generation (RAG; Lewis et al., 2020) addresses this by retrieving relevant passages from a trusted corpus at query time and conditioning generation on them, so outputs are grounded in — and attributable to — the national curriculum rather than the model’s parametric memory.</w:t>
      </w:r>
    </w:p>
    <w:p>
      <w:pPr>
        <w:spacing w:after="140"/>
        <w:jc w:val="both"/>
      </w:pPr>
      <w:r>
        <w:rPr>
          <w:b w:val="0"/>
          <w:i w:val="0"/>
          <w:sz w:val="21"/>
        </w:rPr>
        <w:t xml:space="preserve">Three grounding strategies were compared before RAG was adopted. </w:t>
      </w:r>
      <w:r>
        <w:rPr>
          <w:b/>
          <w:sz w:val="21"/>
        </w:rPr>
        <w:t>(a) Closed-book prompting</w:t>
      </w:r>
      <w:r>
        <w:rPr>
          <w:b w:val="0"/>
          <w:i w:val="0"/>
          <w:sz w:val="21"/>
        </w:rPr>
        <w:t xml:space="preserve"> — asking the model to generate from its training knowledge alone — is the cheapest option, but Bangladeshi curriculum materials and the Bangla technical register are under-represented in training data, and there is no retrieved source against which a teacher can check a generated explanation. </w:t>
      </w:r>
      <w:r>
        <w:rPr>
          <w:b/>
          <w:sz w:val="21"/>
        </w:rPr>
        <w:t>(b) Fine-tuning</w:t>
      </w:r>
      <w:r>
        <w:rPr>
          <w:b w:val="0"/>
          <w:i w:val="0"/>
          <w:sz w:val="21"/>
        </w:rPr>
        <w:t xml:space="preserve"> a model on the curriculum bakes the knowledge into the weights, but demands curated training data, GPU budget, and re-training at every syllabus revision — and, critically, it also removes attributability, which would undermine the expert certification protocol in §4.5. </w:t>
      </w:r>
      <w:r>
        <w:rPr>
          <w:b/>
          <w:sz w:val="21"/>
        </w:rPr>
        <w:t>(c) RAG</w:t>
      </w:r>
      <w:r>
        <w:rPr>
          <w:b w:val="0"/>
          <w:i w:val="0"/>
          <w:sz w:val="21"/>
        </w:rPr>
        <w:t xml:space="preserve"> carries a modest engineering cost, is updated by simply re-indexing the corpus, and attaches to every generated turn the exact source passages it was generated from. In the implemented system this is visible to the student: each tutor answer carries a textbook rule, a citation of the form “NCTB HSC ICT (BV) p.146”, and a </w:t>
      </w:r>
      <w:r>
        <w:rPr>
          <w:i/>
          <w:sz w:val="21"/>
        </w:rPr>
        <w:t>grounded</w:t>
      </w:r>
      <w:r>
        <w:rPr>
          <w:b w:val="0"/>
          <w:i w:val="0"/>
          <w:sz w:val="21"/>
        </w:rPr>
        <w:t xml:space="preserve"> flag the model must set to false when the retrieved passages do not actually cover the question.</w:t>
      </w:r>
    </w:p>
    <w:p>
      <w:pPr>
        <w:pStyle w:val="Heading1"/>
      </w:pPr>
      <w:r>
        <w:t>3.  Research Questions and Hypotheses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624"/>
            <w:shd w:val="clear" w:fill="1F3D6B"/>
          </w:tcPr>
          <w:p>
            <w:pPr>
              <w:spacing w:after="40" w:before="40"/>
            </w:pPr>
            <w:r/>
            <w:r>
              <w:rPr>
                <w:b/>
                <w:color w:val="FFFFFF"/>
                <w:sz w:val="18"/>
              </w:rPr>
              <w:t>#</w:t>
            </w:r>
          </w:p>
        </w:tc>
        <w:tc>
          <w:tcPr>
            <w:tcW w:type="dxa" w:w="3175"/>
            <w:shd w:val="clear" w:fill="1F3D6B"/>
          </w:tcPr>
          <w:p>
            <w:pPr>
              <w:spacing w:after="40" w:before="40"/>
            </w:pPr>
            <w:r/>
            <w:r>
              <w:rPr>
                <w:b/>
                <w:color w:val="FFFFFF"/>
                <w:sz w:val="18"/>
              </w:rPr>
              <w:t>Research Question</w:t>
            </w:r>
          </w:p>
        </w:tc>
        <w:tc>
          <w:tcPr>
            <w:tcW w:type="dxa" w:w="2778"/>
            <w:shd w:val="clear" w:fill="1F3D6B"/>
          </w:tcPr>
          <w:p>
            <w:pPr>
              <w:spacing w:after="40" w:before="40"/>
            </w:pPr>
            <w:r/>
            <w:r>
              <w:rPr>
                <w:b/>
                <w:color w:val="FFFFFF"/>
                <w:sz w:val="18"/>
              </w:rPr>
              <w:t>Hypothesis</w:t>
            </w:r>
          </w:p>
        </w:tc>
        <w:tc>
          <w:tcPr>
            <w:tcW w:type="dxa" w:w="2608"/>
            <w:shd w:val="clear" w:fill="1F3D6B"/>
          </w:tcPr>
          <w:p>
            <w:pPr>
              <w:spacing w:after="40" w:before="40"/>
            </w:pPr>
            <w:r/>
            <w:r>
              <w:rPr>
                <w:b/>
                <w:color w:val="FFFFFF"/>
                <w:sz w:val="18"/>
              </w:rPr>
              <w:t>Primary Measure</w:t>
            </w:r>
          </w:p>
        </w:tc>
      </w:tr>
      <w:tr>
        <w:tc>
          <w:tcPr>
            <w:tcW w:type="dxa" w:w="624"/>
          </w:tcPr>
          <w:p>
            <w:pPr>
              <w:spacing w:after="40" w:before="40"/>
            </w:pPr>
            <w:r/>
            <w:r>
              <w:rPr>
                <w:b w:val="0"/>
                <w:i w:val="0"/>
                <w:sz w:val="18"/>
              </w:rPr>
              <w:t>RQ1</w:t>
            </w:r>
          </w:p>
        </w:tc>
        <w:tc>
          <w:tcPr>
            <w:tcW w:type="dxa" w:w="3175"/>
          </w:tcPr>
          <w:p>
            <w:pPr>
              <w:spacing w:after="40" w:before="40"/>
            </w:pPr>
            <w:r/>
            <w:r>
              <w:rPr>
                <w:b w:val="0"/>
                <w:i w:val="0"/>
                <w:sz w:val="18"/>
              </w:rPr>
              <w:t>Does reasoning-transparency affect learning gains versus an answer-only tutor?</w:t>
            </w:r>
          </w:p>
        </w:tc>
        <w:tc>
          <w:tcPr>
            <w:tcW w:type="dxa" w:w="2778"/>
          </w:tcPr>
          <w:p>
            <w:pPr>
              <w:spacing w:after="40" w:before="40"/>
            </w:pPr>
            <w:r/>
            <w:r>
              <w:rPr>
                <w:b w:val="0"/>
                <w:i w:val="0"/>
                <w:sz w:val="18"/>
              </w:rPr>
              <w:t>H1: Transparency yields comparable or greater normalized gain.</w:t>
            </w:r>
          </w:p>
        </w:tc>
        <w:tc>
          <w:tcPr>
            <w:tcW w:type="dxa" w:w="2608"/>
          </w:tcPr>
          <w:p>
            <w:pPr>
              <w:spacing w:after="40" w:before="40"/>
            </w:pPr>
            <w:r/>
            <w:r>
              <w:rPr>
                <w:b w:val="0"/>
                <w:i w:val="0"/>
                <w:sz w:val="18"/>
              </w:rPr>
              <w:t>Pre-/post-test; normalized gain ⟨g⟩</w:t>
            </w:r>
          </w:p>
        </w:tc>
      </w:tr>
      <w:tr>
        <w:tc>
          <w:tcPr>
            <w:tcW w:type="dxa" w:w="624"/>
            <w:shd w:val="clear" w:fill="F4F6F9"/>
          </w:tcPr>
          <w:p>
            <w:pPr>
              <w:spacing w:after="40" w:before="40"/>
            </w:pPr>
            <w:r/>
            <w:r>
              <w:rPr>
                <w:b w:val="0"/>
                <w:i w:val="0"/>
                <w:sz w:val="18"/>
              </w:rPr>
              <w:t>RQ2</w:t>
            </w:r>
          </w:p>
        </w:tc>
        <w:tc>
          <w:tcPr>
            <w:tcW w:type="dxa" w:w="3175"/>
            <w:shd w:val="clear" w:fill="F4F6F9"/>
          </w:tcPr>
          <w:p>
            <w:pPr>
              <w:spacing w:after="40" w:before="40"/>
            </w:pPr>
            <w:r/>
            <w:r>
              <w:rPr>
                <w:b w:val="0"/>
                <w:i w:val="0"/>
                <w:sz w:val="18"/>
              </w:rPr>
              <w:t>Does it affect transfer to structurally novel problems?</w:t>
            </w:r>
          </w:p>
        </w:tc>
        <w:tc>
          <w:tcPr>
            <w:tcW w:type="dxa" w:w="2778"/>
            <w:shd w:val="clear" w:fill="F4F6F9"/>
          </w:tcPr>
          <w:p>
            <w:pPr>
              <w:spacing w:after="40" w:before="40"/>
            </w:pPr>
            <w:r/>
            <w:r>
              <w:rPr>
                <w:b w:val="0"/>
                <w:i w:val="0"/>
                <w:sz w:val="18"/>
              </w:rPr>
              <w:t>H2: Transparency yields greater transfer performance.</w:t>
            </w:r>
          </w:p>
        </w:tc>
        <w:tc>
          <w:tcPr>
            <w:tcW w:type="dxa" w:w="2608"/>
            <w:shd w:val="clear" w:fill="F4F6F9"/>
          </w:tcPr>
          <w:p>
            <w:pPr>
              <w:spacing w:after="40" w:before="40"/>
            </w:pPr>
            <w:r/>
            <w:r>
              <w:rPr>
                <w:b w:val="0"/>
                <w:i w:val="0"/>
                <w:sz w:val="18"/>
              </w:rPr>
              <w:t>Transfer form, administered without tutor access</w:t>
            </w:r>
          </w:p>
        </w:tc>
      </w:tr>
      <w:tr>
        <w:tc>
          <w:tcPr>
            <w:tcW w:type="dxa" w:w="624"/>
          </w:tcPr>
          <w:p>
            <w:pPr>
              <w:spacing w:after="40" w:before="40"/>
            </w:pPr>
            <w:r/>
            <w:r>
              <w:rPr>
                <w:b w:val="0"/>
                <w:i w:val="0"/>
                <w:sz w:val="18"/>
              </w:rPr>
              <w:t>RQ3</w:t>
            </w:r>
          </w:p>
        </w:tc>
        <w:tc>
          <w:tcPr>
            <w:tcW w:type="dxa" w:w="3175"/>
          </w:tcPr>
          <w:p>
            <w:pPr>
              <w:spacing w:after="40" w:before="40"/>
            </w:pPr>
            <w:r/>
            <w:r>
              <w:rPr>
                <w:b w:val="0"/>
                <w:i w:val="0"/>
                <w:sz w:val="18"/>
              </w:rPr>
              <w:t>Does it affect AI dependency?</w:t>
            </w:r>
          </w:p>
        </w:tc>
        <w:tc>
          <w:tcPr>
            <w:tcW w:type="dxa" w:w="2778"/>
          </w:tcPr>
          <w:p>
            <w:pPr>
              <w:spacing w:after="40" w:before="40"/>
            </w:pPr>
            <w:r/>
            <w:r>
              <w:rPr>
                <w:b w:val="0"/>
                <w:i w:val="0"/>
                <w:sz w:val="18"/>
              </w:rPr>
              <w:t>H3: Transparency yields lower dependency (smaller withdrawal drop).</w:t>
            </w:r>
          </w:p>
        </w:tc>
        <w:tc>
          <w:tcPr>
            <w:tcW w:type="dxa" w:w="2608"/>
          </w:tcPr>
          <w:p>
            <w:pPr>
              <w:spacing w:after="40" w:before="40"/>
            </w:pPr>
            <w:r/>
            <w:r>
              <w:rPr>
                <w:b w:val="0"/>
                <w:i w:val="0"/>
                <w:sz w:val="18"/>
              </w:rPr>
              <w:t>Withdrawal task + interaction logs + self-report</w:t>
            </w:r>
          </w:p>
        </w:tc>
      </w:tr>
    </w:tbl>
    <w:p>
      <w:pPr>
        <w:spacing w:after="80"/>
      </w:pPr>
    </w:p>
    <w:p>
      <w:pPr>
        <w:spacing w:after="140"/>
        <w:jc w:val="both"/>
      </w:pPr>
      <w:r>
        <w:rPr>
          <w:b/>
          <w:sz w:val="21"/>
        </w:rPr>
        <w:t>Secondary question (RQ4, exploratory).</w:t>
      </w:r>
      <w:r>
        <w:rPr>
          <w:b w:val="0"/>
          <w:i w:val="0"/>
          <w:sz w:val="21"/>
        </w:rPr>
        <w:t xml:space="preserve"> Does the effect of transparency depend on prior ability? Recent evidence suggests over-reliance affects even high-skill learners, so prior programming attainment (pre-test score) will be tested as a moderator.</w:t>
      </w:r>
    </w:p>
    <w:p>
      <w:pPr>
        <w:spacing w:after="140"/>
        <w:jc w:val="both"/>
      </w:pPr>
      <w:r>
        <w:rPr>
          <w:b/>
          <w:sz w:val="21"/>
        </w:rPr>
        <w:t>System-validation objective (V1).</w:t>
      </w:r>
      <w:r>
        <w:rPr>
          <w:b w:val="0"/>
          <w:i w:val="0"/>
          <w:sz w:val="21"/>
        </w:rPr>
        <w:t xml:space="preserve"> Before the main study, the item bank must itself be validated: items enter the study only after certification by an expert-teacher survey (item-level content validity index I-CVI ≥ 0.78; scale-level S-CVI/Ave ≥ 0.90) and a psychometric pilot (difficulty 0.30–0.90; discrimination ≥ 0.20). V1 is a gate, not a hypothesis: if certification does not yield a sufficient pool, the affected items are revised or replaced and the shortfall is itself reported as a finding about the instrument. Section 4.5 specifies the full protocol.</w:t>
      </w:r>
    </w:p>
    <w:p>
      <w:pPr>
        <w:pStyle w:val="Heading1"/>
      </w:pPr>
      <w:r>
        <w:t>4.  Methodology</w:t>
      </w:r>
    </w:p>
    <w:p>
      <w:pPr>
        <w:pStyle w:val="Heading2"/>
      </w:pPr>
      <w:r>
        <w:t>4.1  Design</w:t>
      </w:r>
    </w:p>
    <w:p>
      <w:pPr>
        <w:spacing w:after="140"/>
        <w:jc w:val="both"/>
      </w:pPr>
      <w:r>
        <w:rPr>
          <w:b w:val="0"/>
          <w:i w:val="0"/>
          <w:sz w:val="21"/>
        </w:rPr>
        <w:t xml:space="preserve">A two-arm, between-subjects randomized controlled design. Participants are randomly assigned to the </w:t>
      </w:r>
      <w:r>
        <w:rPr>
          <w:b/>
          <w:sz w:val="21"/>
        </w:rPr>
        <w:t>reasoning-visible</w:t>
      </w:r>
      <w:r>
        <w:rPr>
          <w:b w:val="0"/>
          <w:i w:val="0"/>
          <w:sz w:val="21"/>
        </w:rPr>
        <w:t xml:space="preserve"> condition (treatment) or the </w:t>
      </w:r>
      <w:r>
        <w:rPr>
          <w:b/>
          <w:sz w:val="21"/>
        </w:rPr>
        <w:t>answer-only</w:t>
      </w:r>
      <w:r>
        <w:rPr>
          <w:b w:val="0"/>
          <w:i w:val="0"/>
          <w:sz w:val="21"/>
        </w:rPr>
        <w:t xml:space="preserve"> condition (control). A between-subjects design is chosen over within-subjects to avoid carry-over: once a student has seen worked reasoning, that learning cannot be “undone” for a later condition. The independent variable is reasoning visibility (2 levels); dependent variables are learning gain, transfer score, and dependency. Prior ability (from the pre-test) serves as a covariate and exploratory moderator.</w:t>
      </w:r>
    </w:p>
    <w:p>
      <w:pPr>
        <w:spacing w:after="140"/>
        <w:jc w:val="both"/>
      </w:pPr>
      <w:r>
        <w:rPr>
          <w:b w:val="0"/>
          <w:i w:val="0"/>
          <w:sz w:val="21"/>
        </w:rPr>
        <w:t xml:space="preserve">Assignment is performed by the software at enrolment and is </w:t>
      </w:r>
      <w:r>
        <w:rPr>
          <w:b/>
          <w:sz w:val="21"/>
        </w:rPr>
        <w:t>locked for the duration of the study</w:t>
      </w:r>
      <w:r>
        <w:rPr>
          <w:b w:val="0"/>
          <w:i w:val="0"/>
          <w:sz w:val="21"/>
        </w:rPr>
        <w:t>, so that a participant cannot self-select a condition (this lock is listed in §4.9 as outstanding work and is scheduled before the pilot). The platform allocates each new student account to whichever arm currently has fewer participants, breaking ties at random, so the arms stay balanced as recruitment proceeds without the experimenter intervening. Any change of arm after enrolment will require a researcher account and will write an audit record.</w:t>
      </w:r>
    </w:p>
    <w:p>
      <w:pPr>
        <w:pStyle w:val="Heading2"/>
      </w:pPr>
      <w:r>
        <w:t>4.2  Participants and setting</w:t>
      </w:r>
    </w:p>
    <w:p>
      <w:pPr>
        <w:pStyle w:val="ListBullet"/>
        <w:spacing w:after="60"/>
        <w:ind w:left="340"/>
        <w:jc w:val="both"/>
      </w:pPr>
      <w:r>
        <w:rPr>
          <w:b/>
          <w:sz w:val="21"/>
        </w:rPr>
        <w:t>Population.</w:t>
      </w:r>
      <w:r>
        <w:rPr>
          <w:b w:val="0"/>
          <w:i w:val="0"/>
          <w:sz w:val="21"/>
        </w:rPr>
        <w:t xml:space="preserve"> Higher secondary students (grades 11–12) in Bangladesh with limited prior programming experience, recruited from [college / coaching-centre partners].</w:t>
      </w:r>
    </w:p>
    <w:p>
      <w:pPr>
        <w:pStyle w:val="ListBullet"/>
        <w:spacing w:after="60"/>
        <w:ind w:left="340"/>
        <w:jc w:val="both"/>
      </w:pPr>
      <w:r>
        <w:rPr>
          <w:b/>
          <w:sz w:val="21"/>
        </w:rPr>
        <w:t>Target sample.</w:t>
      </w:r>
      <w:r>
        <w:rPr>
          <w:b w:val="0"/>
          <w:i w:val="0"/>
          <w:sz w:val="21"/>
        </w:rPr>
        <w:t xml:space="preserve"> N ≈ 60 (30 per arm) as a feasible minimum; we will recruit toward 80 to buffer attrition. A power analysis (§4.8) sets the target for detecting a medium effect.</w:t>
      </w:r>
    </w:p>
    <w:p>
      <w:pPr>
        <w:pStyle w:val="ListBullet"/>
        <w:spacing w:after="60"/>
        <w:ind w:left="340"/>
        <w:jc w:val="both"/>
      </w:pPr>
      <w:r>
        <w:rPr>
          <w:b/>
          <w:sz w:val="21"/>
        </w:rPr>
        <w:t>Language.</w:t>
      </w:r>
      <w:r>
        <w:rPr>
          <w:b w:val="0"/>
          <w:i w:val="0"/>
          <w:sz w:val="21"/>
        </w:rPr>
        <w:t xml:space="preserve"> The interface, the item bank and the tutor all operate in Bangla with English technical terms retained; the participant’s language preference is recorded at registration and the tutor generates its prose in that language while keeping code, identifiers and error messages in English.</w:t>
      </w:r>
    </w:p>
    <w:p>
      <w:pPr>
        <w:pStyle w:val="ListBullet"/>
        <w:spacing w:after="60"/>
        <w:ind w:left="340"/>
        <w:jc w:val="both"/>
      </w:pPr>
      <w:r>
        <w:rPr>
          <w:b/>
          <w:sz w:val="21"/>
        </w:rPr>
        <w:t>Inclusion.</w:t>
      </w:r>
      <w:r>
        <w:rPr>
          <w:b w:val="0"/>
          <w:i w:val="0"/>
          <w:sz w:val="21"/>
        </w:rPr>
        <w:t xml:space="preserve"> Novice level confirmed by a screening item at registration; students already fluent in the target topics are excluded to avoid ceiling effects.</w:t>
      </w:r>
    </w:p>
    <w:p>
      <w:pPr>
        <w:pStyle w:val="Heading2"/>
      </w:pPr>
      <w:r>
        <w:t>4.3  The intervention: TRACE Tutor as implemented</w:t>
      </w:r>
    </w:p>
    <w:p>
      <w:pPr>
        <w:spacing w:after="140"/>
        <w:jc w:val="both"/>
      </w:pPr>
      <w:r>
        <w:rPr>
          <w:b w:val="0"/>
          <w:i w:val="0"/>
          <w:sz w:val="21"/>
        </w:rPr>
        <w:t>TRACE Tutor is a working web application: a React single-page front end talking to a Django REST API, with a PostgreSQL database, a local ChromaDB vector index, and a local compiler service. The design principle throughout is that the two arms share every component except the rendering of pedagogical reasoning.</w:t>
      </w:r>
    </w:p>
    <w:p>
      <w:pPr>
        <w:pStyle w:val="ListBullet"/>
        <w:spacing w:after="60"/>
        <w:ind w:left="340"/>
        <w:jc w:val="both"/>
      </w:pPr>
      <w:r>
        <w:rPr>
          <w:b/>
          <w:sz w:val="21"/>
        </w:rPr>
        <w:t>Curriculum-grounded retrieval.</w:t>
      </w:r>
      <w:r>
        <w:rPr>
          <w:b w:val="0"/>
          <w:i w:val="0"/>
          <w:sz w:val="21"/>
        </w:rPr>
        <w:t xml:space="preserve"> Every tutor turn retrieves the top five passages from the indexed NCTB corpus and includes them, with their page citations, in the prompt. When the vector index is unavailable the system degrades to keyword retrieval over the same passages rather than answering ungrounded.</w:t>
      </w:r>
    </w:p>
    <w:p>
      <w:pPr>
        <w:pStyle w:val="ListBullet"/>
        <w:spacing w:after="60"/>
        <w:ind w:left="340"/>
        <w:jc w:val="both"/>
      </w:pPr>
      <w:r>
        <w:rPr>
          <w:b/>
          <w:sz w:val="21"/>
        </w:rPr>
        <w:t>One model, one prompt family.</w:t>
      </w:r>
      <w:r>
        <w:rPr>
          <w:b w:val="0"/>
          <w:i w:val="0"/>
          <w:sz w:val="21"/>
        </w:rPr>
        <w:t xml:space="preserve"> Both arms call the same pinned model with the same system instruction and the same retrieved passages, at a fixed temperature. The model returns a single structured JSON object containing a textbook-grounded answer, an independent reasoning trace, and a short direct answer.</w:t>
      </w:r>
    </w:p>
    <w:p>
      <w:pPr>
        <w:pStyle w:val="ListBullet"/>
        <w:spacing w:after="60"/>
        <w:ind w:left="340"/>
        <w:jc w:val="both"/>
      </w:pPr>
      <w:r>
        <w:rPr>
          <w:b/>
          <w:sz w:val="21"/>
        </w:rPr>
        <w:t>The manipulation.</w:t>
      </w:r>
      <w:r>
        <w:rPr>
          <w:b w:val="0"/>
          <w:i w:val="0"/>
          <w:sz w:val="21"/>
        </w:rPr>
        <w:t xml:space="preserve"> The treatment renders the reasoning trace — problem breakdown, concept applied at each step, pedagogical justification, and the worked solution. The control renders the direct answer only. The arm is held on the participant’s server-side profile, and the API returns only the fields the assigned arm is entitled to see, so the manipulation cannot be inspected from the browser.</w:t>
      </w:r>
    </w:p>
    <w:p>
      <w:pPr>
        <w:pStyle w:val="ListBullet"/>
        <w:spacing w:after="60"/>
        <w:ind w:left="340"/>
        <w:jc w:val="both"/>
      </w:pPr>
      <w:r>
        <w:rPr>
          <w:b/>
          <w:sz w:val="21"/>
        </w:rPr>
        <w:t>Identical help policy.</w:t>
      </w:r>
      <w:r>
        <w:rPr>
          <w:b w:val="0"/>
          <w:i w:val="0"/>
          <w:sz w:val="21"/>
        </w:rPr>
        <w:t xml:space="preserve"> Neither arm restricts when help may be requested, how often, or in what form. Any difference between arms is therefore attributable to reasoning visibility rather than help availability.</w:t>
      </w:r>
    </w:p>
    <w:p>
      <w:pPr>
        <w:pStyle w:val="ListBullet"/>
        <w:spacing w:after="60"/>
        <w:ind w:left="340"/>
        <w:jc w:val="both"/>
      </w:pPr>
      <w:r>
        <w:rPr>
          <w:b/>
          <w:sz w:val="21"/>
        </w:rPr>
        <w:t>Real code execution.</w:t>
      </w:r>
      <w:r>
        <w:rPr>
          <w:b w:val="0"/>
          <w:i w:val="0"/>
          <w:sz w:val="21"/>
        </w:rPr>
        <w:t xml:space="preserve"> Student programs are genuinely compiled and run on the host, not simulated: C through a bundled Clang toolchain with real compiler diagnostics mapped to editor annotations, and HTML through an HTML5 parser plus CSS-selector requirement checks. Each run is isolated in a temporary directory under a three-second limit. Nothing about student code is sent to a third party for execution.</w:t>
      </w:r>
    </w:p>
    <w:p>
      <w:pPr>
        <w:pStyle w:val="ListBullet"/>
        <w:spacing w:after="60"/>
        <w:ind w:left="340"/>
        <w:jc w:val="both"/>
      </w:pPr>
      <w:r>
        <w:rPr>
          <w:b/>
          <w:sz w:val="21"/>
        </w:rPr>
        <w:t>Interaction logging.</w:t>
      </w:r>
      <w:r>
        <w:rPr>
          <w:b w:val="0"/>
          <w:i w:val="0"/>
          <w:sz w:val="21"/>
        </w:rPr>
        <w:t xml:space="preserve"> Every help request, code run and result, clipboard copy of AI-supplied code, assessment submission, workspace entry, and time-on-task interval is written to an append-only log table with the participant’s arm, the problem identifier, and a signed anonymous device identifier.</w:t>
      </w:r>
    </w:p>
    <w:p>
      <w:pPr>
        <w:spacing w:before="160" w:after="60"/>
        <w:jc w:val="center"/>
      </w:pPr>
      <w:r>
        <w:drawing>
          <wp:inline xmlns:a="http://schemas.openxmlformats.org/drawingml/2006/main" xmlns:pic="http://schemas.openxmlformats.org/drawingml/2006/picture">
            <wp:extent cx="5832000" cy="3809217"/>
            <wp:docPr id="1" name="Picture 1"/>
            <wp:cNvGraphicFramePr>
              <a:graphicFrameLocks noChangeAspect="1"/>
            </wp:cNvGraphicFramePr>
            <a:graphic>
              <a:graphicData uri="http://schemas.openxmlformats.org/drawingml/2006/picture">
                <pic:pic>
                  <pic:nvPicPr>
                    <pic:cNvPr id="0" name="fig1_architecture_v3.png"/>
                    <pic:cNvPicPr/>
                  </pic:nvPicPr>
                  <pic:blipFill>
                    <a:blip r:embed="rId10"/>
                    <a:stretch>
                      <a:fillRect/>
                    </a:stretch>
                  </pic:blipFill>
                  <pic:spPr>
                    <a:xfrm>
                      <a:off x="0" y="0"/>
                      <a:ext cx="5832000" cy="3809217"/>
                    </a:xfrm>
                    <a:prstGeom prst="rect"/>
                  </pic:spPr>
                </pic:pic>
              </a:graphicData>
            </a:graphic>
          </wp:inline>
        </w:drawing>
      </w:r>
    </w:p>
    <w:p>
      <w:pPr>
        <w:spacing w:after="240"/>
        <w:jc w:val="center"/>
      </w:pPr>
      <w:r>
        <w:rPr>
          <w:b/>
          <w:color w:val="5C6B80"/>
          <w:sz w:val="17"/>
        </w:rPr>
        <w:t>Figure 1.</w:t>
      </w:r>
      <w:r>
        <w:rPr>
          <w:b w:val="0"/>
          <w:i w:val="0"/>
          <w:color w:val="5C6B80"/>
          <w:sz w:val="17"/>
        </w:rPr>
        <w:t xml:space="preserve"> TRACE Tutor as implemented. (A) An offline pipeline transcribes the scanned NCTB textbook with a vision model, caches each page so a run can resume, chunks and tags the text, embeds it and stores it in a local vector index. (B) At run time the API retrieves the relevant passages, prompts a single pinned model, and returns only the fields the participant’s assigned arm is entitled to see. Research data, code execution and caching are all local to the deployment.</w:t>
      </w:r>
    </w:p>
    <w:p>
      <w:pPr>
        <w:pStyle w:val="Heading2"/>
      </w:pPr>
      <w:r>
        <w:t>4.4  Technology selection and justification</w:t>
      </w:r>
    </w:p>
    <w:p>
      <w:pPr>
        <w:spacing w:after="140"/>
        <w:jc w:val="both"/>
      </w:pPr>
      <w:r>
        <w:rPr>
          <w:b w:val="0"/>
          <w:i w:val="0"/>
          <w:sz w:val="21"/>
        </w:rPr>
        <w:t xml:space="preserve">Because the tutor is the measurement instrument, its engineering choices are methodological choices, and each core selection is therefore made explicit and criterion-based rather than by default. The selection criteria, in priority order, are: </w:t>
      </w:r>
      <w:r>
        <w:rPr>
          <w:b/>
          <w:sz w:val="21"/>
        </w:rPr>
        <w:t>(C1)</w:t>
      </w:r>
      <w:r>
        <w:rPr>
          <w:b w:val="0"/>
          <w:i w:val="0"/>
          <w:sz w:val="21"/>
        </w:rPr>
        <w:t xml:space="preserve"> fitness for a small, curriculum-scale corpus deployed in single proctored school sessions; </w:t>
      </w:r>
      <w:r>
        <w:rPr>
          <w:b/>
          <w:sz w:val="21"/>
        </w:rPr>
        <w:t>(C2)</w:t>
      </w:r>
      <w:r>
        <w:rPr>
          <w:b w:val="0"/>
          <w:i w:val="0"/>
          <w:sz w:val="21"/>
        </w:rPr>
        <w:t xml:space="preserve"> cost within a student research budget; </w:t>
      </w:r>
      <w:r>
        <w:rPr>
          <w:b/>
          <w:sz w:val="21"/>
        </w:rPr>
        <w:t>(C3)</w:t>
      </w:r>
      <w:r>
        <w:rPr>
          <w:b w:val="0"/>
          <w:i w:val="0"/>
          <w:sz w:val="21"/>
        </w:rPr>
        <w:t xml:space="preserve"> Bangla–English bilingual quality; </w:t>
      </w:r>
      <w:r>
        <w:rPr>
          <w:b/>
          <w:sz w:val="21"/>
        </w:rPr>
        <w:t>(C4)</w:t>
      </w:r>
      <w:r>
        <w:rPr>
          <w:b w:val="0"/>
          <w:i w:val="0"/>
          <w:sz w:val="21"/>
        </w:rPr>
        <w:t xml:space="preserve"> privacy appropriate to data from minors; </w:t>
      </w:r>
      <w:r>
        <w:rPr>
          <w:b/>
          <w:sz w:val="21"/>
        </w:rPr>
        <w:t>(C5)</w:t>
      </w:r>
      <w:r>
        <w:rPr>
          <w:b w:val="0"/>
          <w:i w:val="0"/>
          <w:sz w:val="21"/>
        </w:rPr>
        <w:t xml:space="preserve"> operational simplicity — no dedicated server administration or GPU hardware; and </w:t>
      </w:r>
      <w:r>
        <w:rPr>
          <w:b/>
          <w:sz w:val="21"/>
        </w:rPr>
        <w:t>(C6)</w:t>
      </w:r>
      <w:r>
        <w:rPr>
          <w:b w:val="0"/>
          <w:i w:val="0"/>
          <w:sz w:val="21"/>
        </w:rPr>
        <w:t xml:space="preserve"> reproducibility — pinnable versions and deterministic settings.</w:t>
      </w:r>
    </w:p>
    <w:p>
      <w:pPr>
        <w:pStyle w:val="Heading3"/>
      </w:pPr>
      <w:r>
        <w:t>4.4.1  Vector database: why ChromaDB</w:t>
      </w:r>
    </w:p>
    <w:p>
      <w:pPr>
        <w:spacing w:after="140"/>
        <w:jc w:val="both"/>
      </w:pPr>
      <w:r>
        <w:rPr>
          <w:b w:val="0"/>
          <w:i w:val="0"/>
          <w:sz w:val="21"/>
        </w:rPr>
        <w:t>The RAG index holds one textbook plus the syllabus and past board questions — on the order of a few thousand passages, queried by at most a classroom of concurrent users. At this scale the main advantages of heavyweight or managed vector platforms (horizontal scaling, multi-tenancy, replication) never activate, and an embedded local store becomes the rational choice. ChromaDB is used because it is open-source and free (C2); it runs inside the application process with on-disk persistence, so there is no separate server or container to administer during proctored school sessions (C1, C5); it supports the metadata the pipeline attaches to every chunk (chapter, page, language, source reference); and the index itself never leaves the machine (C4).</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1871"/>
            <w:shd w:val="clear" w:fill="1F3D6B"/>
          </w:tcPr>
          <w:p>
            <w:pPr>
              <w:spacing w:after="40" w:before="40"/>
            </w:pPr>
            <w:r/>
            <w:r>
              <w:rPr>
                <w:b/>
                <w:color w:val="FFFFFF"/>
                <w:sz w:val="18"/>
              </w:rPr>
              <w:t>Candidate</w:t>
            </w:r>
          </w:p>
        </w:tc>
        <w:tc>
          <w:tcPr>
            <w:tcW w:type="dxa" w:w="2211"/>
            <w:shd w:val="clear" w:fill="1F3D6B"/>
          </w:tcPr>
          <w:p>
            <w:pPr>
              <w:spacing w:after="40" w:before="40"/>
            </w:pPr>
            <w:r/>
            <w:r>
              <w:rPr>
                <w:b/>
                <w:color w:val="FFFFFF"/>
                <w:sz w:val="18"/>
              </w:rPr>
              <w:t>Deployment and cost</w:t>
            </w:r>
          </w:p>
        </w:tc>
        <w:tc>
          <w:tcPr>
            <w:tcW w:type="dxa" w:w="3572"/>
            <w:shd w:val="clear" w:fill="1F3D6B"/>
          </w:tcPr>
          <w:p>
            <w:pPr>
              <w:spacing w:after="40" w:before="40"/>
            </w:pPr>
            <w:r/>
            <w:r>
              <w:rPr>
                <w:b/>
                <w:color w:val="FFFFFF"/>
                <w:sz w:val="18"/>
              </w:rPr>
              <w:t>Assessment for this study</w:t>
            </w:r>
          </w:p>
        </w:tc>
        <w:tc>
          <w:tcPr>
            <w:tcW w:type="dxa" w:w="1531"/>
            <w:shd w:val="clear" w:fill="1F3D6B"/>
          </w:tcPr>
          <w:p>
            <w:pPr>
              <w:spacing w:after="40" w:before="40"/>
            </w:pPr>
            <w:r/>
            <w:r>
              <w:rPr>
                <w:b/>
                <w:color w:val="FFFFFF"/>
                <w:sz w:val="18"/>
              </w:rPr>
              <w:t>Decision</w:t>
            </w:r>
          </w:p>
        </w:tc>
      </w:tr>
      <w:tr>
        <w:tc>
          <w:tcPr>
            <w:tcW w:type="dxa" w:w="1871"/>
          </w:tcPr>
          <w:p>
            <w:pPr>
              <w:spacing w:after="40" w:before="40"/>
            </w:pPr>
            <w:r/>
            <w:r>
              <w:rPr>
                <w:b/>
                <w:sz w:val="18"/>
              </w:rPr>
              <w:t>ChromaDB</w:t>
            </w:r>
          </w:p>
        </w:tc>
        <w:tc>
          <w:tcPr>
            <w:tcW w:type="dxa" w:w="2211"/>
          </w:tcPr>
          <w:p>
            <w:pPr>
              <w:spacing w:after="40" w:before="40"/>
            </w:pPr>
            <w:r/>
            <w:r>
              <w:rPr>
                <w:b w:val="0"/>
                <w:i w:val="0"/>
                <w:sz w:val="18"/>
              </w:rPr>
              <w:t>Embedded in-process library; free, open-source; persists to local disk</w:t>
            </w:r>
          </w:p>
        </w:tc>
        <w:tc>
          <w:tcPr>
            <w:tcW w:type="dxa" w:w="3572"/>
          </w:tcPr>
          <w:p>
            <w:pPr>
              <w:spacing w:after="40" w:before="40"/>
            </w:pPr>
            <w:r/>
            <w:r>
              <w:rPr>
                <w:b w:val="0"/>
                <w:i w:val="0"/>
                <w:sz w:val="18"/>
              </w:rPr>
              <w:t>Meets all criteria: zero infrastructure, local index, metadata filtering, Python-native API — ample for a few-thousand-chunk corpus</w:t>
            </w:r>
          </w:p>
        </w:tc>
        <w:tc>
          <w:tcPr>
            <w:tcW w:type="dxa" w:w="1531"/>
          </w:tcPr>
          <w:p>
            <w:pPr>
              <w:spacing w:after="40" w:before="40"/>
            </w:pPr>
            <w:r/>
            <w:r>
              <w:rPr>
                <w:b/>
                <w:sz w:val="18"/>
              </w:rPr>
              <w:t>Selected</w:t>
            </w:r>
          </w:p>
        </w:tc>
      </w:tr>
      <w:tr>
        <w:tc>
          <w:tcPr>
            <w:tcW w:type="dxa" w:w="1871"/>
            <w:shd w:val="clear" w:fill="F4F6F9"/>
          </w:tcPr>
          <w:p>
            <w:pPr>
              <w:spacing w:after="40" w:before="40"/>
            </w:pPr>
            <w:r/>
            <w:r>
              <w:rPr>
                <w:b w:val="0"/>
                <w:i w:val="0"/>
                <w:sz w:val="18"/>
              </w:rPr>
              <w:t>FAISS</w:t>
            </w:r>
          </w:p>
        </w:tc>
        <w:tc>
          <w:tcPr>
            <w:tcW w:type="dxa" w:w="2211"/>
            <w:shd w:val="clear" w:fill="F4F6F9"/>
          </w:tcPr>
          <w:p>
            <w:pPr>
              <w:spacing w:after="40" w:before="40"/>
            </w:pPr>
            <w:r/>
            <w:r>
              <w:rPr>
                <w:b w:val="0"/>
                <w:i w:val="0"/>
                <w:sz w:val="18"/>
              </w:rPr>
              <w:t>In-process similarity-search library; free</w:t>
            </w:r>
          </w:p>
        </w:tc>
        <w:tc>
          <w:tcPr>
            <w:tcW w:type="dxa" w:w="3572"/>
            <w:shd w:val="clear" w:fill="F4F6F9"/>
          </w:tcPr>
          <w:p>
            <w:pPr>
              <w:spacing w:after="40" w:before="40"/>
            </w:pPr>
            <w:r/>
            <w:r>
              <w:rPr>
                <w:b w:val="0"/>
                <w:i w:val="0"/>
                <w:sz w:val="18"/>
              </w:rPr>
              <w:t>Excellent raw speed, but a library rather than a database: no persistence layer, metadata filtering or document management without custom code, for no benefit at this scale</w:t>
            </w:r>
          </w:p>
        </w:tc>
        <w:tc>
          <w:tcPr>
            <w:tcW w:type="dxa" w:w="1531"/>
            <w:shd w:val="clear" w:fill="F4F6F9"/>
          </w:tcPr>
          <w:p>
            <w:pPr>
              <w:spacing w:after="40" w:before="40"/>
            </w:pPr>
            <w:r/>
            <w:r>
              <w:rPr>
                <w:b w:val="0"/>
                <w:i w:val="0"/>
                <w:sz w:val="18"/>
              </w:rPr>
              <w:t>Rejected (C1, C5)</w:t>
            </w:r>
          </w:p>
        </w:tc>
      </w:tr>
      <w:tr>
        <w:tc>
          <w:tcPr>
            <w:tcW w:type="dxa" w:w="1871"/>
          </w:tcPr>
          <w:p>
            <w:pPr>
              <w:spacing w:after="40" w:before="40"/>
            </w:pPr>
            <w:r/>
            <w:r>
              <w:rPr>
                <w:b w:val="0"/>
                <w:i w:val="0"/>
                <w:sz w:val="18"/>
              </w:rPr>
              <w:t>Pinecone</w:t>
            </w:r>
          </w:p>
        </w:tc>
        <w:tc>
          <w:tcPr>
            <w:tcW w:type="dxa" w:w="2211"/>
          </w:tcPr>
          <w:p>
            <w:pPr>
              <w:spacing w:after="40" w:before="40"/>
            </w:pPr>
            <w:r/>
            <w:r>
              <w:rPr>
                <w:b w:val="0"/>
                <w:i w:val="0"/>
                <w:sz w:val="18"/>
              </w:rPr>
              <w:t>Managed cloud service; usage-based pricing</w:t>
            </w:r>
          </w:p>
        </w:tc>
        <w:tc>
          <w:tcPr>
            <w:tcW w:type="dxa" w:w="3572"/>
          </w:tcPr>
          <w:p>
            <w:pPr>
              <w:spacing w:after="40" w:before="40"/>
            </w:pPr>
            <w:r/>
            <w:r>
              <w:rPr>
                <w:b w:val="0"/>
                <w:i w:val="0"/>
                <w:sz w:val="18"/>
              </w:rPr>
              <w:t>Effortless scaling, but recurring cost, internet dependency during sessions, and index traffic leaving the country — unnecessary for a small, static corpus</w:t>
            </w:r>
          </w:p>
        </w:tc>
        <w:tc>
          <w:tcPr>
            <w:tcW w:type="dxa" w:w="1531"/>
          </w:tcPr>
          <w:p>
            <w:pPr>
              <w:spacing w:after="40" w:before="40"/>
            </w:pPr>
            <w:r/>
            <w:r>
              <w:rPr>
                <w:b w:val="0"/>
                <w:i w:val="0"/>
                <w:sz w:val="18"/>
              </w:rPr>
              <w:t>Rejected (C2, C4)</w:t>
            </w:r>
          </w:p>
        </w:tc>
      </w:tr>
      <w:tr>
        <w:tc>
          <w:tcPr>
            <w:tcW w:type="dxa" w:w="1871"/>
            <w:shd w:val="clear" w:fill="F4F6F9"/>
          </w:tcPr>
          <w:p>
            <w:pPr>
              <w:spacing w:after="40" w:before="40"/>
            </w:pPr>
            <w:r/>
            <w:r>
              <w:rPr>
                <w:b w:val="0"/>
                <w:i w:val="0"/>
                <w:sz w:val="18"/>
              </w:rPr>
              <w:t>Qdrant / Weaviate / Milvus</w:t>
            </w:r>
          </w:p>
        </w:tc>
        <w:tc>
          <w:tcPr>
            <w:tcW w:type="dxa" w:w="2211"/>
            <w:shd w:val="clear" w:fill="F4F6F9"/>
          </w:tcPr>
          <w:p>
            <w:pPr>
              <w:spacing w:after="40" w:before="40"/>
            </w:pPr>
            <w:r/>
            <w:r>
              <w:rPr>
                <w:b w:val="0"/>
                <w:i w:val="0"/>
                <w:sz w:val="18"/>
              </w:rPr>
              <w:t>Self-hosted servers (Docker); free tiers</w:t>
            </w:r>
          </w:p>
        </w:tc>
        <w:tc>
          <w:tcPr>
            <w:tcW w:type="dxa" w:w="3572"/>
            <w:shd w:val="clear" w:fill="F4F6F9"/>
          </w:tcPr>
          <w:p>
            <w:pPr>
              <w:spacing w:after="40" w:before="40"/>
            </w:pPr>
            <w:r/>
            <w:r>
              <w:rPr>
                <w:b w:val="0"/>
                <w:i w:val="0"/>
                <w:sz w:val="18"/>
              </w:rPr>
              <w:t>Production features aimed at large multi-tenant corpora; add deployment effort and failure surface a single-site study does not need</w:t>
            </w:r>
          </w:p>
        </w:tc>
        <w:tc>
          <w:tcPr>
            <w:tcW w:type="dxa" w:w="1531"/>
            <w:shd w:val="clear" w:fill="F4F6F9"/>
          </w:tcPr>
          <w:p>
            <w:pPr>
              <w:spacing w:after="40" w:before="40"/>
            </w:pPr>
            <w:r/>
            <w:r>
              <w:rPr>
                <w:b w:val="0"/>
                <w:i w:val="0"/>
                <w:sz w:val="18"/>
              </w:rPr>
              <w:t>Rejected (C5)</w:t>
            </w:r>
          </w:p>
        </w:tc>
      </w:tr>
      <w:tr>
        <w:tc>
          <w:tcPr>
            <w:tcW w:type="dxa" w:w="1871"/>
          </w:tcPr>
          <w:p>
            <w:pPr>
              <w:spacing w:after="40" w:before="40"/>
            </w:pPr>
            <w:r/>
            <w:r>
              <w:rPr>
                <w:b w:val="0"/>
                <w:i w:val="0"/>
                <w:sz w:val="18"/>
              </w:rPr>
              <w:t>pgvector</w:t>
            </w:r>
          </w:p>
        </w:tc>
        <w:tc>
          <w:tcPr>
            <w:tcW w:type="dxa" w:w="2211"/>
          </w:tcPr>
          <w:p>
            <w:pPr>
              <w:spacing w:after="40" w:before="40"/>
            </w:pPr>
            <w:r/>
            <w:r>
              <w:rPr>
                <w:b w:val="0"/>
                <w:i w:val="0"/>
                <w:sz w:val="18"/>
              </w:rPr>
              <w:t>Extension to a PostgreSQL server; free</w:t>
            </w:r>
          </w:p>
        </w:tc>
        <w:tc>
          <w:tcPr>
            <w:tcW w:type="dxa" w:w="3572"/>
          </w:tcPr>
          <w:p>
            <w:pPr>
              <w:spacing w:after="40" w:before="40"/>
            </w:pPr>
            <w:r/>
            <w:r>
              <w:rPr>
                <w:b w:val="0"/>
                <w:i w:val="0"/>
                <w:sz w:val="18"/>
              </w:rPr>
              <w:t>Sensible where Postgres already holds the vectors; here the corpus is static and read-only, so an embedded store avoids coupling retrieval to the research database</w:t>
            </w:r>
          </w:p>
        </w:tc>
        <w:tc>
          <w:tcPr>
            <w:tcW w:type="dxa" w:w="1531"/>
          </w:tcPr>
          <w:p>
            <w:pPr>
              <w:spacing w:after="40" w:before="40"/>
            </w:pPr>
            <w:r/>
            <w:r>
              <w:rPr>
                <w:b w:val="0"/>
                <w:i w:val="0"/>
                <w:sz w:val="18"/>
              </w:rPr>
              <w:t>Rejected (C5)</w:t>
            </w:r>
          </w:p>
        </w:tc>
      </w:tr>
    </w:tbl>
    <w:p>
      <w:pPr>
        <w:spacing w:after="80"/>
      </w:pPr>
    </w:p>
    <w:p>
      <w:pPr>
        <w:pStyle w:val="Heading3"/>
      </w:pPr>
      <w:r>
        <w:t>4.4.2  Generation and embedding models</w:t>
      </w:r>
    </w:p>
    <w:p>
      <w:pPr>
        <w:spacing w:after="140"/>
        <w:jc w:val="both"/>
      </w:pPr>
      <w:r>
        <w:rPr>
          <w:b w:val="0"/>
          <w:i w:val="0"/>
          <w:sz w:val="21"/>
        </w:rPr>
        <w:t>The experimental manipulation requires one model, held constant across arms, that (i) follows structured-output instructions reliably enough to emit the reasoning-trace schema every turn, (ii) writes fluent instructional Bangla as well as English, (iii) fits a student budget across development, piloting, and roughly sixty participant sessions, and (iv) can be version-pinned with fixed decoding settings for reproducibility. Google’s Gemini Flash tier is used: it combines a free developer tier for the build-and-pilot phase with among the lowest paid rates for the study itself, strong multilingual performance including Bangla, a long context window that comfortably fits retrieved passages plus the trace schema, configurable safety settings appropriate for minors, and a stable managed API. The same provider supplies the vision capability the OCR pipeline depends on (§4.5) and the embedding model, which removes a second vendor from the stack.</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1871"/>
            <w:shd w:val="clear" w:fill="1F3D6B"/>
          </w:tcPr>
          <w:p>
            <w:pPr>
              <w:spacing w:after="40" w:before="40"/>
            </w:pPr>
            <w:r/>
            <w:r>
              <w:rPr>
                <w:b/>
                <w:color w:val="FFFFFF"/>
                <w:sz w:val="18"/>
              </w:rPr>
              <w:t>Candidate</w:t>
            </w:r>
          </w:p>
        </w:tc>
        <w:tc>
          <w:tcPr>
            <w:tcW w:type="dxa" w:w="2041"/>
            <w:shd w:val="clear" w:fill="1F3D6B"/>
          </w:tcPr>
          <w:p>
            <w:pPr>
              <w:spacing w:after="40" w:before="40"/>
            </w:pPr>
            <w:r/>
            <w:r>
              <w:rPr>
                <w:b/>
                <w:color w:val="FFFFFF"/>
                <w:sz w:val="18"/>
              </w:rPr>
              <w:t>Cost and access</w:t>
            </w:r>
          </w:p>
        </w:tc>
        <w:tc>
          <w:tcPr>
            <w:tcW w:type="dxa" w:w="3742"/>
            <w:shd w:val="clear" w:fill="1F3D6B"/>
          </w:tcPr>
          <w:p>
            <w:pPr>
              <w:spacing w:after="40" w:before="40"/>
            </w:pPr>
            <w:r/>
            <w:r>
              <w:rPr>
                <w:b/>
                <w:color w:val="FFFFFF"/>
                <w:sz w:val="18"/>
              </w:rPr>
              <w:t>Assessment for this study</w:t>
            </w:r>
          </w:p>
        </w:tc>
        <w:tc>
          <w:tcPr>
            <w:tcW w:type="dxa" w:w="1531"/>
            <w:shd w:val="clear" w:fill="1F3D6B"/>
          </w:tcPr>
          <w:p>
            <w:pPr>
              <w:spacing w:after="40" w:before="40"/>
            </w:pPr>
            <w:r/>
            <w:r>
              <w:rPr>
                <w:b/>
                <w:color w:val="FFFFFF"/>
                <w:sz w:val="18"/>
              </w:rPr>
              <w:t>Decision</w:t>
            </w:r>
          </w:p>
        </w:tc>
      </w:tr>
      <w:tr>
        <w:tc>
          <w:tcPr>
            <w:tcW w:type="dxa" w:w="1871"/>
          </w:tcPr>
          <w:p>
            <w:pPr>
              <w:spacing w:after="40" w:before="40"/>
            </w:pPr>
            <w:r/>
            <w:r>
              <w:rPr>
                <w:b/>
                <w:sz w:val="18"/>
              </w:rPr>
              <w:t>Gemini Flash tier (Google)</w:t>
            </w:r>
          </w:p>
        </w:tc>
        <w:tc>
          <w:tcPr>
            <w:tcW w:type="dxa" w:w="2041"/>
          </w:tcPr>
          <w:p>
            <w:pPr>
              <w:spacing w:after="40" w:before="40"/>
            </w:pPr>
            <w:r/>
            <w:r>
              <w:rPr>
                <w:b w:val="0"/>
                <w:i w:val="0"/>
                <w:sz w:val="18"/>
              </w:rPr>
              <w:t>Free developer tier; among the lowest paid rates; managed API</w:t>
            </w:r>
          </w:p>
        </w:tc>
        <w:tc>
          <w:tcPr>
            <w:tcW w:type="dxa" w:w="3742"/>
          </w:tcPr>
          <w:p>
            <w:pPr>
              <w:spacing w:after="40" w:before="40"/>
            </w:pPr>
            <w:r/>
            <w:r>
              <w:rPr>
                <w:b w:val="0"/>
                <w:i w:val="0"/>
                <w:sz w:val="18"/>
              </w:rPr>
              <w:t>Reliable JSON-mode compliance for the reasoning-trace schema; strong Bangla (C3); long context; configurable safety settings (C4); version-pinnable (C6); free tier absorbs development cost (C2); the same API provides vision OCR and embeddings</w:t>
            </w:r>
          </w:p>
        </w:tc>
        <w:tc>
          <w:tcPr>
            <w:tcW w:type="dxa" w:w="1531"/>
          </w:tcPr>
          <w:p>
            <w:pPr>
              <w:spacing w:after="40" w:before="40"/>
            </w:pPr>
            <w:r/>
            <w:r>
              <w:rPr>
                <w:b/>
                <w:sz w:val="18"/>
              </w:rPr>
              <w:t>Selected</w:t>
            </w:r>
          </w:p>
        </w:tc>
      </w:tr>
      <w:tr>
        <w:tc>
          <w:tcPr>
            <w:tcW w:type="dxa" w:w="1871"/>
            <w:shd w:val="clear" w:fill="F4F6F9"/>
          </w:tcPr>
          <w:p>
            <w:pPr>
              <w:spacing w:after="40" w:before="40"/>
            </w:pPr>
            <w:r/>
            <w:r>
              <w:rPr>
                <w:b w:val="0"/>
                <w:i w:val="0"/>
                <w:sz w:val="18"/>
              </w:rPr>
              <w:t>GPT-5 mini (OpenAI)</w:t>
            </w:r>
          </w:p>
        </w:tc>
        <w:tc>
          <w:tcPr>
            <w:tcW w:type="dxa" w:w="2041"/>
            <w:shd w:val="clear" w:fill="F4F6F9"/>
          </w:tcPr>
          <w:p>
            <w:pPr>
              <w:spacing w:after="40" w:before="40"/>
            </w:pPr>
            <w:r/>
            <w:r>
              <w:rPr>
                <w:b w:val="0"/>
                <w:i w:val="0"/>
                <w:sz w:val="18"/>
              </w:rPr>
              <w:t>Low-cost paid tier; no dependable free tier</w:t>
            </w:r>
          </w:p>
        </w:tc>
        <w:tc>
          <w:tcPr>
            <w:tcW w:type="dxa" w:w="3742"/>
            <w:shd w:val="clear" w:fill="F4F6F9"/>
          </w:tcPr>
          <w:p>
            <w:pPr>
              <w:spacing w:after="40" w:before="40"/>
            </w:pPr>
            <w:r/>
            <w:r>
              <w:rPr>
                <w:b w:val="0"/>
                <w:i w:val="0"/>
                <w:sz w:val="18"/>
              </w:rPr>
              <w:t>Comparable instruction-following and quality; the natural fallback if the selected provider’s pricing or availability changes</w:t>
            </w:r>
          </w:p>
        </w:tc>
        <w:tc>
          <w:tcPr>
            <w:tcW w:type="dxa" w:w="1531"/>
            <w:shd w:val="clear" w:fill="F4F6F9"/>
          </w:tcPr>
          <w:p>
            <w:pPr>
              <w:spacing w:after="40" w:before="40"/>
            </w:pPr>
            <w:r/>
            <w:r>
              <w:rPr>
                <w:b w:val="0"/>
                <w:i w:val="0"/>
                <w:sz w:val="18"/>
              </w:rPr>
              <w:t>Fallback</w:t>
            </w:r>
          </w:p>
        </w:tc>
      </w:tr>
      <w:tr>
        <w:tc>
          <w:tcPr>
            <w:tcW w:type="dxa" w:w="1871"/>
          </w:tcPr>
          <w:p>
            <w:pPr>
              <w:spacing w:after="40" w:before="40"/>
            </w:pPr>
            <w:r/>
            <w:r>
              <w:rPr>
                <w:b w:val="0"/>
                <w:i w:val="0"/>
                <w:sz w:val="18"/>
              </w:rPr>
              <w:t>Claude (Anthropic)</w:t>
            </w:r>
          </w:p>
        </w:tc>
        <w:tc>
          <w:tcPr>
            <w:tcW w:type="dxa" w:w="2041"/>
          </w:tcPr>
          <w:p>
            <w:pPr>
              <w:spacing w:after="40" w:before="40"/>
            </w:pPr>
            <w:r/>
            <w:r>
              <w:rPr>
                <w:b w:val="0"/>
                <w:i w:val="0"/>
                <w:sz w:val="18"/>
              </w:rPr>
              <w:t>Low–mid cost; no free API tier</w:t>
            </w:r>
          </w:p>
        </w:tc>
        <w:tc>
          <w:tcPr>
            <w:tcW w:type="dxa" w:w="3742"/>
          </w:tcPr>
          <w:p>
            <w:pPr>
              <w:spacing w:after="40" w:before="40"/>
            </w:pPr>
            <w:r/>
            <w:r>
              <w:rPr>
                <w:b w:val="0"/>
                <w:i w:val="0"/>
                <w:sz w:val="18"/>
              </w:rPr>
              <w:t>High-quality, well-structured explanatory prose — attractive for reasoning traces — but no free tier for the build phase, and the mid tier exceeds the project budget for the full study</w:t>
            </w:r>
          </w:p>
        </w:tc>
        <w:tc>
          <w:tcPr>
            <w:tcW w:type="dxa" w:w="1531"/>
          </w:tcPr>
          <w:p>
            <w:pPr>
              <w:spacing w:after="40" w:before="40"/>
            </w:pPr>
            <w:r/>
            <w:r>
              <w:rPr>
                <w:b w:val="0"/>
                <w:i w:val="0"/>
                <w:sz w:val="18"/>
              </w:rPr>
              <w:t>Rejected (C2)</w:t>
            </w:r>
          </w:p>
        </w:tc>
      </w:tr>
      <w:tr>
        <w:tc>
          <w:tcPr>
            <w:tcW w:type="dxa" w:w="1871"/>
            <w:shd w:val="clear" w:fill="F4F6F9"/>
          </w:tcPr>
          <w:p>
            <w:pPr>
              <w:spacing w:after="40" w:before="40"/>
            </w:pPr>
            <w:r/>
            <w:r>
              <w:rPr>
                <w:b w:val="0"/>
                <w:i w:val="0"/>
                <w:sz w:val="18"/>
              </w:rPr>
              <w:t>DeepSeek (V3-series)</w:t>
            </w:r>
          </w:p>
        </w:tc>
        <w:tc>
          <w:tcPr>
            <w:tcW w:type="dxa" w:w="2041"/>
            <w:shd w:val="clear" w:fill="F4F6F9"/>
          </w:tcPr>
          <w:p>
            <w:pPr>
              <w:spacing w:after="40" w:before="40"/>
            </w:pPr>
            <w:r/>
            <w:r>
              <w:rPr>
                <w:b w:val="0"/>
                <w:i w:val="0"/>
                <w:sz w:val="18"/>
              </w:rPr>
              <w:t>Cheapest per-token rates on the market</w:t>
            </w:r>
          </w:p>
        </w:tc>
        <w:tc>
          <w:tcPr>
            <w:tcW w:type="dxa" w:w="3742"/>
            <w:shd w:val="clear" w:fill="F4F6F9"/>
          </w:tcPr>
          <w:p>
            <w:pPr>
              <w:spacing w:after="40" w:before="40"/>
            </w:pPr>
            <w:r/>
            <w:r>
              <w:rPr>
                <w:b w:val="0"/>
                <w:i w:val="0"/>
                <w:sz w:val="18"/>
              </w:rPr>
              <w:t>Strong raw reasoning, but weaker Bangla generation (C3) and open questions about data handling for prompts from minors (C4); API-stability incidents are a risk for fixed proctored sessions</w:t>
            </w:r>
          </w:p>
        </w:tc>
        <w:tc>
          <w:tcPr>
            <w:tcW w:type="dxa" w:w="1531"/>
            <w:shd w:val="clear" w:fill="F4F6F9"/>
          </w:tcPr>
          <w:p>
            <w:pPr>
              <w:spacing w:after="40" w:before="40"/>
            </w:pPr>
            <w:r/>
            <w:r>
              <w:rPr>
                <w:b w:val="0"/>
                <w:i w:val="0"/>
                <w:sz w:val="18"/>
              </w:rPr>
              <w:t>Rejected (C3, C4)</w:t>
            </w:r>
          </w:p>
        </w:tc>
      </w:tr>
      <w:tr>
        <w:tc>
          <w:tcPr>
            <w:tcW w:type="dxa" w:w="1871"/>
          </w:tcPr>
          <w:p>
            <w:pPr>
              <w:spacing w:after="40" w:before="40"/>
            </w:pPr>
            <w:r/>
            <w:r>
              <w:rPr>
                <w:b w:val="0"/>
                <w:i w:val="0"/>
                <w:sz w:val="18"/>
              </w:rPr>
              <w:t>Open-weights, self-hosted</w:t>
            </w:r>
          </w:p>
        </w:tc>
        <w:tc>
          <w:tcPr>
            <w:tcW w:type="dxa" w:w="2041"/>
          </w:tcPr>
          <w:p>
            <w:pPr>
              <w:spacing w:after="40" w:before="40"/>
            </w:pPr>
            <w:r/>
            <w:r>
              <w:rPr>
                <w:b w:val="0"/>
                <w:i w:val="0"/>
                <w:sz w:val="18"/>
              </w:rPr>
              <w:t>Free weights; requires GPU hosting</w:t>
            </w:r>
          </w:p>
        </w:tc>
        <w:tc>
          <w:tcPr>
            <w:tcW w:type="dxa" w:w="3742"/>
          </w:tcPr>
          <w:p>
            <w:pPr>
              <w:spacing w:after="40" w:before="40"/>
            </w:pPr>
            <w:r/>
            <w:r>
              <w:rPr>
                <w:b w:val="0"/>
                <w:i w:val="0"/>
                <w:sz w:val="18"/>
              </w:rPr>
              <w:t>Maximum privacy, but the project has no GPU infrastructure (C5), and locally-runnable variants risk confounding the study with model-quality artefacts, especially in Bangla (C3)</w:t>
            </w:r>
          </w:p>
        </w:tc>
        <w:tc>
          <w:tcPr>
            <w:tcW w:type="dxa" w:w="1531"/>
          </w:tcPr>
          <w:p>
            <w:pPr>
              <w:spacing w:after="40" w:before="40"/>
            </w:pPr>
            <w:r/>
            <w:r>
              <w:rPr>
                <w:b w:val="0"/>
                <w:i w:val="0"/>
                <w:sz w:val="18"/>
              </w:rPr>
              <w:t>Rejected (C5, C3)</w:t>
            </w:r>
          </w:p>
        </w:tc>
      </w:tr>
    </w:tbl>
    <w:p>
      <w:pPr>
        <w:spacing w:after="80"/>
      </w:pPr>
    </w:p>
    <w:p>
      <w:pPr>
        <w:spacing w:after="140"/>
        <w:jc w:val="both"/>
      </w:pPr>
      <w:r>
        <w:rPr>
          <w:b/>
          <w:sz w:val="21"/>
        </w:rPr>
        <w:t>Embedding model.</w:t>
      </w:r>
      <w:r>
        <w:rPr>
          <w:b w:val="0"/>
          <w:i w:val="0"/>
          <w:sz w:val="21"/>
        </w:rPr>
        <w:t xml:space="preserve"> Retrieval quality in a bilingual corpus depends on the embedding model at least as much as on the store. The system uses the provider’s hosted multilingual embedding model at 768 dimensions, chosen for Bangla coverage (C3) and for keeping the stack to a single vendor and no local GPU (C5). Because the vector for a given text never changes, query embeddings are cached for thirty days, so a repeated question costs no further API call. An open-weights local alternative (BGE-M3) was evaluated and remains the fallback should the hosted model prove unsuitable; the trade-off is that with the hosted model the query text, though never the participant’s identity, is transmitted to the provider (see §5).</w:t>
      </w:r>
    </w:p>
    <w:p>
      <w:pPr>
        <w:spacing w:after="140"/>
        <w:jc w:val="both"/>
      </w:pPr>
      <w:r>
        <w:rPr>
          <w:b/>
          <w:sz w:val="21"/>
        </w:rPr>
        <w:t>Two clarifications keep this choice methodologically clean.</w:t>
      </w:r>
      <w:r>
        <w:rPr>
          <w:b w:val="0"/>
          <w:i w:val="0"/>
          <w:sz w:val="21"/>
        </w:rPr>
        <w:t xml:space="preserve"> First, the model is a platform, not a variable: both arms call the identical pinned model with identical retrieval and identical guardrails, so no between-arm comparison depends on which vendor was chosen. Second, the temperature and decoding parameters are fixed and reported, and the exact model version string is frozen for the duration of the study. The platform supports an automatic fallback to a secondary model when the primary is rate-limited; </w:t>
      </w:r>
      <w:r>
        <w:rPr>
          <w:b/>
          <w:sz w:val="21"/>
        </w:rPr>
        <w:t>this fallback is disabled for the study</w:t>
      </w:r>
      <w:r>
        <w:rPr>
          <w:b w:val="0"/>
          <w:i w:val="0"/>
          <w:sz w:val="21"/>
        </w:rPr>
        <w:t>, because a participant served by a different model would be a confound, and the model actually used is recorded with every logged turn so the constraint can be verified after the fact rather than assumed.</w:t>
      </w:r>
    </w:p>
    <w:p>
      <w:pPr>
        <w:pStyle w:val="Heading3"/>
      </w:pPr>
      <w:r>
        <w:t>4.4.3  Application stack and data stores</w:t>
      </w:r>
    </w:p>
    <w:p>
      <w:pPr>
        <w:spacing w:after="140"/>
        <w:jc w:val="both"/>
      </w:pPr>
      <w:r>
        <w:rPr>
          <w:b w:val="0"/>
          <w:i w:val="0"/>
          <w:sz w:val="21"/>
        </w:rPr>
        <w:t>The application is a Django 5 REST API with token authentication, served alongside a React 18 single-page front end. Two stores sit behind it, chosen on the same criteria.</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871"/>
            <w:shd w:val="clear" w:fill="1F3D6B"/>
          </w:tcPr>
          <w:p>
            <w:pPr>
              <w:spacing w:after="40" w:before="40"/>
            </w:pPr>
            <w:r/>
            <w:r>
              <w:rPr>
                <w:b/>
                <w:color w:val="FFFFFF"/>
                <w:sz w:val="18"/>
              </w:rPr>
              <w:t>Component</w:t>
            </w:r>
          </w:p>
        </w:tc>
        <w:tc>
          <w:tcPr>
            <w:tcW w:type="dxa" w:w="2381"/>
            <w:shd w:val="clear" w:fill="1F3D6B"/>
          </w:tcPr>
          <w:p>
            <w:pPr>
              <w:spacing w:after="40" w:before="40"/>
            </w:pPr>
            <w:r/>
            <w:r>
              <w:rPr>
                <w:b/>
                <w:color w:val="FFFFFF"/>
                <w:sz w:val="18"/>
              </w:rPr>
              <w:t>Choice</w:t>
            </w:r>
          </w:p>
        </w:tc>
        <w:tc>
          <w:tcPr>
            <w:tcW w:type="dxa" w:w="4932"/>
            <w:shd w:val="clear" w:fill="1F3D6B"/>
          </w:tcPr>
          <w:p>
            <w:pPr>
              <w:spacing w:after="40" w:before="40"/>
            </w:pPr>
            <w:r/>
            <w:r>
              <w:rPr>
                <w:b/>
                <w:color w:val="FFFFFF"/>
                <w:sz w:val="18"/>
              </w:rPr>
              <w:t>Why</w:t>
            </w:r>
          </w:p>
        </w:tc>
      </w:tr>
      <w:tr>
        <w:tc>
          <w:tcPr>
            <w:tcW w:type="dxa" w:w="1871"/>
          </w:tcPr>
          <w:p>
            <w:pPr>
              <w:spacing w:after="40" w:before="40"/>
            </w:pPr>
            <w:r/>
            <w:r>
              <w:rPr>
                <w:b w:val="0"/>
                <w:i w:val="0"/>
                <w:sz w:val="18"/>
              </w:rPr>
              <w:t>Research database</w:t>
            </w:r>
          </w:p>
        </w:tc>
        <w:tc>
          <w:tcPr>
            <w:tcW w:type="dxa" w:w="2381"/>
          </w:tcPr>
          <w:p>
            <w:pPr>
              <w:spacing w:after="40" w:before="40"/>
            </w:pPr>
            <w:r/>
            <w:r>
              <w:rPr>
                <w:b w:val="0"/>
                <w:i w:val="0"/>
                <w:sz w:val="18"/>
              </w:rPr>
              <w:t>PostgreSQL</w:t>
            </w:r>
          </w:p>
        </w:tc>
        <w:tc>
          <w:tcPr>
            <w:tcW w:type="dxa" w:w="4932"/>
          </w:tcPr>
          <w:p>
            <w:pPr>
              <w:spacing w:after="40" w:before="40"/>
            </w:pPr>
            <w:r/>
            <w:r>
              <w:rPr>
                <w:b w:val="0"/>
                <w:i w:val="0"/>
                <w:sz w:val="18"/>
              </w:rPr>
              <w:t>Participants, interaction logs, exam submissions and expert ratings are concurrent, relational and must survive a crash mid-session. An embedded file database was the initial choice, but the OCR ingestion runs as a background thread while participants are active, and a server database removes the writer-lock contention that caused. Self-hosted, so participant data stays on institutional hardware (C4).</w:t>
            </w:r>
          </w:p>
        </w:tc>
      </w:tr>
      <w:tr>
        <w:tc>
          <w:tcPr>
            <w:tcW w:type="dxa" w:w="1871"/>
            <w:shd w:val="clear" w:fill="F4F6F9"/>
          </w:tcPr>
          <w:p>
            <w:pPr>
              <w:spacing w:after="40" w:before="40"/>
            </w:pPr>
            <w:r/>
            <w:r>
              <w:rPr>
                <w:b w:val="0"/>
                <w:i w:val="0"/>
                <w:sz w:val="18"/>
              </w:rPr>
              <w:t>Cache</w:t>
            </w:r>
          </w:p>
        </w:tc>
        <w:tc>
          <w:tcPr>
            <w:tcW w:type="dxa" w:w="2381"/>
            <w:shd w:val="clear" w:fill="F4F6F9"/>
          </w:tcPr>
          <w:p>
            <w:pPr>
              <w:spacing w:after="40" w:before="40"/>
            </w:pPr>
            <w:r/>
            <w:r>
              <w:rPr>
                <w:b w:val="0"/>
                <w:i w:val="0"/>
                <w:sz w:val="18"/>
              </w:rPr>
              <w:t>Two tiers: in-process memory, plus a database-backed tier</w:t>
            </w:r>
          </w:p>
        </w:tc>
        <w:tc>
          <w:tcPr>
            <w:tcW w:type="dxa" w:w="4932"/>
            <w:shd w:val="clear" w:fill="F4F6F9"/>
          </w:tcPr>
          <w:p>
            <w:pPr>
              <w:spacing w:after="40" w:before="40"/>
            </w:pPr>
            <w:r/>
            <w:r>
              <w:rPr>
                <w:b w:val="0"/>
                <w:i w:val="0"/>
                <w:sz w:val="18"/>
              </w:rPr>
              <w:t>Dashboard summaries and index status are hot and disposable (memory). Tutor answers and query embeddings are expensive and stable, so they persist across restarts and are shared between processes — a repeated question costs no API quota, which materially affects whether sixty sessions fit the budget (C2).</w:t>
            </w:r>
          </w:p>
        </w:tc>
      </w:tr>
      <w:tr>
        <w:tc>
          <w:tcPr>
            <w:tcW w:type="dxa" w:w="1871"/>
          </w:tcPr>
          <w:p>
            <w:pPr>
              <w:spacing w:after="40" w:before="40"/>
            </w:pPr>
            <w:r/>
            <w:r>
              <w:rPr>
                <w:b w:val="0"/>
                <w:i w:val="0"/>
                <w:sz w:val="18"/>
              </w:rPr>
              <w:t>Vector index</w:t>
            </w:r>
          </w:p>
        </w:tc>
        <w:tc>
          <w:tcPr>
            <w:tcW w:type="dxa" w:w="2381"/>
          </w:tcPr>
          <w:p>
            <w:pPr>
              <w:spacing w:after="40" w:before="40"/>
            </w:pPr>
            <w:r/>
            <w:r>
              <w:rPr>
                <w:b w:val="0"/>
                <w:i w:val="0"/>
                <w:sz w:val="18"/>
              </w:rPr>
              <w:t>ChromaDB, on disk</w:t>
            </w:r>
          </w:p>
        </w:tc>
        <w:tc>
          <w:tcPr>
            <w:tcW w:type="dxa" w:w="4932"/>
          </w:tcPr>
          <w:p>
            <w:pPr>
              <w:spacing w:after="40" w:before="40"/>
            </w:pPr>
            <w:r/>
            <w:r>
              <w:rPr>
                <w:b w:val="0"/>
                <w:i w:val="0"/>
                <w:sz w:val="18"/>
              </w:rPr>
              <w:t>See §4.4.1. Read-only during the study and rebuilt only when the corpus changes.</w:t>
            </w:r>
          </w:p>
        </w:tc>
      </w:tr>
      <w:tr>
        <w:tc>
          <w:tcPr>
            <w:tcW w:type="dxa" w:w="1871"/>
            <w:shd w:val="clear" w:fill="F4F6F9"/>
          </w:tcPr>
          <w:p>
            <w:pPr>
              <w:spacing w:after="40" w:before="40"/>
            </w:pPr>
            <w:r/>
            <w:r>
              <w:rPr>
                <w:b w:val="0"/>
                <w:i w:val="0"/>
                <w:sz w:val="18"/>
              </w:rPr>
              <w:t>Session and identity</w:t>
            </w:r>
          </w:p>
        </w:tc>
        <w:tc>
          <w:tcPr>
            <w:tcW w:type="dxa" w:w="2381"/>
            <w:shd w:val="clear" w:fill="F4F6F9"/>
          </w:tcPr>
          <w:p>
            <w:pPr>
              <w:spacing w:after="40" w:before="40"/>
            </w:pPr>
            <w:r/>
            <w:r>
              <w:rPr>
                <w:b w:val="0"/>
                <w:i w:val="0"/>
                <w:sz w:val="18"/>
              </w:rPr>
              <w:t>DRF tokens; signed, HttpOnly device cookie</w:t>
            </w:r>
          </w:p>
        </w:tc>
        <w:tc>
          <w:tcPr>
            <w:tcW w:type="dxa" w:w="4932"/>
            <w:shd w:val="clear" w:fill="F4F6F9"/>
          </w:tcPr>
          <w:p>
            <w:pPr>
              <w:spacing w:after="40" w:before="40"/>
            </w:pPr>
            <w:r/>
            <w:r>
              <w:rPr>
                <w:b w:val="0"/>
                <w:i w:val="0"/>
                <w:sz w:val="18"/>
              </w:rPr>
              <w:t>The device cookie carries no personal data — only a random identifier — and lets the analysis distinguish shared laboratory computers from returning participants without identifying anyone (C4).</w:t>
            </w:r>
          </w:p>
        </w:tc>
      </w:tr>
    </w:tbl>
    <w:p>
      <w:pPr>
        <w:spacing w:after="80"/>
      </w:pPr>
    </w:p>
    <w:p>
      <w:pPr>
        <w:pStyle w:val="Heading3"/>
      </w:pPr>
      <w:r>
        <w:t>4.4.4  Code execution: why local compilation</w:t>
      </w:r>
    </w:p>
    <w:p>
      <w:pPr>
        <w:spacing w:after="140"/>
        <w:jc w:val="both"/>
      </w:pPr>
      <w:r>
        <w:rPr>
          <w:b w:val="0"/>
          <w:i w:val="0"/>
          <w:sz w:val="21"/>
        </w:rPr>
        <w:t>Measuring programming skill requires that student code actually runs, and that the diagnostics a student sees are real. Three options were considered. A hosted execution API was rejected because the public service available is allow-list restricted and because it would send student code to a third party. A container sandbox per submission was rejected on operational grounds (C5) for a single-site deployment without container infrastructure. The system therefore compiles on the host: C through a pip-installable Clang toolchain, which removes the need for a system compiler on school hardware, and HTML through a standards HTML5 parser whose parse errors are translated into student-facing messages and whose requirement checks are expressed as CSS selectors. Each run is isolated to a temporary directory and bounded by a three-second time limit with output truncation. We note plainly that host compilation is a weaker isolation boundary than a container; it is acceptable here because the service is reachable only by authenticated participants on a proctored, single-site deployment, and this constraint is stated as a deployment requirement rather than left implicit.</w:t>
      </w:r>
    </w:p>
    <w:p>
      <w:pPr>
        <w:pStyle w:val="Heading2"/>
      </w:pPr>
      <w:r>
        <w:t>4.5  Item bank construction and expert certification</w:t>
      </w:r>
    </w:p>
    <w:p>
      <w:pPr>
        <w:spacing w:after="140"/>
        <w:jc w:val="both"/>
      </w:pPr>
      <w:r>
        <w:rPr>
          <w:b w:val="0"/>
          <w:i w:val="0"/>
          <w:sz w:val="21"/>
        </w:rPr>
        <w:t>All assessment items in this study are authored against the retrieved curriculum corpus and then certified before use. This makes the bank curriculum-aligned by construction, because every item is written from — and stored with — the textbook passage it tests. It also converts the standard objection to AI-assisted assessment (“how do you know the questions are accurate?”) from an assumption into a measured, reported property of the instrument.</w:t>
      </w:r>
    </w:p>
    <w:p>
      <w:pPr>
        <w:spacing w:after="140"/>
        <w:jc w:val="both"/>
      </w:pPr>
      <w:r>
        <w:rPr>
          <w:b/>
          <w:sz w:val="21"/>
        </w:rPr>
        <w:t>The corpus.</w:t>
      </w:r>
      <w:r>
        <w:rPr>
          <w:b w:val="0"/>
          <w:i w:val="0"/>
          <w:sz w:val="21"/>
        </w:rPr>
        <w:t xml:space="preserve"> The three source documents are scanned image PDFs from which no text can be extracted directly. The pipeline therefore transcribes them page by page with a vision model, eight pages per call, caching each page as it is transcribed so that an interrupted run resumes rather than restarting and re-spending quota. Transcribed pages are split into overlapping chunks of roughly 170 words, tagged with chapter, page, language and a citable source reference, embedded, and written to the vector index. Chapter boundaries are detected from page headings in both Bangla and English.</w:t>
      </w:r>
    </w:p>
    <w:p>
      <w:pPr>
        <w:spacing w:after="140"/>
        <w:jc w:val="both"/>
      </w:pPr>
      <w:r>
        <w:rPr>
          <w:b/>
          <w:sz w:val="21"/>
        </w:rPr>
        <w:t>The bank as it stands.</w:t>
      </w:r>
      <w:r>
        <w:rPr>
          <w:b w:val="0"/>
          <w:i w:val="0"/>
          <w:sz w:val="21"/>
        </w:rPr>
        <w:t xml:space="preserve"> Sixty items are authored across four parallel forms — pre-test, post-test, transfer and withdrawal — of fifteen items each. Each form has the same composition, so the forms are matched on format and topic coverage:</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14"/>
            <w:shd w:val="clear" w:fill="1F3D6B"/>
          </w:tcPr>
          <w:p>
            <w:pPr>
              <w:spacing w:after="40" w:before="40"/>
            </w:pPr>
            <w:r/>
            <w:r>
              <w:rPr>
                <w:b/>
                <w:color w:val="FFFFFF"/>
                <w:sz w:val="18"/>
              </w:rPr>
              <w:t>Form</w:t>
            </w:r>
          </w:p>
        </w:tc>
        <w:tc>
          <w:tcPr>
            <w:tcW w:type="dxa" w:w="1587"/>
            <w:shd w:val="clear" w:fill="1F3D6B"/>
          </w:tcPr>
          <w:p>
            <w:pPr>
              <w:spacing w:after="40" w:before="40"/>
            </w:pPr>
            <w:r/>
            <w:r>
              <w:rPr>
                <w:b/>
                <w:color w:val="FFFFFF"/>
                <w:sz w:val="18"/>
              </w:rPr>
              <w:t>Concept MCQ</w:t>
            </w:r>
          </w:p>
        </w:tc>
        <w:tc>
          <w:tcPr>
            <w:tcW w:type="dxa" w:w="1701"/>
            <w:shd w:val="clear" w:fill="1F3D6B"/>
          </w:tcPr>
          <w:p>
            <w:pPr>
              <w:spacing w:after="40" w:before="40"/>
            </w:pPr>
            <w:r/>
            <w:r>
              <w:rPr>
                <w:b/>
                <w:color w:val="FFFFFF"/>
                <w:sz w:val="18"/>
              </w:rPr>
              <w:t>C programming</w:t>
            </w:r>
          </w:p>
        </w:tc>
        <w:tc>
          <w:tcPr>
            <w:tcW w:type="dxa" w:w="1701"/>
            <w:shd w:val="clear" w:fill="1F3D6B"/>
          </w:tcPr>
          <w:p>
            <w:pPr>
              <w:spacing w:after="40" w:before="40"/>
            </w:pPr>
            <w:r/>
            <w:r>
              <w:rPr>
                <w:b/>
                <w:color w:val="FFFFFF"/>
                <w:sz w:val="18"/>
              </w:rPr>
              <w:t>HTML authoring</w:t>
            </w:r>
          </w:p>
        </w:tc>
        <w:tc>
          <w:tcPr>
            <w:tcW w:type="dxa" w:w="2381"/>
            <w:shd w:val="clear" w:fill="1F3D6B"/>
          </w:tcPr>
          <w:p>
            <w:pPr>
              <w:spacing w:after="40" w:before="40"/>
            </w:pPr>
            <w:r/>
            <w:r>
              <w:rPr>
                <w:b/>
                <w:color w:val="FFFFFF"/>
                <w:sz w:val="18"/>
              </w:rPr>
              <w:t>Chapters covered</w:t>
            </w:r>
          </w:p>
        </w:tc>
      </w:tr>
      <w:tr>
        <w:tc>
          <w:tcPr>
            <w:tcW w:type="dxa" w:w="1814"/>
          </w:tcPr>
          <w:p>
            <w:pPr>
              <w:spacing w:after="40" w:before="40"/>
            </w:pPr>
            <w:r/>
            <w:r>
              <w:rPr>
                <w:b w:val="0"/>
                <w:i w:val="0"/>
                <w:sz w:val="18"/>
              </w:rPr>
              <w:t>Pre-test</w:t>
            </w:r>
          </w:p>
        </w:tc>
        <w:tc>
          <w:tcPr>
            <w:tcW w:type="dxa" w:w="1587"/>
          </w:tcPr>
          <w:p>
            <w:pPr>
              <w:spacing w:after="40" w:before="40"/>
            </w:pPr>
            <w:r/>
            <w:r>
              <w:rPr>
                <w:b w:val="0"/>
                <w:i w:val="0"/>
                <w:sz w:val="18"/>
              </w:rPr>
              <w:t>7</w:t>
            </w:r>
          </w:p>
        </w:tc>
        <w:tc>
          <w:tcPr>
            <w:tcW w:type="dxa" w:w="1701"/>
          </w:tcPr>
          <w:p>
            <w:pPr>
              <w:spacing w:after="40" w:before="40"/>
            </w:pPr>
            <w:r/>
            <w:r>
              <w:rPr>
                <w:b w:val="0"/>
                <w:i w:val="0"/>
                <w:sz w:val="18"/>
              </w:rPr>
              <w:t>5</w:t>
            </w:r>
          </w:p>
        </w:tc>
        <w:tc>
          <w:tcPr>
            <w:tcW w:type="dxa" w:w="1701"/>
          </w:tcPr>
          <w:p>
            <w:pPr>
              <w:spacing w:after="40" w:before="40"/>
            </w:pPr>
            <w:r/>
            <w:r>
              <w:rPr>
                <w:b w:val="0"/>
                <w:i w:val="0"/>
                <w:sz w:val="18"/>
              </w:rPr>
              <w:t>3</w:t>
            </w:r>
          </w:p>
        </w:tc>
        <w:tc>
          <w:tcPr>
            <w:tcW w:type="dxa" w:w="2381"/>
          </w:tcPr>
          <w:p>
            <w:pPr>
              <w:spacing w:after="40" w:before="40"/>
            </w:pPr>
            <w:r/>
            <w:r>
              <w:rPr>
                <w:b w:val="0"/>
                <w:i w:val="0"/>
                <w:sz w:val="18"/>
              </w:rPr>
              <w:t>4 (Web/HTML), 5 (C), 6 (DBMS)</w:t>
            </w:r>
          </w:p>
        </w:tc>
      </w:tr>
      <w:tr>
        <w:tc>
          <w:tcPr>
            <w:tcW w:type="dxa" w:w="1814"/>
            <w:shd w:val="clear" w:fill="F4F6F9"/>
          </w:tcPr>
          <w:p>
            <w:pPr>
              <w:spacing w:after="40" w:before="40"/>
            </w:pPr>
            <w:r/>
            <w:r>
              <w:rPr>
                <w:b w:val="0"/>
                <w:i w:val="0"/>
                <w:sz w:val="18"/>
              </w:rPr>
              <w:t>Post-test</w:t>
            </w:r>
          </w:p>
        </w:tc>
        <w:tc>
          <w:tcPr>
            <w:tcW w:type="dxa" w:w="1587"/>
            <w:shd w:val="clear" w:fill="F4F6F9"/>
          </w:tcPr>
          <w:p>
            <w:pPr>
              <w:spacing w:after="40" w:before="40"/>
            </w:pPr>
            <w:r/>
            <w:r>
              <w:rPr>
                <w:b w:val="0"/>
                <w:i w:val="0"/>
                <w:sz w:val="18"/>
              </w:rPr>
              <w:t>7</w:t>
            </w:r>
          </w:p>
        </w:tc>
        <w:tc>
          <w:tcPr>
            <w:tcW w:type="dxa" w:w="1701"/>
            <w:shd w:val="clear" w:fill="F4F6F9"/>
          </w:tcPr>
          <w:p>
            <w:pPr>
              <w:spacing w:after="40" w:before="40"/>
            </w:pPr>
            <w:r/>
            <w:r>
              <w:rPr>
                <w:b w:val="0"/>
                <w:i w:val="0"/>
                <w:sz w:val="18"/>
              </w:rPr>
              <w:t>5</w:t>
            </w:r>
          </w:p>
        </w:tc>
        <w:tc>
          <w:tcPr>
            <w:tcW w:type="dxa" w:w="1701"/>
            <w:shd w:val="clear" w:fill="F4F6F9"/>
          </w:tcPr>
          <w:p>
            <w:pPr>
              <w:spacing w:after="40" w:before="40"/>
            </w:pPr>
            <w:r/>
            <w:r>
              <w:rPr>
                <w:b w:val="0"/>
                <w:i w:val="0"/>
                <w:sz w:val="18"/>
              </w:rPr>
              <w:t>3</w:t>
            </w:r>
          </w:p>
        </w:tc>
        <w:tc>
          <w:tcPr>
            <w:tcW w:type="dxa" w:w="2381"/>
            <w:shd w:val="clear" w:fill="F4F6F9"/>
          </w:tcPr>
          <w:p>
            <w:pPr>
              <w:spacing w:after="40" w:before="40"/>
            </w:pPr>
            <w:r/>
            <w:r>
              <w:rPr>
                <w:b w:val="0"/>
                <w:i w:val="0"/>
                <w:sz w:val="18"/>
              </w:rPr>
              <w:t>4, 5, 6</w:t>
            </w:r>
          </w:p>
        </w:tc>
      </w:tr>
      <w:tr>
        <w:tc>
          <w:tcPr>
            <w:tcW w:type="dxa" w:w="1814"/>
          </w:tcPr>
          <w:p>
            <w:pPr>
              <w:spacing w:after="40" w:before="40"/>
            </w:pPr>
            <w:r/>
            <w:r>
              <w:rPr>
                <w:b w:val="0"/>
                <w:i w:val="0"/>
                <w:sz w:val="18"/>
              </w:rPr>
              <w:t>Transfer</w:t>
            </w:r>
          </w:p>
        </w:tc>
        <w:tc>
          <w:tcPr>
            <w:tcW w:type="dxa" w:w="1587"/>
          </w:tcPr>
          <w:p>
            <w:pPr>
              <w:spacing w:after="40" w:before="40"/>
            </w:pPr>
            <w:r/>
            <w:r>
              <w:rPr>
                <w:b w:val="0"/>
                <w:i w:val="0"/>
                <w:sz w:val="18"/>
              </w:rPr>
              <w:t>7</w:t>
            </w:r>
          </w:p>
        </w:tc>
        <w:tc>
          <w:tcPr>
            <w:tcW w:type="dxa" w:w="1701"/>
          </w:tcPr>
          <w:p>
            <w:pPr>
              <w:spacing w:after="40" w:before="40"/>
            </w:pPr>
            <w:r/>
            <w:r>
              <w:rPr>
                <w:b w:val="0"/>
                <w:i w:val="0"/>
                <w:sz w:val="18"/>
              </w:rPr>
              <w:t>5</w:t>
            </w:r>
          </w:p>
        </w:tc>
        <w:tc>
          <w:tcPr>
            <w:tcW w:type="dxa" w:w="1701"/>
          </w:tcPr>
          <w:p>
            <w:pPr>
              <w:spacing w:after="40" w:before="40"/>
            </w:pPr>
            <w:r/>
            <w:r>
              <w:rPr>
                <w:b w:val="0"/>
                <w:i w:val="0"/>
                <w:sz w:val="18"/>
              </w:rPr>
              <w:t>3</w:t>
            </w:r>
          </w:p>
        </w:tc>
        <w:tc>
          <w:tcPr>
            <w:tcW w:type="dxa" w:w="2381"/>
          </w:tcPr>
          <w:p>
            <w:pPr>
              <w:spacing w:after="40" w:before="40"/>
            </w:pPr>
            <w:r/>
            <w:r>
              <w:rPr>
                <w:b w:val="0"/>
                <w:i w:val="0"/>
                <w:sz w:val="18"/>
              </w:rPr>
              <w:t>4, 5, 6 — novel framings</w:t>
            </w:r>
          </w:p>
        </w:tc>
      </w:tr>
      <w:tr>
        <w:tc>
          <w:tcPr>
            <w:tcW w:type="dxa" w:w="1814"/>
            <w:shd w:val="clear" w:fill="F4F6F9"/>
          </w:tcPr>
          <w:p>
            <w:pPr>
              <w:spacing w:after="40" w:before="40"/>
            </w:pPr>
            <w:r/>
            <w:r>
              <w:rPr>
                <w:b w:val="0"/>
                <w:i w:val="0"/>
                <w:sz w:val="18"/>
              </w:rPr>
              <w:t>Withdrawal</w:t>
            </w:r>
          </w:p>
        </w:tc>
        <w:tc>
          <w:tcPr>
            <w:tcW w:type="dxa" w:w="1587"/>
            <w:shd w:val="clear" w:fill="F4F6F9"/>
          </w:tcPr>
          <w:p>
            <w:pPr>
              <w:spacing w:after="40" w:before="40"/>
            </w:pPr>
            <w:r/>
            <w:r>
              <w:rPr>
                <w:b w:val="0"/>
                <w:i w:val="0"/>
                <w:sz w:val="18"/>
              </w:rPr>
              <w:t>7</w:t>
            </w:r>
          </w:p>
        </w:tc>
        <w:tc>
          <w:tcPr>
            <w:tcW w:type="dxa" w:w="1701"/>
            <w:shd w:val="clear" w:fill="F4F6F9"/>
          </w:tcPr>
          <w:p>
            <w:pPr>
              <w:spacing w:after="40" w:before="40"/>
            </w:pPr>
            <w:r/>
            <w:r>
              <w:rPr>
                <w:b w:val="0"/>
                <w:i w:val="0"/>
                <w:sz w:val="18"/>
              </w:rPr>
              <w:t>5</w:t>
            </w:r>
          </w:p>
        </w:tc>
        <w:tc>
          <w:tcPr>
            <w:tcW w:type="dxa" w:w="1701"/>
            <w:shd w:val="clear" w:fill="F4F6F9"/>
          </w:tcPr>
          <w:p>
            <w:pPr>
              <w:spacing w:after="40" w:before="40"/>
            </w:pPr>
            <w:r/>
            <w:r>
              <w:rPr>
                <w:b w:val="0"/>
                <w:i w:val="0"/>
                <w:sz w:val="18"/>
              </w:rPr>
              <w:t>3</w:t>
            </w:r>
          </w:p>
        </w:tc>
        <w:tc>
          <w:tcPr>
            <w:tcW w:type="dxa" w:w="2381"/>
            <w:shd w:val="clear" w:fill="F4F6F9"/>
          </w:tcPr>
          <w:p>
            <w:pPr>
              <w:spacing w:after="40" w:before="40"/>
            </w:pPr>
            <w:r/>
            <w:r>
              <w:rPr>
                <w:b w:val="0"/>
                <w:i w:val="0"/>
                <w:sz w:val="18"/>
              </w:rPr>
              <w:t>4, 5, 6 — unassisted</w:t>
            </w:r>
          </w:p>
        </w:tc>
      </w:tr>
    </w:tbl>
    <w:p>
      <w:pPr>
        <w:spacing w:after="80"/>
      </w:pPr>
    </w:p>
    <w:p>
      <w:pPr>
        <w:spacing w:after="140"/>
        <w:jc w:val="both"/>
      </w:pPr>
      <w:r>
        <w:rPr>
          <w:b w:val="0"/>
          <w:i w:val="0"/>
          <w:sz w:val="21"/>
        </w:rPr>
        <w:t xml:space="preserve">Because a single fifteen-item form spans three chapters, the </w:t>
      </w:r>
      <w:r>
        <w:rPr>
          <w:b/>
          <w:sz w:val="21"/>
        </w:rPr>
        <w:t>primary dependent variable is the total form score</w:t>
      </w:r>
      <w:r>
        <w:rPr>
          <w:b w:val="0"/>
          <w:i w:val="0"/>
          <w:sz w:val="21"/>
        </w:rPr>
        <w:t>, treating the form as one scale. Per-chapter subscales are reported descriptively but are not powered for inference, and no confirmatory claim rests on them; this keeps the power analysis in §4.8 honest.</w:t>
      </w:r>
    </w:p>
    <w:p>
      <w:pPr>
        <w:spacing w:after="140"/>
        <w:jc w:val="both"/>
      </w:pPr>
      <w:r>
        <w:rPr>
          <w:b/>
          <w:sz w:val="21"/>
        </w:rPr>
        <w:t>Machine-checkable answers.</w:t>
      </w:r>
      <w:r>
        <w:rPr>
          <w:b w:val="0"/>
          <w:i w:val="0"/>
          <w:sz w:val="21"/>
        </w:rPr>
        <w:t xml:space="preserve"> Every item is gradable by the server rather than by the browser. Multiple-choice items carry a keyed answer that is never transmitted to the client. C items carry hidden test cases and an explicit input/output contract stated in the question, and are graded by compiling and running the submission. HTML items carry CSS-selector requirement checks evaluated against the parsed document. The score a participant receives is therefore computed from executed code on the server, not asserted by the client.</w:t>
      </w:r>
    </w:p>
    <w:p>
      <w:pPr>
        <w:pStyle w:val="Heading3"/>
      </w:pPr>
      <w:r>
        <w:t>Certification protocol</w:t>
      </w:r>
    </w:p>
    <w:p>
      <w:pPr>
        <w:spacing w:after="140"/>
        <w:jc w:val="both"/>
      </w:pPr>
      <w:r>
        <w:rPr>
          <w:b/>
          <w:sz w:val="21"/>
        </w:rPr>
        <w:t>(a) Authoring.</w:t>
      </w:r>
      <w:r>
        <w:rPr>
          <w:b w:val="0"/>
          <w:i w:val="0"/>
          <w:sz w:val="21"/>
        </w:rPr>
        <w:t xml:space="preserve"> For each syllabus topic and target cognitive level (Bloom: remember/understand, apply, analyse), items are drafted against the top retrieved curriculum passages in the three formats above and stored with their source passages — full provenance.</w:t>
      </w:r>
    </w:p>
    <w:p>
      <w:pPr>
        <w:spacing w:after="140"/>
        <w:jc w:val="both"/>
      </w:pPr>
      <w:r>
        <w:rPr>
          <w:b/>
          <w:sz w:val="21"/>
        </w:rPr>
        <w:t>(b) Automated screening.</w:t>
      </w:r>
      <w:r>
        <w:rPr>
          <w:b w:val="0"/>
          <w:i w:val="0"/>
          <w:sz w:val="21"/>
        </w:rPr>
        <w:t xml:space="preserve"> Drafts are filtered before any expert sees them: the keyed answer must be derivable from the retrieved passage; exactly one answer must be defensible and the distractors plausible; code must compile and the stated output must be what a correct program prints; near-duplicates are removed; and both the Bangla and the English text must render correctly. Screening protects expert time; it certifies nothing by itself.</w:t>
      </w:r>
    </w:p>
    <w:p>
      <w:pPr>
        <w:spacing w:after="140"/>
        <w:jc w:val="both"/>
      </w:pPr>
      <w:r>
        <w:rPr>
          <w:b/>
          <w:sz w:val="21"/>
        </w:rPr>
        <w:t>(c) Expert certification survey (primary certification).</w:t>
      </w:r>
      <w:r>
        <w:rPr>
          <w:b w:val="0"/>
          <w:i w:val="0"/>
          <w:sz w:val="21"/>
        </w:rPr>
        <w:t xml:space="preserve"> A panel of six to eight practising HSC ICT teachers and examiners independently rates every surviving item in the platform’s Expert Portal. Each item is shown together with its source passage and rated on five criteria — curriculum alignment, technical accuracy, language clarity, difficulty appropriateness for grades 11–12, and answerability — each on a four-point adequacy scale, with a free-text field for corrections. Following standard content-validity methodology (Lynn, 1986; Polit &amp; Beck, 2006), the item-level content validity index I-CVI is the proportion of experts rating an item 3 or 4: items are certified at I-CVI ≥ 0.78, revised and re-rated at 0.60–0.77, and discarded below 0.60. The final bank must reach S-CVI/Ave ≥ 0.90, and inter-rater agreement is reported (Fleiss’ κ). A small anchor set of past board-exam questions is interleaved in the survey, unlabelled: certified items should be statistically indistinguishable from these anchors on the same rubric, which provides a direct, quantitative certificate of examination quality.</w:t>
      </w:r>
    </w:p>
    <w:p>
      <w:pPr>
        <w:spacing w:after="140"/>
        <w:jc w:val="both"/>
      </w:pPr>
      <w:r>
        <w:rPr>
          <w:b/>
          <w:sz w:val="21"/>
        </w:rPr>
        <w:t>(d) Psychometric pilot (secondary certification).</w:t>
      </w:r>
      <w:r>
        <w:rPr>
          <w:b w:val="0"/>
          <w:i w:val="0"/>
          <w:sz w:val="21"/>
        </w:rPr>
        <w:t xml:space="preserve"> Certified items are administered to a pilot cohort (n ≈ 15–20 from the same population, flagged in the database and excluded from the main sample). Classical item analysis is applied: difficulty index P retained within 0.30–0.90 and point-biserial discrimination ≥ 0.20 (Ebel &amp; Frisbie, 1991), with distractor analysis for multiple-choice items. Each item additionally carries a one-item student clarity rating requiring a mean ≥ 4.0. Items failing any threshold return to revision or are discarded.</w:t>
      </w:r>
    </w:p>
    <w:p>
      <w:pPr>
        <w:spacing w:after="140"/>
        <w:jc w:val="both"/>
      </w:pPr>
      <w:r>
        <w:rPr>
          <w:b/>
          <w:sz w:val="21"/>
        </w:rPr>
        <w:t>(e) Outcome.</w:t>
      </w:r>
      <w:r>
        <w:rPr>
          <w:b w:val="0"/>
          <w:i w:val="0"/>
          <w:sz w:val="21"/>
        </w:rPr>
        <w:t xml:space="preserve"> The certified bank — every item with its provenance, expert ratings and pilot statistics — is frozen and versioned before data collection begins, and released with the study materials.</w:t>
      </w:r>
    </w:p>
    <w:p>
      <w:pPr>
        <w:spacing w:before="160" w:after="60"/>
        <w:jc w:val="center"/>
      </w:pPr>
      <w:r>
        <w:drawing>
          <wp:inline xmlns:a="http://schemas.openxmlformats.org/drawingml/2006/main" xmlns:pic="http://schemas.openxmlformats.org/drawingml/2006/picture">
            <wp:extent cx="5832000" cy="2486274"/>
            <wp:docPr id="2" name="Picture 2"/>
            <wp:cNvGraphicFramePr>
              <a:graphicFrameLocks noChangeAspect="1"/>
            </wp:cNvGraphicFramePr>
            <a:graphic>
              <a:graphicData uri="http://schemas.openxmlformats.org/drawingml/2006/picture">
                <pic:pic>
                  <pic:nvPicPr>
                    <pic:cNvPr id="0" name="fig2_certification_v3.png"/>
                    <pic:cNvPicPr/>
                  </pic:nvPicPr>
                  <pic:blipFill>
                    <a:blip r:embed="rId11"/>
                    <a:stretch>
                      <a:fillRect/>
                    </a:stretch>
                  </pic:blipFill>
                  <pic:spPr>
                    <a:xfrm>
                      <a:off x="0" y="0"/>
                      <a:ext cx="5832000" cy="2486274"/>
                    </a:xfrm>
                    <a:prstGeom prst="rect"/>
                  </pic:spPr>
                </pic:pic>
              </a:graphicData>
            </a:graphic>
          </wp:inline>
        </w:drawing>
      </w:r>
    </w:p>
    <w:p>
      <w:pPr>
        <w:spacing w:after="240"/>
        <w:jc w:val="center"/>
      </w:pPr>
      <w:r>
        <w:rPr>
          <w:b/>
          <w:color w:val="5C6B80"/>
          <w:sz w:val="17"/>
        </w:rPr>
        <w:t>Figure 2.</w:t>
      </w:r>
      <w:r>
        <w:rPr>
          <w:b w:val="0"/>
          <w:i w:val="0"/>
          <w:color w:val="5C6B80"/>
          <w:sz w:val="17"/>
        </w:rPr>
        <w:t xml:space="preserve"> Item bank construction and certification. Items are authored against retrieved curriculum passages, screened automatically, certified through an expert-teacher survey scored with content-validity indices (with unlabelled past board questions as anchors), then piloted for difficulty, discrimination and clarity. Only the certified, frozen bank feeds the study instruments.</w:t>
      </w:r>
    </w:p>
    <w:p>
      <w:pPr>
        <w:pStyle w:val="Heading2"/>
      </w:pPr>
      <w:r>
        <w:t>4.6  Instruments and measures</w:t>
      </w:r>
    </w:p>
    <w:p>
      <w:pPr>
        <w:spacing w:after="140"/>
        <w:jc w:val="both"/>
      </w:pPr>
      <w:r>
        <w:rPr>
          <w:b w:val="0"/>
          <w:i w:val="0"/>
          <w:sz w:val="21"/>
        </w:rPr>
        <w:t>All items are drawn from the certified bank of §4.5; the four forms are matched on topic coverage, item format and certified difficulty.</w:t>
      </w:r>
    </w:p>
    <w:p>
      <w:pPr>
        <w:spacing w:after="140"/>
        <w:jc w:val="both"/>
      </w:pPr>
      <w:r>
        <w:rPr>
          <w:b/>
          <w:sz w:val="21"/>
        </w:rPr>
        <w:t>Learning gain (RQ1).</w:t>
      </w:r>
      <w:r>
        <w:rPr>
          <w:b w:val="0"/>
          <w:i w:val="0"/>
          <w:sz w:val="21"/>
        </w:rPr>
        <w:t xml:space="preserve"> Isomorphic pre-test and post-test on the target content (concept identification, code tracing, and short code writing). We report the normalized gain ⟨g⟩ = (post − pre) / (100 − pre), the standard metric in the learning-gains literature, and compare distributions between arms.</w:t>
      </w:r>
    </w:p>
    <w:p>
      <w:pPr>
        <w:spacing w:after="140"/>
        <w:jc w:val="both"/>
      </w:pPr>
      <w:r>
        <w:rPr>
          <w:b/>
          <w:sz w:val="21"/>
        </w:rPr>
        <w:t>Transfer (RQ2).</w:t>
      </w:r>
      <w:r>
        <w:rPr>
          <w:b w:val="0"/>
          <w:i w:val="0"/>
          <w:sz w:val="21"/>
        </w:rPr>
        <w:t xml:space="preserve"> A separate form testing the same underlying concepts in unfamiliar framings, </w:t>
      </w:r>
      <w:r>
        <w:rPr>
          <w:b/>
          <w:sz w:val="21"/>
        </w:rPr>
        <w:t>administered without tutor access</w:t>
      </w:r>
      <w:r>
        <w:rPr>
          <w:b w:val="0"/>
          <w:i w:val="0"/>
          <w:sz w:val="21"/>
        </w:rPr>
        <w:t>, so that it measures retained, portable skill rather than assisted performance. The software enforces this: the assistant panel is unavailable during the transfer form.</w:t>
      </w:r>
    </w:p>
    <w:p>
      <w:pPr>
        <w:spacing w:after="140"/>
        <w:jc w:val="both"/>
      </w:pPr>
      <w:r>
        <w:rPr>
          <w:b/>
          <w:sz w:val="21"/>
        </w:rPr>
        <w:t>AI dependency (RQ3).</w:t>
      </w:r>
      <w:r>
        <w:rPr>
          <w:b w:val="0"/>
          <w:i w:val="0"/>
          <w:sz w:val="21"/>
        </w:rPr>
        <w:t xml:space="preserve"> Operationalised through three converging sources, following the withdrawal logic used by Kazemitabaar et al. and Bastani et al.:</w:t>
      </w:r>
    </w:p>
    <w:p>
      <w:pPr>
        <w:pStyle w:val="ListBullet"/>
        <w:spacing w:after="60"/>
        <w:ind w:left="340"/>
        <w:jc w:val="both"/>
      </w:pPr>
      <w:r>
        <w:rPr>
          <w:b/>
          <w:sz w:val="21"/>
        </w:rPr>
        <w:t>Withdrawal task (primary).</w:t>
      </w:r>
      <w:r>
        <w:rPr>
          <w:b w:val="0"/>
          <w:i w:val="0"/>
          <w:sz w:val="21"/>
        </w:rPr>
        <w:t xml:space="preserve"> A final form solved with the tutor removed; the performance drop relative to assisted performance indexes dependency, with a larger drop indicating greater dependency.</w:t>
      </w:r>
    </w:p>
    <w:p>
      <w:pPr>
        <w:pStyle w:val="ListBullet"/>
        <w:spacing w:after="60"/>
        <w:ind w:left="340"/>
        <w:jc w:val="both"/>
      </w:pPr>
      <w:r>
        <w:rPr>
          <w:b/>
          <w:sz w:val="21"/>
        </w:rPr>
        <w:t>Behavioural logs (objective).</w:t>
      </w:r>
      <w:r>
        <w:rPr>
          <w:b w:val="0"/>
          <w:i w:val="0"/>
          <w:sz w:val="21"/>
        </w:rPr>
        <w:t xml:space="preserve"> Help-request rate per task, the proportion of AI-supplied solutions submitted without any intervening edit or test run, time-on-task per item, and single-prompt “solve-it-all” behaviour. These are computed from the interaction log, which records help requests, code runs and their results, clipboard copies of AI-supplied code with their length, and the interval between a tutor answer and the next student action.</w:t>
      </w:r>
    </w:p>
    <w:p>
      <w:pPr>
        <w:pStyle w:val="ListBullet"/>
        <w:spacing w:after="60"/>
        <w:ind w:left="340"/>
        <w:jc w:val="both"/>
      </w:pPr>
      <w:r>
        <w:rPr>
          <w:b/>
          <w:sz w:val="21"/>
        </w:rPr>
        <w:t>Self-report (subjective).</w:t>
      </w:r>
      <w:r>
        <w:rPr>
          <w:b w:val="0"/>
          <w:i w:val="0"/>
          <w:sz w:val="21"/>
        </w:rPr>
        <w:t xml:space="preserve"> A short reliance and trust scale adapted from validated instruments, administered after the withdrawal task alongside brief qualitative feedback.</w:t>
      </w:r>
    </w:p>
    <w:p>
      <w:pPr>
        <w:spacing w:after="140"/>
        <w:jc w:val="both"/>
      </w:pPr>
      <w:r>
        <w:rPr>
          <w:b/>
          <w:sz w:val="21"/>
        </w:rPr>
        <w:t>Covariates.</w:t>
      </w:r>
      <w:r>
        <w:rPr>
          <w:b w:val="0"/>
          <w:i w:val="0"/>
          <w:sz w:val="21"/>
        </w:rPr>
        <w:t xml:space="preserve"> Prior programming exposure, prior AI-tool familiarity, device type and internet access, weekly study hours, school type, division and district, and language preference are recorded at registration as study covariates.</w:t>
      </w:r>
    </w:p>
    <w:p>
      <w:pPr>
        <w:pStyle w:val="Heading2"/>
      </w:pPr>
      <w:r>
        <w:t>4.7  Procedure</w:t>
      </w:r>
    </w:p>
    <w:p>
      <w:pPr>
        <w:spacing w:after="140"/>
        <w:jc w:val="both"/>
      </w:pPr>
      <w:r>
        <w:rPr>
          <w:b w:val="0"/>
          <w:i w:val="0"/>
          <w:sz w:val="21"/>
        </w:rPr>
        <w:t>The platform will enforce the sequence below as a state machine (§4.9): a participant cannot open a later phase before completing the earlier one, each form may be submitted once, and tutor availability is set per phase rather than left to the participant.</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041"/>
            <w:shd w:val="clear" w:fill="1F3D6B"/>
          </w:tcPr>
          <w:p>
            <w:pPr>
              <w:spacing w:after="40" w:before="40"/>
            </w:pPr>
            <w:r/>
            <w:r>
              <w:rPr>
                <w:b/>
                <w:color w:val="FFFFFF"/>
                <w:sz w:val="18"/>
              </w:rPr>
              <w:t>Phase</w:t>
            </w:r>
          </w:p>
        </w:tc>
        <w:tc>
          <w:tcPr>
            <w:tcW w:type="dxa" w:w="1474"/>
            <w:shd w:val="clear" w:fill="1F3D6B"/>
          </w:tcPr>
          <w:p>
            <w:pPr>
              <w:spacing w:after="40" w:before="40"/>
            </w:pPr>
            <w:r/>
            <w:r>
              <w:rPr>
                <w:b/>
                <w:color w:val="FFFFFF"/>
                <w:sz w:val="18"/>
              </w:rPr>
              <w:t>Tutor</w:t>
            </w:r>
          </w:p>
        </w:tc>
        <w:tc>
          <w:tcPr>
            <w:tcW w:type="dxa" w:w="5443"/>
            <w:shd w:val="clear" w:fill="1F3D6B"/>
          </w:tcPr>
          <w:p>
            <w:pPr>
              <w:spacing w:after="40" w:before="40"/>
            </w:pPr>
            <w:r/>
            <w:r>
              <w:rPr>
                <w:b/>
                <w:color w:val="FFFFFF"/>
                <w:sz w:val="18"/>
              </w:rPr>
              <w:t>What happens</w:t>
            </w:r>
          </w:p>
        </w:tc>
      </w:tr>
      <w:tr>
        <w:tc>
          <w:tcPr>
            <w:tcW w:type="dxa" w:w="2041"/>
          </w:tcPr>
          <w:p>
            <w:pPr>
              <w:spacing w:after="40" w:before="40"/>
            </w:pPr>
            <w:r/>
            <w:r>
              <w:rPr>
                <w:b w:val="0"/>
                <w:i w:val="0"/>
                <w:sz w:val="18"/>
              </w:rPr>
              <w:t>Consent and baseline</w:t>
            </w:r>
          </w:p>
        </w:tc>
        <w:tc>
          <w:tcPr>
            <w:tcW w:type="dxa" w:w="1474"/>
          </w:tcPr>
          <w:p>
            <w:pPr>
              <w:spacing w:after="40" w:before="40"/>
            </w:pPr>
            <w:r/>
            <w:r>
              <w:rPr>
                <w:b w:val="0"/>
                <w:i w:val="0"/>
                <w:sz w:val="18"/>
              </w:rPr>
              <w:t>—</w:t>
            </w:r>
          </w:p>
        </w:tc>
        <w:tc>
          <w:tcPr>
            <w:tcW w:type="dxa" w:w="5443"/>
          </w:tcPr>
          <w:p>
            <w:pPr>
              <w:spacing w:after="40" w:before="40"/>
            </w:pPr>
            <w:r/>
            <w:r>
              <w:rPr>
                <w:b w:val="0"/>
                <w:i w:val="0"/>
                <w:sz w:val="18"/>
              </w:rPr>
              <w:t>Informed consent and guardian assent for minors; demographic and prior-exposure survey; novice screening.</w:t>
            </w:r>
          </w:p>
        </w:tc>
      </w:tr>
      <w:tr>
        <w:tc>
          <w:tcPr>
            <w:tcW w:type="dxa" w:w="2041"/>
            <w:shd w:val="clear" w:fill="F4F6F9"/>
          </w:tcPr>
          <w:p>
            <w:pPr>
              <w:spacing w:after="40" w:before="40"/>
            </w:pPr>
            <w:r/>
            <w:r>
              <w:rPr>
                <w:b w:val="0"/>
                <w:i w:val="0"/>
                <w:sz w:val="18"/>
              </w:rPr>
              <w:t>Pre-test</w:t>
            </w:r>
          </w:p>
        </w:tc>
        <w:tc>
          <w:tcPr>
            <w:tcW w:type="dxa" w:w="1474"/>
            <w:shd w:val="clear" w:fill="F4F6F9"/>
          </w:tcPr>
          <w:p>
            <w:pPr>
              <w:spacing w:after="40" w:before="40"/>
            </w:pPr>
            <w:r/>
            <w:r>
              <w:rPr>
                <w:b w:val="0"/>
                <w:i w:val="0"/>
                <w:sz w:val="18"/>
              </w:rPr>
              <w:t>Unavailable</w:t>
            </w:r>
          </w:p>
        </w:tc>
        <w:tc>
          <w:tcPr>
            <w:tcW w:type="dxa" w:w="5443"/>
            <w:shd w:val="clear" w:fill="F4F6F9"/>
          </w:tcPr>
          <w:p>
            <w:pPr>
              <w:spacing w:after="40" w:before="40"/>
            </w:pPr>
            <w:r/>
            <w:r>
              <w:rPr>
                <w:b w:val="0"/>
                <w:i w:val="0"/>
                <w:sz w:val="18"/>
              </w:rPr>
              <w:t>Fifteen-item pre-test form. Score computed server-side by executing code answers.</w:t>
            </w:r>
          </w:p>
        </w:tc>
      </w:tr>
      <w:tr>
        <w:tc>
          <w:tcPr>
            <w:tcW w:type="dxa" w:w="2041"/>
          </w:tcPr>
          <w:p>
            <w:pPr>
              <w:spacing w:after="40" w:before="40"/>
            </w:pPr>
            <w:r/>
            <w:r>
              <w:rPr>
                <w:b w:val="0"/>
                <w:i w:val="0"/>
                <w:sz w:val="18"/>
              </w:rPr>
              <w:t>Randomisation</w:t>
            </w:r>
          </w:p>
        </w:tc>
        <w:tc>
          <w:tcPr>
            <w:tcW w:type="dxa" w:w="1474"/>
          </w:tcPr>
          <w:p>
            <w:pPr>
              <w:spacing w:after="40" w:before="40"/>
            </w:pPr>
            <w:r/>
            <w:r>
              <w:rPr>
                <w:b w:val="0"/>
                <w:i w:val="0"/>
                <w:sz w:val="18"/>
              </w:rPr>
              <w:t>—</w:t>
            </w:r>
          </w:p>
        </w:tc>
        <w:tc>
          <w:tcPr>
            <w:tcW w:type="dxa" w:w="5443"/>
          </w:tcPr>
          <w:p>
            <w:pPr>
              <w:spacing w:after="40" w:before="40"/>
            </w:pPr>
            <w:r/>
            <w:r>
              <w:rPr>
                <w:b w:val="0"/>
                <w:i w:val="0"/>
                <w:sz w:val="18"/>
              </w:rPr>
              <w:t>Assignment to treatment or control, balanced across arms and stratified by pre-test score, then locked.</w:t>
            </w:r>
          </w:p>
        </w:tc>
      </w:tr>
      <w:tr>
        <w:tc>
          <w:tcPr>
            <w:tcW w:type="dxa" w:w="2041"/>
            <w:shd w:val="clear" w:fill="F4F6F9"/>
          </w:tcPr>
          <w:p>
            <w:pPr>
              <w:spacing w:after="40" w:before="40"/>
            </w:pPr>
            <w:r/>
            <w:r>
              <w:rPr>
                <w:b w:val="0"/>
                <w:i w:val="0"/>
                <w:sz w:val="18"/>
              </w:rPr>
              <w:t>Orientation</w:t>
            </w:r>
          </w:p>
        </w:tc>
        <w:tc>
          <w:tcPr>
            <w:tcW w:type="dxa" w:w="1474"/>
            <w:shd w:val="clear" w:fill="F4F6F9"/>
          </w:tcPr>
          <w:p>
            <w:pPr>
              <w:spacing w:after="40" w:before="40"/>
            </w:pPr>
            <w:r/>
            <w:r>
              <w:rPr>
                <w:b w:val="0"/>
                <w:i w:val="0"/>
                <w:sz w:val="18"/>
              </w:rPr>
              <w:t>Available</w:t>
            </w:r>
          </w:p>
        </w:tc>
        <w:tc>
          <w:tcPr>
            <w:tcW w:type="dxa" w:w="5443"/>
            <w:shd w:val="clear" w:fill="F4F6F9"/>
          </w:tcPr>
          <w:p>
            <w:pPr>
              <w:spacing w:after="40" w:before="40"/>
            </w:pPr>
            <w:r/>
            <w:r>
              <w:rPr>
                <w:b w:val="0"/>
                <w:i w:val="0"/>
                <w:sz w:val="18"/>
              </w:rPr>
              <w:t>Identical brief tutorial on using the workspace, differing only in whether the reasoning panel is present.</w:t>
            </w:r>
          </w:p>
        </w:tc>
      </w:tr>
      <w:tr>
        <w:tc>
          <w:tcPr>
            <w:tcW w:type="dxa" w:w="2041"/>
          </w:tcPr>
          <w:p>
            <w:pPr>
              <w:spacing w:after="40" w:before="40"/>
            </w:pPr>
            <w:r/>
            <w:r>
              <w:rPr>
                <w:b w:val="0"/>
                <w:i w:val="0"/>
                <w:sz w:val="18"/>
              </w:rPr>
              <w:t>Learning phase</w:t>
            </w:r>
          </w:p>
        </w:tc>
        <w:tc>
          <w:tcPr>
            <w:tcW w:type="dxa" w:w="1474"/>
          </w:tcPr>
          <w:p>
            <w:pPr>
              <w:spacing w:after="40" w:before="40"/>
            </w:pPr>
            <w:r/>
            <w:r>
              <w:rPr>
                <w:b w:val="0"/>
                <w:i w:val="0"/>
                <w:sz w:val="18"/>
              </w:rPr>
              <w:t>Available</w:t>
            </w:r>
          </w:p>
        </w:tc>
        <w:tc>
          <w:tcPr>
            <w:tcW w:type="dxa" w:w="5443"/>
          </w:tcPr>
          <w:p>
            <w:pPr>
              <w:spacing w:after="40" w:before="40"/>
            </w:pPr>
            <w:r/>
            <w:r>
              <w:rPr>
                <w:b w:val="0"/>
                <w:i w:val="0"/>
                <w:sz w:val="18"/>
              </w:rPr>
              <w:t>Practice problems in the workspace with the assigned tutor. All interaction logged.</w:t>
            </w:r>
          </w:p>
        </w:tc>
      </w:tr>
      <w:tr>
        <w:tc>
          <w:tcPr>
            <w:tcW w:type="dxa" w:w="2041"/>
            <w:shd w:val="clear" w:fill="F4F6F9"/>
          </w:tcPr>
          <w:p>
            <w:pPr>
              <w:spacing w:after="40" w:before="40"/>
            </w:pPr>
            <w:r/>
            <w:r>
              <w:rPr>
                <w:b w:val="0"/>
                <w:i w:val="0"/>
                <w:sz w:val="18"/>
              </w:rPr>
              <w:t>Post-test</w:t>
            </w:r>
          </w:p>
        </w:tc>
        <w:tc>
          <w:tcPr>
            <w:tcW w:type="dxa" w:w="1474"/>
            <w:shd w:val="clear" w:fill="F4F6F9"/>
          </w:tcPr>
          <w:p>
            <w:pPr>
              <w:spacing w:after="40" w:before="40"/>
            </w:pPr>
            <w:r/>
            <w:r>
              <w:rPr>
                <w:b w:val="0"/>
                <w:i w:val="0"/>
                <w:sz w:val="18"/>
              </w:rPr>
              <w:t>Available</w:t>
            </w:r>
          </w:p>
        </w:tc>
        <w:tc>
          <w:tcPr>
            <w:tcW w:type="dxa" w:w="5443"/>
            <w:shd w:val="clear" w:fill="F4F6F9"/>
          </w:tcPr>
          <w:p>
            <w:pPr>
              <w:spacing w:after="40" w:before="40"/>
            </w:pPr>
            <w:r/>
            <w:r>
              <w:rPr>
                <w:b w:val="0"/>
                <w:i w:val="0"/>
                <w:sz w:val="18"/>
              </w:rPr>
              <w:t>Immediate post-test form, with tutor access as during learning, so ⟨g⟩ reflects the same conditions in both arms.</w:t>
            </w:r>
          </w:p>
        </w:tc>
      </w:tr>
      <w:tr>
        <w:tc>
          <w:tcPr>
            <w:tcW w:type="dxa" w:w="2041"/>
          </w:tcPr>
          <w:p>
            <w:pPr>
              <w:spacing w:after="40" w:before="40"/>
            </w:pPr>
            <w:r/>
            <w:r>
              <w:rPr>
                <w:b w:val="0"/>
                <w:i w:val="0"/>
                <w:sz w:val="18"/>
              </w:rPr>
              <w:t>Transfer</w:t>
            </w:r>
          </w:p>
        </w:tc>
        <w:tc>
          <w:tcPr>
            <w:tcW w:type="dxa" w:w="1474"/>
          </w:tcPr>
          <w:p>
            <w:pPr>
              <w:spacing w:after="40" w:before="40"/>
            </w:pPr>
            <w:r/>
            <w:r>
              <w:rPr>
                <w:b w:val="0"/>
                <w:i w:val="0"/>
                <w:sz w:val="18"/>
              </w:rPr>
              <w:t>Unavailable</w:t>
            </w:r>
          </w:p>
        </w:tc>
        <w:tc>
          <w:tcPr>
            <w:tcW w:type="dxa" w:w="5443"/>
          </w:tcPr>
          <w:p>
            <w:pPr>
              <w:spacing w:after="40" w:before="40"/>
            </w:pPr>
            <w:r/>
            <w:r>
              <w:rPr>
                <w:b w:val="0"/>
                <w:i w:val="0"/>
                <w:sz w:val="18"/>
              </w:rPr>
              <w:t>Structurally novel problems, unassisted.</w:t>
            </w:r>
          </w:p>
        </w:tc>
      </w:tr>
      <w:tr>
        <w:tc>
          <w:tcPr>
            <w:tcW w:type="dxa" w:w="2041"/>
            <w:shd w:val="clear" w:fill="F4F6F9"/>
          </w:tcPr>
          <w:p>
            <w:pPr>
              <w:spacing w:after="40" w:before="40"/>
            </w:pPr>
            <w:r/>
            <w:r>
              <w:rPr>
                <w:b w:val="0"/>
                <w:i w:val="0"/>
                <w:sz w:val="18"/>
              </w:rPr>
              <w:t>Withdrawal</w:t>
            </w:r>
          </w:p>
        </w:tc>
        <w:tc>
          <w:tcPr>
            <w:tcW w:type="dxa" w:w="1474"/>
            <w:shd w:val="clear" w:fill="F4F6F9"/>
          </w:tcPr>
          <w:p>
            <w:pPr>
              <w:spacing w:after="40" w:before="40"/>
            </w:pPr>
            <w:r/>
            <w:r>
              <w:rPr>
                <w:b w:val="0"/>
                <w:i w:val="0"/>
                <w:sz w:val="18"/>
              </w:rPr>
              <w:t>Unavailable</w:t>
            </w:r>
          </w:p>
        </w:tc>
        <w:tc>
          <w:tcPr>
            <w:tcW w:type="dxa" w:w="5443"/>
            <w:shd w:val="clear" w:fill="F4F6F9"/>
          </w:tcPr>
          <w:p>
            <w:pPr>
              <w:spacing w:after="40" w:before="40"/>
            </w:pPr>
            <w:r/>
            <w:r>
              <w:rPr>
                <w:b w:val="0"/>
                <w:i w:val="0"/>
                <w:sz w:val="18"/>
              </w:rPr>
              <w:t>Final form with the tutor removed; the dependency measure.</w:t>
            </w:r>
          </w:p>
        </w:tc>
      </w:tr>
      <w:tr>
        <w:tc>
          <w:tcPr>
            <w:tcW w:type="dxa" w:w="2041"/>
          </w:tcPr>
          <w:p>
            <w:pPr>
              <w:spacing w:after="40" w:before="40"/>
            </w:pPr>
            <w:r/>
            <w:r>
              <w:rPr>
                <w:b w:val="0"/>
                <w:i w:val="0"/>
                <w:sz w:val="18"/>
              </w:rPr>
              <w:t>Exit survey</w:t>
            </w:r>
          </w:p>
        </w:tc>
        <w:tc>
          <w:tcPr>
            <w:tcW w:type="dxa" w:w="1474"/>
          </w:tcPr>
          <w:p>
            <w:pPr>
              <w:spacing w:after="40" w:before="40"/>
            </w:pPr>
            <w:r/>
            <w:r>
              <w:rPr>
                <w:b w:val="0"/>
                <w:i w:val="0"/>
                <w:sz w:val="18"/>
              </w:rPr>
              <w:t>—</w:t>
            </w:r>
          </w:p>
        </w:tc>
        <w:tc>
          <w:tcPr>
            <w:tcW w:type="dxa" w:w="5443"/>
          </w:tcPr>
          <w:p>
            <w:pPr>
              <w:spacing w:after="40" w:before="40"/>
            </w:pPr>
            <w:r/>
            <w:r>
              <w:rPr>
                <w:b w:val="0"/>
                <w:i w:val="0"/>
                <w:sz w:val="18"/>
              </w:rPr>
              <w:t>Reliance and trust scale; brief qualitative feedback; debrief.</w:t>
            </w:r>
          </w:p>
        </w:tc>
      </w:tr>
    </w:tbl>
    <w:p>
      <w:pPr>
        <w:spacing w:after="80"/>
      </w:pPr>
    </w:p>
    <w:p>
      <w:pPr>
        <w:spacing w:after="140"/>
        <w:jc w:val="both"/>
      </w:pPr>
      <w:r>
        <w:rPr>
          <w:b/>
          <w:sz w:val="21"/>
        </w:rPr>
        <w:t>Delivery.</w:t>
      </w:r>
      <w:r>
        <w:rPr>
          <w:b w:val="0"/>
          <w:i w:val="0"/>
          <w:sz w:val="21"/>
        </w:rPr>
        <w:t xml:space="preserve"> A single proctored session of approximately 90–120 minutes, or two short sessions, depending on partner scheduling.</w:t>
      </w:r>
    </w:p>
    <w:p>
      <w:pPr>
        <w:pStyle w:val="Heading2"/>
      </w:pPr>
      <w:r>
        <w:t>4.8  Analysis plan and statistical power</w:t>
      </w:r>
    </w:p>
    <w:p>
      <w:pPr>
        <w:pStyle w:val="ListBullet"/>
        <w:spacing w:after="60"/>
        <w:ind w:left="340"/>
        <w:jc w:val="both"/>
      </w:pPr>
      <w:r>
        <w:rPr>
          <w:b/>
          <w:sz w:val="21"/>
        </w:rPr>
        <w:t>RQ1.</w:t>
      </w:r>
      <w:r>
        <w:rPr>
          <w:b w:val="0"/>
          <w:i w:val="0"/>
          <w:sz w:val="21"/>
        </w:rPr>
        <w:t xml:space="preserve"> Independent-samples t-test (or Mann–Whitney if non-normal) on normalized gain; ANCOVA on post-test with pre-test as covariate for a more powerful test.</w:t>
      </w:r>
    </w:p>
    <w:p>
      <w:pPr>
        <w:pStyle w:val="ListBullet"/>
        <w:spacing w:after="60"/>
        <w:ind w:left="340"/>
        <w:jc w:val="both"/>
      </w:pPr>
      <w:r>
        <w:rPr>
          <w:b/>
          <w:sz w:val="21"/>
        </w:rPr>
        <w:t>RQ2 and RQ3.</w:t>
      </w:r>
      <w:r>
        <w:rPr>
          <w:b w:val="0"/>
          <w:i w:val="0"/>
          <w:sz w:val="21"/>
        </w:rPr>
        <w:t xml:space="preserve"> t-tests or Mann–Whitney on transfer score and on the withdrawal drop; effect sizes (Cohen’s d) reported for all comparisons.</w:t>
      </w:r>
    </w:p>
    <w:p>
      <w:pPr>
        <w:pStyle w:val="ListBullet"/>
        <w:spacing w:after="60"/>
        <w:ind w:left="340"/>
        <w:jc w:val="both"/>
      </w:pPr>
      <w:r>
        <w:rPr>
          <w:b/>
          <w:sz w:val="21"/>
        </w:rPr>
        <w:t>RQ4.</w:t>
      </w:r>
      <w:r>
        <w:rPr>
          <w:b w:val="0"/>
          <w:i w:val="0"/>
          <w:sz w:val="21"/>
        </w:rPr>
        <w:t xml:space="preserve"> Regression with a transparency × prior-ability interaction term.</w:t>
      </w:r>
    </w:p>
    <w:p>
      <w:pPr>
        <w:pStyle w:val="ListBullet"/>
        <w:spacing w:after="60"/>
        <w:ind w:left="340"/>
        <w:jc w:val="both"/>
      </w:pPr>
      <w:r>
        <w:rPr>
          <w:b/>
          <w:sz w:val="21"/>
        </w:rPr>
        <w:t>Logs.</w:t>
      </w:r>
      <w:r>
        <w:rPr>
          <w:b w:val="0"/>
          <w:i w:val="0"/>
          <w:sz w:val="21"/>
        </w:rPr>
        <w:t xml:space="preserve"> Descriptive and correlational analysis linking behavioural reliance signals to withdrawal performance.</w:t>
      </w:r>
    </w:p>
    <w:p>
      <w:pPr>
        <w:pStyle w:val="ListBullet"/>
        <w:spacing w:after="60"/>
        <w:ind w:left="340"/>
        <w:jc w:val="both"/>
      </w:pPr>
      <w:r>
        <w:rPr>
          <w:b/>
          <w:sz w:val="21"/>
        </w:rPr>
        <w:t>System validation (V1).</w:t>
      </w:r>
      <w:r>
        <w:rPr>
          <w:b w:val="0"/>
          <w:i w:val="0"/>
          <w:sz w:val="21"/>
        </w:rPr>
        <w:t xml:space="preserve"> Report the I-CVI distribution, S-CVI/Ave, inter-rater agreement, the AI-item versus board-anchor comparison, pilot item statistics (P, D, clarity), and overall certification yield.</w:t>
      </w:r>
    </w:p>
    <w:p>
      <w:pPr>
        <w:spacing w:after="140"/>
        <w:jc w:val="both"/>
      </w:pPr>
      <w:r>
        <w:rPr>
          <w:b/>
          <w:sz w:val="21"/>
        </w:rPr>
        <w:t>Power.</w:t>
      </w:r>
      <w:r>
        <w:rPr>
          <w:b w:val="0"/>
          <w:i w:val="0"/>
          <w:sz w:val="21"/>
        </w:rPr>
        <w:t xml:space="preserve"> For a two-group comparison at α = 0.05 and 80% power, detecting a medium effect (d ≈ 0.65–0.70) requires roughly 30 per arm; a small-to-medium effect would require substantially more. We therefore state plainly that this study is powered to detect medium-or-larger effects on the total form score and treats smaller effects, and all per-chapter subscale differences, as hypothesis-generating — a limitation shared with comparable single-semester studies and one we address through effect-size reporting rather than reliance on p-values alone. Inferential statistics are computed in the analysis software, not in the application; the platform’s researcher dashboard reports descriptive statistics and effect sizes only, and never displays a p-value it did not compute.</w:t>
      </w:r>
    </w:p>
    <w:p>
      <w:pPr>
        <w:pStyle w:val="Heading2"/>
      </w:pPr>
      <w:r>
        <w:t>4.9  Implementation status</w:t>
      </w:r>
    </w:p>
    <w:p>
      <w:pPr>
        <w:spacing w:after="140"/>
        <w:jc w:val="both"/>
      </w:pPr>
      <w:r>
        <w:rPr>
          <w:b w:val="0"/>
          <w:i w:val="0"/>
          <w:sz w:val="21"/>
        </w:rPr>
        <w:t>The platform is partially built. Stating which components are complete keeps the timeline in §6 honest and makes the remaining critical path explicit.</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shd w:val="clear" w:fill="1F3D6B"/>
          </w:tcPr>
          <w:p>
            <w:pPr>
              <w:spacing w:after="40" w:before="40"/>
            </w:pPr>
            <w:r/>
            <w:r>
              <w:rPr>
                <w:b/>
                <w:color w:val="FFFFFF"/>
                <w:sz w:val="18"/>
              </w:rPr>
              <w:t>Component</w:t>
            </w:r>
          </w:p>
        </w:tc>
        <w:tc>
          <w:tcPr>
            <w:tcW w:type="dxa" w:w="1928"/>
            <w:shd w:val="clear" w:fill="1F3D6B"/>
          </w:tcPr>
          <w:p>
            <w:pPr>
              <w:spacing w:after="40" w:before="40"/>
            </w:pPr>
            <w:r/>
            <w:r>
              <w:rPr>
                <w:b/>
                <w:color w:val="FFFFFF"/>
                <w:sz w:val="18"/>
              </w:rPr>
              <w:t>Status</w:t>
            </w:r>
          </w:p>
        </w:tc>
        <w:tc>
          <w:tcPr>
            <w:tcW w:type="dxa" w:w="3969"/>
            <w:shd w:val="clear" w:fill="1F3D6B"/>
          </w:tcPr>
          <w:p>
            <w:pPr>
              <w:spacing w:after="40" w:before="40"/>
            </w:pPr>
            <w:r/>
            <w:r>
              <w:rPr>
                <w:b/>
                <w:color w:val="FFFFFF"/>
                <w:sz w:val="18"/>
              </w:rPr>
              <w:t>Note</w:t>
            </w:r>
          </w:p>
        </w:tc>
      </w:tr>
      <w:tr>
        <w:tc>
          <w:tcPr>
            <w:tcW w:type="dxa" w:w="3061"/>
          </w:tcPr>
          <w:p>
            <w:pPr>
              <w:spacing w:after="40" w:before="40"/>
            </w:pPr>
            <w:r/>
            <w:r>
              <w:rPr>
                <w:b w:val="0"/>
                <w:i w:val="0"/>
                <w:sz w:val="18"/>
              </w:rPr>
              <w:t>Two-mode tutor, shared model and retrieval</w:t>
            </w:r>
          </w:p>
        </w:tc>
        <w:tc>
          <w:tcPr>
            <w:tcW w:type="dxa" w:w="1928"/>
          </w:tcPr>
          <w:p>
            <w:pPr>
              <w:spacing w:after="40" w:before="40"/>
            </w:pPr>
            <w:r/>
            <w:r>
              <w:rPr>
                <w:b w:val="0"/>
                <w:i w:val="0"/>
                <w:sz w:val="18"/>
              </w:rPr>
              <w:t>Built</w:t>
            </w:r>
          </w:p>
        </w:tc>
        <w:tc>
          <w:tcPr>
            <w:tcW w:type="dxa" w:w="3969"/>
          </w:tcPr>
          <w:p>
            <w:pPr>
              <w:spacing w:after="40" w:before="40"/>
            </w:pPr>
            <w:r/>
            <w:r>
              <w:rPr>
                <w:b w:val="0"/>
                <w:i w:val="0"/>
                <w:sz w:val="18"/>
              </w:rPr>
              <w:t>Reasoning trace schema, direct-answer mode, arm held on the profile.</w:t>
            </w:r>
          </w:p>
        </w:tc>
      </w:tr>
      <w:tr>
        <w:tc>
          <w:tcPr>
            <w:tcW w:type="dxa" w:w="3061"/>
            <w:shd w:val="clear" w:fill="F4F6F9"/>
          </w:tcPr>
          <w:p>
            <w:pPr>
              <w:spacing w:after="40" w:before="40"/>
            </w:pPr>
            <w:r/>
            <w:r>
              <w:rPr>
                <w:b w:val="0"/>
                <w:i w:val="0"/>
                <w:sz w:val="18"/>
              </w:rPr>
              <w:t>RAG index over the NCTB corpus</w:t>
            </w:r>
          </w:p>
        </w:tc>
        <w:tc>
          <w:tcPr>
            <w:tcW w:type="dxa" w:w="1928"/>
            <w:shd w:val="clear" w:fill="F4F6F9"/>
          </w:tcPr>
          <w:p>
            <w:pPr>
              <w:spacing w:after="40" w:before="40"/>
            </w:pPr>
            <w:r/>
            <w:r>
              <w:rPr>
                <w:b w:val="0"/>
                <w:i w:val="0"/>
                <w:sz w:val="18"/>
              </w:rPr>
              <w:t>Partially built</w:t>
            </w:r>
          </w:p>
        </w:tc>
        <w:tc>
          <w:tcPr>
            <w:tcW w:type="dxa" w:w="3969"/>
            <w:shd w:val="clear" w:fill="F4F6F9"/>
          </w:tcPr>
          <w:p>
            <w:pPr>
              <w:spacing w:after="40" w:before="40"/>
            </w:pPr>
            <w:r/>
            <w:r>
              <w:rPr>
                <w:b w:val="0"/>
                <w:i w:val="0"/>
                <w:sz w:val="18"/>
              </w:rPr>
              <w:t>225 pages of the Bangla-version textbook are transcribed and indexed; the English version and the board question bank remain to be ingested.</w:t>
            </w:r>
          </w:p>
        </w:tc>
      </w:tr>
      <w:tr>
        <w:tc>
          <w:tcPr>
            <w:tcW w:type="dxa" w:w="3061"/>
          </w:tcPr>
          <w:p>
            <w:pPr>
              <w:spacing w:after="40" w:before="40"/>
            </w:pPr>
            <w:r/>
            <w:r>
              <w:rPr>
                <w:b w:val="0"/>
                <w:i w:val="0"/>
                <w:sz w:val="18"/>
              </w:rPr>
              <w:t>Local code execution (C, HTML)</w:t>
            </w:r>
          </w:p>
        </w:tc>
        <w:tc>
          <w:tcPr>
            <w:tcW w:type="dxa" w:w="1928"/>
          </w:tcPr>
          <w:p>
            <w:pPr>
              <w:spacing w:after="40" w:before="40"/>
            </w:pPr>
            <w:r/>
            <w:r>
              <w:rPr>
                <w:b w:val="0"/>
                <w:i w:val="0"/>
                <w:sz w:val="18"/>
              </w:rPr>
              <w:t>Built</w:t>
            </w:r>
          </w:p>
        </w:tc>
        <w:tc>
          <w:tcPr>
            <w:tcW w:type="dxa" w:w="3969"/>
          </w:tcPr>
          <w:p>
            <w:pPr>
              <w:spacing w:after="40" w:before="40"/>
            </w:pPr>
            <w:r/>
            <w:r>
              <w:rPr>
                <w:b w:val="0"/>
                <w:i w:val="0"/>
                <w:sz w:val="18"/>
              </w:rPr>
              <w:t>Real diagnostics, requirement checks, per-run isolation.</w:t>
            </w:r>
          </w:p>
        </w:tc>
      </w:tr>
      <w:tr>
        <w:tc>
          <w:tcPr>
            <w:tcW w:type="dxa" w:w="3061"/>
            <w:shd w:val="clear" w:fill="F4F6F9"/>
          </w:tcPr>
          <w:p>
            <w:pPr>
              <w:spacing w:after="40" w:before="40"/>
            </w:pPr>
            <w:r/>
            <w:r>
              <w:rPr>
                <w:b w:val="0"/>
                <w:i w:val="0"/>
                <w:sz w:val="18"/>
              </w:rPr>
              <w:t>Interaction logging</w:t>
            </w:r>
          </w:p>
        </w:tc>
        <w:tc>
          <w:tcPr>
            <w:tcW w:type="dxa" w:w="1928"/>
            <w:shd w:val="clear" w:fill="F4F6F9"/>
          </w:tcPr>
          <w:p>
            <w:pPr>
              <w:spacing w:after="40" w:before="40"/>
            </w:pPr>
            <w:r/>
            <w:r>
              <w:rPr>
                <w:b w:val="0"/>
                <w:i w:val="0"/>
                <w:sz w:val="18"/>
              </w:rPr>
              <w:t>Partially built</w:t>
            </w:r>
          </w:p>
        </w:tc>
        <w:tc>
          <w:tcPr>
            <w:tcW w:type="dxa" w:w="3969"/>
            <w:shd w:val="clear" w:fill="F4F6F9"/>
          </w:tcPr>
          <w:p>
            <w:pPr>
              <w:spacing w:after="40" w:before="40"/>
            </w:pPr>
            <w:r/>
            <w:r>
              <w:rPr>
                <w:b w:val="0"/>
                <w:i w:val="0"/>
                <w:sz w:val="18"/>
              </w:rPr>
              <w:t>Help requests, code runs and results, copy events, submissions and workspace entry are logged; time-on-task and the edit-before-submit flag remain to be added (§4.6).</w:t>
            </w:r>
          </w:p>
        </w:tc>
      </w:tr>
      <w:tr>
        <w:tc>
          <w:tcPr>
            <w:tcW w:type="dxa" w:w="3061"/>
          </w:tcPr>
          <w:p>
            <w:pPr>
              <w:spacing w:after="40" w:before="40"/>
            </w:pPr>
            <w:r/>
            <w:r>
              <w:rPr>
                <w:b w:val="0"/>
                <w:i w:val="0"/>
                <w:sz w:val="18"/>
              </w:rPr>
              <w:t>Item bank, four forms, 60 items</w:t>
            </w:r>
          </w:p>
        </w:tc>
        <w:tc>
          <w:tcPr>
            <w:tcW w:type="dxa" w:w="1928"/>
          </w:tcPr>
          <w:p>
            <w:pPr>
              <w:spacing w:after="40" w:before="40"/>
            </w:pPr>
            <w:r/>
            <w:r>
              <w:rPr>
                <w:b w:val="0"/>
                <w:i w:val="0"/>
                <w:sz w:val="18"/>
              </w:rPr>
              <w:t>Built, not yet certified</w:t>
            </w:r>
          </w:p>
        </w:tc>
        <w:tc>
          <w:tcPr>
            <w:tcW w:type="dxa" w:w="3969"/>
          </w:tcPr>
          <w:p>
            <w:pPr>
              <w:spacing w:after="40" w:before="40"/>
            </w:pPr>
            <w:r/>
            <w:r>
              <w:rPr>
                <w:b w:val="0"/>
                <w:i w:val="0"/>
                <w:sz w:val="18"/>
              </w:rPr>
              <w:t>Authored and machine-gradable; stages (c) and (d) of §4.5 are the gate before data collection.</w:t>
            </w:r>
          </w:p>
        </w:tc>
      </w:tr>
      <w:tr>
        <w:tc>
          <w:tcPr>
            <w:tcW w:type="dxa" w:w="3061"/>
            <w:shd w:val="clear" w:fill="F4F6F9"/>
          </w:tcPr>
          <w:p>
            <w:pPr>
              <w:spacing w:after="40" w:before="40"/>
            </w:pPr>
            <w:r/>
            <w:r>
              <w:rPr>
                <w:b w:val="0"/>
                <w:i w:val="0"/>
                <w:sz w:val="18"/>
              </w:rPr>
              <w:t>Server-side scoring of exam forms</w:t>
            </w:r>
          </w:p>
        </w:tc>
        <w:tc>
          <w:tcPr>
            <w:tcW w:type="dxa" w:w="1928"/>
            <w:shd w:val="clear" w:fill="F4F6F9"/>
          </w:tcPr>
          <w:p>
            <w:pPr>
              <w:spacing w:after="40" w:before="40"/>
            </w:pPr>
            <w:r/>
            <w:r>
              <w:rPr>
                <w:b w:val="0"/>
                <w:i w:val="0"/>
                <w:sz w:val="18"/>
              </w:rPr>
              <w:t>To build</w:t>
            </w:r>
          </w:p>
        </w:tc>
        <w:tc>
          <w:tcPr>
            <w:tcW w:type="dxa" w:w="3969"/>
            <w:shd w:val="clear" w:fill="F4F6F9"/>
          </w:tcPr>
          <w:p>
            <w:pPr>
              <w:spacing w:after="40" w:before="40"/>
            </w:pPr>
            <w:r/>
            <w:r>
              <w:rPr>
                <w:b w:val="0"/>
                <w:i w:val="0"/>
                <w:sz w:val="18"/>
              </w:rPr>
              <w:t>The grading path must execute code answers server-side and withhold answer keys from the client.</w:t>
            </w:r>
          </w:p>
        </w:tc>
      </w:tr>
      <w:tr>
        <w:tc>
          <w:tcPr>
            <w:tcW w:type="dxa" w:w="3061"/>
          </w:tcPr>
          <w:p>
            <w:pPr>
              <w:spacing w:after="40" w:before="40"/>
            </w:pPr>
            <w:r/>
            <w:r>
              <w:rPr>
                <w:b w:val="0"/>
                <w:i w:val="0"/>
                <w:sz w:val="18"/>
              </w:rPr>
              <w:t>Expert Portal (CVI rubric)</w:t>
            </w:r>
          </w:p>
        </w:tc>
        <w:tc>
          <w:tcPr>
            <w:tcW w:type="dxa" w:w="1928"/>
          </w:tcPr>
          <w:p>
            <w:pPr>
              <w:spacing w:after="40" w:before="40"/>
            </w:pPr>
            <w:r/>
            <w:r>
              <w:rPr>
                <w:b w:val="0"/>
                <w:i w:val="0"/>
                <w:sz w:val="18"/>
              </w:rPr>
              <w:t>Partially built</w:t>
            </w:r>
          </w:p>
        </w:tc>
        <w:tc>
          <w:tcPr>
            <w:tcW w:type="dxa" w:w="3969"/>
          </w:tcPr>
          <w:p>
            <w:pPr>
              <w:spacing w:after="40" w:before="40"/>
            </w:pPr>
            <w:r/>
            <w:r>
              <w:rPr>
                <w:b w:val="0"/>
                <w:i w:val="0"/>
                <w:sz w:val="18"/>
              </w:rPr>
              <w:t>The five-criterion rating interface exists; persistence of ratings and computation of I-CVI, S-CVI and inter-rater agreement remain.</w:t>
            </w:r>
          </w:p>
        </w:tc>
      </w:tr>
      <w:tr>
        <w:tc>
          <w:tcPr>
            <w:tcW w:type="dxa" w:w="3061"/>
            <w:shd w:val="clear" w:fill="F4F6F9"/>
          </w:tcPr>
          <w:p>
            <w:pPr>
              <w:spacing w:after="40" w:before="40"/>
            </w:pPr>
            <w:r/>
            <w:r>
              <w:rPr>
                <w:b w:val="0"/>
                <w:i w:val="0"/>
                <w:sz w:val="18"/>
              </w:rPr>
              <w:t>Arm locking and phase sequencing</w:t>
            </w:r>
          </w:p>
        </w:tc>
        <w:tc>
          <w:tcPr>
            <w:tcW w:type="dxa" w:w="1928"/>
            <w:shd w:val="clear" w:fill="F4F6F9"/>
          </w:tcPr>
          <w:p>
            <w:pPr>
              <w:spacing w:after="40" w:before="40"/>
            </w:pPr>
            <w:r/>
            <w:r>
              <w:rPr>
                <w:b w:val="0"/>
                <w:i w:val="0"/>
                <w:sz w:val="18"/>
              </w:rPr>
              <w:t>To build</w:t>
            </w:r>
          </w:p>
        </w:tc>
        <w:tc>
          <w:tcPr>
            <w:tcW w:type="dxa" w:w="3969"/>
            <w:shd w:val="clear" w:fill="F4F6F9"/>
          </w:tcPr>
          <w:p>
            <w:pPr>
              <w:spacing w:after="40" w:before="40"/>
            </w:pPr>
            <w:r/>
            <w:r>
              <w:rPr>
                <w:b w:val="0"/>
                <w:i w:val="0"/>
                <w:sz w:val="18"/>
              </w:rPr>
              <w:t>Required by §4.1 and §4.7; the current build allows a participant to change arm and to open forms out of order.</w:t>
            </w:r>
          </w:p>
        </w:tc>
      </w:tr>
      <w:tr>
        <w:tc>
          <w:tcPr>
            <w:tcW w:type="dxa" w:w="3061"/>
          </w:tcPr>
          <w:p>
            <w:pPr>
              <w:spacing w:after="40" w:before="40"/>
            </w:pPr>
            <w:r/>
            <w:r>
              <w:rPr>
                <w:b w:val="0"/>
                <w:i w:val="0"/>
                <w:sz w:val="18"/>
              </w:rPr>
              <w:t>Reliance and trust scale, exit survey</w:t>
            </w:r>
          </w:p>
        </w:tc>
        <w:tc>
          <w:tcPr>
            <w:tcW w:type="dxa" w:w="1928"/>
          </w:tcPr>
          <w:p>
            <w:pPr>
              <w:spacing w:after="40" w:before="40"/>
            </w:pPr>
            <w:r/>
            <w:r>
              <w:rPr>
                <w:b w:val="0"/>
                <w:i w:val="0"/>
                <w:sz w:val="18"/>
              </w:rPr>
              <w:t>To build</w:t>
            </w:r>
          </w:p>
        </w:tc>
        <w:tc>
          <w:tcPr>
            <w:tcW w:type="dxa" w:w="3969"/>
          </w:tcPr>
          <w:p>
            <w:pPr>
              <w:spacing w:after="40" w:before="40"/>
            </w:pPr>
            <w:r/>
            <w:r>
              <w:rPr>
                <w:b w:val="0"/>
                <w:i w:val="0"/>
                <w:sz w:val="18"/>
              </w:rPr>
              <w:t>Required by §4.6 for RQ3.</w:t>
            </w:r>
          </w:p>
        </w:tc>
      </w:tr>
      <w:tr>
        <w:tc>
          <w:tcPr>
            <w:tcW w:type="dxa" w:w="3061"/>
            <w:shd w:val="clear" w:fill="F4F6F9"/>
          </w:tcPr>
          <w:p>
            <w:pPr>
              <w:spacing w:after="40" w:before="40"/>
            </w:pPr>
            <w:r/>
            <w:r>
              <w:rPr>
                <w:b w:val="0"/>
                <w:i w:val="0"/>
                <w:sz w:val="18"/>
              </w:rPr>
              <w:t>Researcher dashboard and data export</w:t>
            </w:r>
          </w:p>
        </w:tc>
        <w:tc>
          <w:tcPr>
            <w:tcW w:type="dxa" w:w="1928"/>
            <w:shd w:val="clear" w:fill="F4F6F9"/>
          </w:tcPr>
          <w:p>
            <w:pPr>
              <w:spacing w:after="40" w:before="40"/>
            </w:pPr>
            <w:r/>
            <w:r>
              <w:rPr>
                <w:b w:val="0"/>
                <w:i w:val="0"/>
                <w:sz w:val="18"/>
              </w:rPr>
              <w:t>Partially built</w:t>
            </w:r>
          </w:p>
        </w:tc>
        <w:tc>
          <w:tcPr>
            <w:tcW w:type="dxa" w:w="3969"/>
            <w:shd w:val="clear" w:fill="F4F6F9"/>
          </w:tcPr>
          <w:p>
            <w:pPr>
              <w:spacing w:after="40" w:before="40"/>
            </w:pPr>
            <w:r/>
            <w:r>
              <w:rPr>
                <w:b w:val="0"/>
                <w:i w:val="0"/>
                <w:sz w:val="18"/>
              </w:rPr>
              <w:t>Descriptive aggregates exist; a CSV export of scores and logs for analysis remains.</w:t>
            </w:r>
          </w:p>
        </w:tc>
      </w:tr>
    </w:tbl>
    <w:p>
      <w:pPr>
        <w:spacing w:after="80"/>
      </w:pPr>
    </w:p>
    <w:p>
      <w:pPr>
        <w:pStyle w:val="Heading1"/>
      </w:pPr>
      <w:r>
        <w:t>5.  Ethical Considerations</w:t>
      </w:r>
    </w:p>
    <w:p>
      <w:pPr>
        <w:pStyle w:val="ListBullet"/>
        <w:spacing w:after="60"/>
        <w:ind w:left="340"/>
        <w:jc w:val="both"/>
      </w:pPr>
      <w:r>
        <w:rPr>
          <w:b/>
          <w:sz w:val="21"/>
        </w:rPr>
        <w:t>Approval.</w:t>
      </w:r>
      <w:r>
        <w:rPr>
          <w:b w:val="0"/>
          <w:i w:val="0"/>
          <w:sz w:val="21"/>
        </w:rPr>
        <w:t xml:space="preserve"> Ethics / IRB clearance from [institution] will be obtained before any data collection; the process is initiated in Week 1 as it is the most common cause of timeline slippage.</w:t>
      </w:r>
    </w:p>
    <w:p>
      <w:pPr>
        <w:pStyle w:val="ListBullet"/>
        <w:spacing w:after="60"/>
        <w:ind w:left="340"/>
        <w:jc w:val="both"/>
      </w:pPr>
      <w:r>
        <w:rPr>
          <w:b/>
          <w:sz w:val="21"/>
        </w:rPr>
        <w:t>Minors.</w:t>
      </w:r>
      <w:r>
        <w:rPr>
          <w:b w:val="0"/>
          <w:i w:val="0"/>
          <w:sz w:val="21"/>
        </w:rPr>
        <w:t xml:space="preserve"> As participants are under 18, both guardian consent and student assent are required, recorded separately with a timestamp and a consent version.</w:t>
      </w:r>
    </w:p>
    <w:p>
      <w:pPr>
        <w:pStyle w:val="ListBullet"/>
        <w:spacing w:after="60"/>
        <w:ind w:left="340"/>
        <w:jc w:val="both"/>
      </w:pPr>
      <w:r>
        <w:rPr>
          <w:b/>
          <w:sz w:val="21"/>
        </w:rPr>
        <w:t>Pseudonymisation.</w:t>
      </w:r>
      <w:r>
        <w:rPr>
          <w:b w:val="0"/>
          <w:i w:val="0"/>
          <w:sz w:val="21"/>
        </w:rPr>
        <w:t xml:space="preserve"> Each participant is issued a pseudonymous research code and all analysis and reporting use that code. Directly identifying fields are minimised at source: the registration flow collects only what is used as a study covariate, and does not collect a photograph or a telephone number.</w:t>
      </w:r>
    </w:p>
    <w:p>
      <w:pPr>
        <w:pStyle w:val="ListBullet"/>
        <w:spacing w:after="60"/>
        <w:ind w:left="340"/>
        <w:jc w:val="both"/>
      </w:pPr>
      <w:r>
        <w:rPr>
          <w:b/>
          <w:sz w:val="21"/>
        </w:rPr>
        <w:t>Third-party processing.</w:t>
      </w:r>
      <w:r>
        <w:rPr>
          <w:b w:val="0"/>
          <w:i w:val="0"/>
          <w:sz w:val="21"/>
        </w:rPr>
        <w:t xml:space="preserve"> Prompts, student code and retrieval queries are transmitted to the model provider to generate a tutor turn; participant names and research codes are never included in a prompt. Student code is executed locally and is never sent to a third party for execution. This boundary is stated to participants and guardians at consent.</w:t>
      </w:r>
    </w:p>
    <w:p>
      <w:pPr>
        <w:pStyle w:val="ListBullet"/>
        <w:spacing w:after="60"/>
        <w:ind w:left="340"/>
        <w:jc w:val="both"/>
      </w:pPr>
      <w:r>
        <w:rPr>
          <w:b/>
          <w:sz w:val="21"/>
        </w:rPr>
        <w:t>AI-generated content.</w:t>
      </w:r>
      <w:r>
        <w:rPr>
          <w:b w:val="0"/>
          <w:i w:val="0"/>
          <w:sz w:val="21"/>
        </w:rPr>
        <w:t xml:space="preserve"> No item reaches a participant unless it has passed the certification protocol of §4.5, and the tutor’s runtime explanations remain grounded in the indexed national curriculum with the source page shown.</w:t>
      </w:r>
    </w:p>
    <w:p>
      <w:pPr>
        <w:pStyle w:val="ListBullet"/>
        <w:spacing w:after="60"/>
        <w:ind w:left="340"/>
        <w:jc w:val="both"/>
      </w:pPr>
      <w:r>
        <w:rPr>
          <w:b/>
          <w:sz w:val="21"/>
        </w:rPr>
        <w:t>Expert reviewers.</w:t>
      </w:r>
      <w:r>
        <w:rPr>
          <w:b w:val="0"/>
          <w:i w:val="0"/>
          <w:sz w:val="21"/>
        </w:rPr>
        <w:t xml:space="preserve"> Panel teachers take part with informed consent; their ratings are anonymised and reported only in aggregate.</w:t>
      </w:r>
    </w:p>
    <w:p>
      <w:pPr>
        <w:pStyle w:val="ListBullet"/>
        <w:spacing w:after="60"/>
        <w:ind w:left="340"/>
        <w:jc w:val="both"/>
      </w:pPr>
      <w:r>
        <w:rPr>
          <w:b/>
          <w:sz w:val="21"/>
        </w:rPr>
        <w:t>Educational equity.</w:t>
      </w:r>
      <w:r>
        <w:rPr>
          <w:b w:val="0"/>
          <w:i w:val="0"/>
          <w:sz w:val="21"/>
        </w:rPr>
        <w:t xml:space="preserve"> To avoid disadvantaging the control group, all participants receive access to the full reasoning-visible tutor and a debrief after the study concludes.</w:t>
      </w:r>
    </w:p>
    <w:p>
      <w:pPr>
        <w:pStyle w:val="ListBullet"/>
        <w:spacing w:after="60"/>
        <w:ind w:left="340"/>
        <w:jc w:val="both"/>
      </w:pPr>
      <w:r>
        <w:rPr>
          <w:b/>
          <w:sz w:val="21"/>
        </w:rPr>
        <w:t>Data handling.</w:t>
      </w:r>
      <w:r>
        <w:rPr>
          <w:b w:val="0"/>
          <w:i w:val="0"/>
          <w:sz w:val="21"/>
        </w:rPr>
        <w:t xml:space="preserve"> The research database is self-hosted on institutional hardware with access control; logs are used only for research and reported only in aggregate.</w:t>
      </w:r>
    </w:p>
    <w:p>
      <w:pPr>
        <w:pStyle w:val="Heading1"/>
      </w:pPr>
      <w:r>
        <w:t>6.  Timeline (One Semester — 16 Weeks)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077"/>
            <w:shd w:val="clear" w:fill="1F3D6B"/>
          </w:tcPr>
          <w:p>
            <w:pPr>
              <w:spacing w:after="40" w:before="40"/>
            </w:pPr>
            <w:r/>
            <w:r>
              <w:rPr>
                <w:b/>
                <w:color w:val="FFFFFF"/>
                <w:sz w:val="18"/>
              </w:rPr>
              <w:t>Week</w:t>
            </w:r>
          </w:p>
        </w:tc>
        <w:tc>
          <w:tcPr>
            <w:tcW w:type="dxa" w:w="2324"/>
            <w:shd w:val="clear" w:fill="1F3D6B"/>
          </w:tcPr>
          <w:p>
            <w:pPr>
              <w:spacing w:after="40" w:before="40"/>
            </w:pPr>
            <w:r/>
            <w:r>
              <w:rPr>
                <w:b/>
                <w:color w:val="FFFFFF"/>
                <w:sz w:val="18"/>
              </w:rPr>
              <w:t>Phase</w:t>
            </w:r>
          </w:p>
        </w:tc>
        <w:tc>
          <w:tcPr>
            <w:tcW w:type="dxa" w:w="5556"/>
            <w:shd w:val="clear" w:fill="1F3D6B"/>
          </w:tcPr>
          <w:p>
            <w:pPr>
              <w:spacing w:after="40" w:before="40"/>
            </w:pPr>
            <w:r/>
            <w:r>
              <w:rPr>
                <w:b/>
                <w:color w:val="FFFFFF"/>
                <w:sz w:val="18"/>
              </w:rPr>
              <w:t>Key activities</w:t>
            </w:r>
          </w:p>
        </w:tc>
      </w:tr>
      <w:tr>
        <w:tc>
          <w:tcPr>
            <w:tcW w:type="dxa" w:w="1077"/>
          </w:tcPr>
          <w:p>
            <w:pPr>
              <w:spacing w:after="40" w:before="40"/>
            </w:pPr>
            <w:r/>
            <w:r>
              <w:rPr>
                <w:b w:val="0"/>
                <w:i w:val="0"/>
                <w:sz w:val="18"/>
              </w:rPr>
              <w:t>1–2</w:t>
            </w:r>
          </w:p>
        </w:tc>
        <w:tc>
          <w:tcPr>
            <w:tcW w:type="dxa" w:w="2324"/>
          </w:tcPr>
          <w:p>
            <w:pPr>
              <w:spacing w:after="40" w:before="40"/>
            </w:pPr>
            <w:r/>
            <w:r>
              <w:rPr>
                <w:b w:val="0"/>
                <w:i w:val="0"/>
                <w:sz w:val="18"/>
              </w:rPr>
              <w:t>Foundations</w:t>
            </w:r>
          </w:p>
        </w:tc>
        <w:tc>
          <w:tcPr>
            <w:tcW w:type="dxa" w:w="5556"/>
          </w:tcPr>
          <w:p>
            <w:pPr>
              <w:spacing w:after="40" w:before="40"/>
            </w:pPr>
            <w:r/>
            <w:r>
              <w:rPr>
                <w:b w:val="0"/>
                <w:i w:val="0"/>
                <w:sz w:val="18"/>
              </w:rPr>
              <w:t>Finalise RQs and hypotheses; ethics / IRB submission; complete corpus ingestion (English version and board question bank); draft expert rubric and survey.</w:t>
            </w:r>
          </w:p>
        </w:tc>
      </w:tr>
      <w:tr>
        <w:tc>
          <w:tcPr>
            <w:tcW w:type="dxa" w:w="1077"/>
            <w:shd w:val="clear" w:fill="F4F6F9"/>
          </w:tcPr>
          <w:p>
            <w:pPr>
              <w:spacing w:after="40" w:before="40"/>
            </w:pPr>
            <w:r/>
            <w:r>
              <w:rPr>
                <w:b w:val="0"/>
                <w:i w:val="0"/>
                <w:sz w:val="18"/>
              </w:rPr>
              <w:t>2–3</w:t>
            </w:r>
          </w:p>
        </w:tc>
        <w:tc>
          <w:tcPr>
            <w:tcW w:type="dxa" w:w="2324"/>
            <w:shd w:val="clear" w:fill="F4F6F9"/>
          </w:tcPr>
          <w:p>
            <w:pPr>
              <w:spacing w:after="40" w:before="40"/>
            </w:pPr>
            <w:r/>
            <w:r>
              <w:rPr>
                <w:b w:val="0"/>
                <w:i w:val="0"/>
                <w:sz w:val="18"/>
              </w:rPr>
              <w:t>Close the protocol gaps</w:t>
            </w:r>
          </w:p>
        </w:tc>
        <w:tc>
          <w:tcPr>
            <w:tcW w:type="dxa" w:w="5556"/>
            <w:shd w:val="clear" w:fill="F4F6F9"/>
          </w:tcPr>
          <w:p>
            <w:pPr>
              <w:spacing w:after="40" w:before="40"/>
            </w:pPr>
            <w:r/>
            <w:r>
              <w:rPr>
                <w:b w:val="0"/>
                <w:i w:val="0"/>
                <w:sz w:val="18"/>
              </w:rPr>
              <w:t>Arm locking, phase sequencing and single-submission enforcement; server-side scoring; time-on-task and edit-before-submit logging; reliance scale; CSV export (see §4.9).</w:t>
            </w:r>
          </w:p>
        </w:tc>
      </w:tr>
      <w:tr>
        <w:tc>
          <w:tcPr>
            <w:tcW w:type="dxa" w:w="1077"/>
          </w:tcPr>
          <w:p>
            <w:pPr>
              <w:spacing w:after="40" w:before="40"/>
            </w:pPr>
            <w:r/>
            <w:r>
              <w:rPr>
                <w:b w:val="0"/>
                <w:i w:val="0"/>
                <w:sz w:val="18"/>
              </w:rPr>
              <w:t>3–5</w:t>
            </w:r>
          </w:p>
        </w:tc>
        <w:tc>
          <w:tcPr>
            <w:tcW w:type="dxa" w:w="2324"/>
          </w:tcPr>
          <w:p>
            <w:pPr>
              <w:spacing w:after="40" w:before="40"/>
            </w:pPr>
            <w:r/>
            <w:r>
              <w:rPr>
                <w:b w:val="0"/>
                <w:i w:val="0"/>
                <w:sz w:val="18"/>
              </w:rPr>
              <w:t>Certification</w:t>
            </w:r>
          </w:p>
        </w:tc>
        <w:tc>
          <w:tcPr>
            <w:tcW w:type="dxa" w:w="5556"/>
          </w:tcPr>
          <w:p>
            <w:pPr>
              <w:spacing w:after="40" w:before="40"/>
            </w:pPr>
            <w:r/>
            <w:r>
              <w:rPr>
                <w:b w:val="0"/>
                <w:i w:val="0"/>
                <w:sz w:val="18"/>
              </w:rPr>
              <w:t>Expert-panel survey round 1 → revise → round 2; compute I-CVI / S-CVI / κ; AI-versus-anchor check; assemble draft instruments.</w:t>
            </w:r>
          </w:p>
        </w:tc>
      </w:tr>
      <w:tr>
        <w:tc>
          <w:tcPr>
            <w:tcW w:type="dxa" w:w="1077"/>
            <w:shd w:val="clear" w:fill="F4F6F9"/>
          </w:tcPr>
          <w:p>
            <w:pPr>
              <w:spacing w:after="40" w:before="40"/>
            </w:pPr>
            <w:r/>
            <w:r>
              <w:rPr>
                <w:b w:val="0"/>
                <w:i w:val="0"/>
                <w:sz w:val="18"/>
              </w:rPr>
              <w:t>3–6</w:t>
            </w:r>
          </w:p>
        </w:tc>
        <w:tc>
          <w:tcPr>
            <w:tcW w:type="dxa" w:w="2324"/>
            <w:shd w:val="clear" w:fill="F4F6F9"/>
          </w:tcPr>
          <w:p>
            <w:pPr>
              <w:spacing w:after="40" w:before="40"/>
            </w:pPr>
            <w:r/>
            <w:r>
              <w:rPr>
                <w:b w:val="0"/>
                <w:i w:val="0"/>
                <w:sz w:val="18"/>
              </w:rPr>
              <w:t>Tutor hardening</w:t>
            </w:r>
          </w:p>
        </w:tc>
        <w:tc>
          <w:tcPr>
            <w:tcW w:type="dxa" w:w="5556"/>
            <w:shd w:val="clear" w:fill="F4F6F9"/>
          </w:tcPr>
          <w:p>
            <w:pPr>
              <w:spacing w:after="40" w:before="40"/>
            </w:pPr>
            <w:r/>
            <w:r>
              <w:rPr>
                <w:b w:val="0"/>
                <w:i w:val="0"/>
                <w:sz w:val="18"/>
              </w:rPr>
              <w:t>Pin the model and disable fallback; verify arm-filtered payloads; load-test a full session; rehearse on partner hardware.</w:t>
            </w:r>
          </w:p>
        </w:tc>
      </w:tr>
      <w:tr>
        <w:tc>
          <w:tcPr>
            <w:tcW w:type="dxa" w:w="1077"/>
          </w:tcPr>
          <w:p>
            <w:pPr>
              <w:spacing w:after="40" w:before="40"/>
            </w:pPr>
            <w:r/>
            <w:r>
              <w:rPr>
                <w:b w:val="0"/>
                <w:i w:val="0"/>
                <w:sz w:val="18"/>
              </w:rPr>
              <w:t>6–7</w:t>
            </w:r>
          </w:p>
        </w:tc>
        <w:tc>
          <w:tcPr>
            <w:tcW w:type="dxa" w:w="2324"/>
          </w:tcPr>
          <w:p>
            <w:pPr>
              <w:spacing w:after="40" w:before="40"/>
            </w:pPr>
            <w:r/>
            <w:r>
              <w:rPr>
                <w:b w:val="0"/>
                <w:i w:val="0"/>
                <w:sz w:val="18"/>
              </w:rPr>
              <w:t>Pilot</w:t>
            </w:r>
          </w:p>
        </w:tc>
        <w:tc>
          <w:tcPr>
            <w:tcW w:type="dxa" w:w="5556"/>
          </w:tcPr>
          <w:p>
            <w:pPr>
              <w:spacing w:after="40" w:before="40"/>
            </w:pPr>
            <w:r/>
            <w:r>
              <w:rPr>
                <w:b w:val="0"/>
                <w:i w:val="0"/>
                <w:sz w:val="18"/>
              </w:rPr>
              <w:t>Full dry-run of the protocol; psychometric item analysis (P, D, clarity); freeze the certified bank and instruments; fix instructions, logging and timings.</w:t>
            </w:r>
          </w:p>
        </w:tc>
      </w:tr>
      <w:tr>
        <w:tc>
          <w:tcPr>
            <w:tcW w:type="dxa" w:w="1077"/>
            <w:shd w:val="clear" w:fill="F4F6F9"/>
          </w:tcPr>
          <w:p>
            <w:pPr>
              <w:spacing w:after="40" w:before="40"/>
            </w:pPr>
            <w:r/>
            <w:r>
              <w:rPr>
                <w:b w:val="0"/>
                <w:i w:val="0"/>
                <w:sz w:val="18"/>
              </w:rPr>
              <w:t>8–11</w:t>
            </w:r>
          </w:p>
        </w:tc>
        <w:tc>
          <w:tcPr>
            <w:tcW w:type="dxa" w:w="2324"/>
            <w:shd w:val="clear" w:fill="F4F6F9"/>
          </w:tcPr>
          <w:p>
            <w:pPr>
              <w:spacing w:after="40" w:before="40"/>
            </w:pPr>
            <w:r/>
            <w:r>
              <w:rPr>
                <w:b w:val="0"/>
                <w:i w:val="0"/>
                <w:sz w:val="18"/>
              </w:rPr>
              <w:t>Data collection</w:t>
            </w:r>
          </w:p>
        </w:tc>
        <w:tc>
          <w:tcPr>
            <w:tcW w:type="dxa" w:w="5556"/>
            <w:shd w:val="clear" w:fill="F4F6F9"/>
          </w:tcPr>
          <w:p>
            <w:pPr>
              <w:spacing w:after="40" w:before="40"/>
            </w:pPr>
            <w:r/>
            <w:r>
              <w:rPr>
                <w:b w:val="0"/>
                <w:i w:val="0"/>
                <w:sz w:val="18"/>
              </w:rPr>
              <w:t>Run the controlled study across partner cohorts; monitor attrition.</w:t>
            </w:r>
          </w:p>
        </w:tc>
      </w:tr>
      <w:tr>
        <w:tc>
          <w:tcPr>
            <w:tcW w:type="dxa" w:w="1077"/>
          </w:tcPr>
          <w:p>
            <w:pPr>
              <w:spacing w:after="40" w:before="40"/>
            </w:pPr>
            <w:r/>
            <w:r>
              <w:rPr>
                <w:b w:val="0"/>
                <w:i w:val="0"/>
                <w:sz w:val="18"/>
              </w:rPr>
              <w:t>12–13</w:t>
            </w:r>
          </w:p>
        </w:tc>
        <w:tc>
          <w:tcPr>
            <w:tcW w:type="dxa" w:w="2324"/>
          </w:tcPr>
          <w:p>
            <w:pPr>
              <w:spacing w:after="40" w:before="40"/>
            </w:pPr>
            <w:r/>
            <w:r>
              <w:rPr>
                <w:b w:val="0"/>
                <w:i w:val="0"/>
                <w:sz w:val="18"/>
              </w:rPr>
              <w:t>Analysis</w:t>
            </w:r>
          </w:p>
        </w:tc>
        <w:tc>
          <w:tcPr>
            <w:tcW w:type="dxa" w:w="5556"/>
          </w:tcPr>
          <w:p>
            <w:pPr>
              <w:spacing w:after="40" w:before="40"/>
            </w:pPr>
            <w:r/>
            <w:r>
              <w:rPr>
                <w:b w:val="0"/>
                <w:i w:val="0"/>
                <w:sz w:val="18"/>
              </w:rPr>
              <w:t>Score forms; run statistical analyses; analyse logs; compile the V1 validation report.</w:t>
            </w:r>
          </w:p>
        </w:tc>
      </w:tr>
      <w:tr>
        <w:tc>
          <w:tcPr>
            <w:tcW w:type="dxa" w:w="1077"/>
            <w:shd w:val="clear" w:fill="F4F6F9"/>
          </w:tcPr>
          <w:p>
            <w:pPr>
              <w:spacing w:after="40" w:before="40"/>
            </w:pPr>
            <w:r/>
            <w:r>
              <w:rPr>
                <w:b w:val="0"/>
                <w:i w:val="0"/>
                <w:sz w:val="18"/>
              </w:rPr>
              <w:t>14–16</w:t>
            </w:r>
          </w:p>
        </w:tc>
        <w:tc>
          <w:tcPr>
            <w:tcW w:type="dxa" w:w="2324"/>
            <w:shd w:val="clear" w:fill="F4F6F9"/>
          </w:tcPr>
          <w:p>
            <w:pPr>
              <w:spacing w:after="40" w:before="40"/>
            </w:pPr>
            <w:r/>
            <w:r>
              <w:rPr>
                <w:b w:val="0"/>
                <w:i w:val="0"/>
                <w:sz w:val="18"/>
              </w:rPr>
              <w:t>Writing</w:t>
            </w:r>
          </w:p>
        </w:tc>
        <w:tc>
          <w:tcPr>
            <w:tcW w:type="dxa" w:w="5556"/>
            <w:shd w:val="clear" w:fill="F4F6F9"/>
          </w:tcPr>
          <w:p>
            <w:pPr>
              <w:spacing w:after="40" w:before="40"/>
            </w:pPr>
            <w:r/>
            <w:r>
              <w:rPr>
                <w:b w:val="0"/>
                <w:i w:val="0"/>
                <w:sz w:val="18"/>
              </w:rPr>
              <w:t>Draft paper; internal review; prepare submission and open materials, including the certified item bank.</w:t>
            </w:r>
          </w:p>
        </w:tc>
      </w:tr>
    </w:tbl>
    <w:p>
      <w:pPr>
        <w:spacing w:after="80"/>
      </w:pPr>
    </w:p>
    <w:p>
      <w:pPr>
        <w:spacing w:after="140"/>
        <w:jc w:val="both"/>
      </w:pPr>
      <w:r>
        <w:rPr>
          <w:b/>
          <w:sz w:val="21"/>
        </w:rPr>
        <w:t>Risk note.</w:t>
      </w:r>
      <w:r>
        <w:rPr>
          <w:b w:val="0"/>
          <w:i w:val="0"/>
          <w:sz w:val="21"/>
        </w:rPr>
        <w:t xml:space="preserve"> A tool build plus a human-subjects study in sixteen weeks is ambitious. The plan protects the schedule by (a) starting ethics approval immediately, (b) treating the Week 6–7 pilot as non-negotiable, (c) front-loading the protocol gaps in §4.9 into Weeks 2–3, because none of them are research questions and all of them block clean data, and (d) running expert certification in parallel with tutor hardening so the survey loop stays off the critical path. The single largest external dependency is model API quota: the free developer tier is sufficient for development but not for sixty participant sessions, so a paid key is provisioned before the pilot and answer caching is relied on to keep the per-session cost bounded.</w:t>
      </w:r>
    </w:p>
    <w:p>
      <w:pPr>
        <w:pStyle w:val="Heading1"/>
      </w:pPr>
      <w:r>
        <w:t>7.  Expected Outcomes and Significance</w:t>
      </w:r>
    </w:p>
    <w:p>
      <w:pPr>
        <w:spacing w:after="140"/>
        <w:jc w:val="both"/>
      </w:pPr>
      <w:r>
        <w:rPr>
          <w:b w:val="0"/>
          <w:i w:val="0"/>
          <w:sz w:val="21"/>
        </w:rPr>
        <w:t>We expect to show that reasoning-transparency preserves learning gains while reducing the dependency penalty that unrestricted answer-giving imposes — and, if the self-explanation mechanism holds, that it improves transfer specifically. Either a positive or a null result is publishable and useful: a positive result gives educators a concrete, low-cost design lever (show the reasoning) for deploying AI tutors responsibly; a null result meaningfully constrains the growing assumption that transparency alone is sufficient. By situating the study with higher secondary students in Bangladesh, the work adds rare evidence from an under-represented context and offers an open, replicable design that other researchers and educators in similar settings can reuse.</w:t>
      </w:r>
    </w:p>
    <w:p>
      <w:pPr>
        <w:spacing w:after="140"/>
        <w:jc w:val="both"/>
      </w:pPr>
      <w:r>
        <w:rPr>
          <w:b w:val="0"/>
          <w:i w:val="0"/>
          <w:sz w:val="21"/>
        </w:rPr>
        <w:t>Independent of the experimental result, the study delivers two standing artifacts: a certified, bilingual, curriculum-aligned question bank with full provenance and validity statistics — to our knowledge the first of its kind for the Bangladesh higher-secondary ICT syllabus — and a documented, criterion-based template (§4.4) for selecting and defending the technology stack of a pedagogical AI system in a low-resource setting, including the choices that were revised once the system met real constraints.</w:t>
      </w:r>
    </w:p>
    <w:p>
      <w:pPr>
        <w:pStyle w:val="Heading1"/>
      </w:pPr>
      <w:r>
        <w:t>8.  Selected References</w:t>
      </w:r>
    </w:p>
    <w:p>
      <w:pPr>
        <w:spacing w:after="140"/>
        <w:jc w:val="both"/>
      </w:pPr>
      <w:r>
        <w:rPr>
          <w:i/>
          <w:color w:val="5C6B80"/>
          <w:sz w:val="18"/>
        </w:rPr>
        <w:t>An indicative starting set; to be expanded to full formatting (APA / IEEE) in the final paper.</w:t>
      </w:r>
    </w:p>
    <w:p>
      <w:pPr>
        <w:spacing w:after="80"/>
        <w:ind w:left="454" w:hanging="454"/>
        <w:jc w:val="both"/>
      </w:pPr>
      <w:r>
        <w:rPr>
          <w:b w:val="0"/>
          <w:i w:val="0"/>
          <w:sz w:val="19"/>
        </w:rPr>
        <w:t>Bastani, H., Poulidis, S., &amp; Bastani, O. (2026). Self-Regulated AI Use Hinders Long-Term Learning. (Discussed via Knowledge at Wharton, 2026.)</w:t>
      </w:r>
    </w:p>
    <w:p>
      <w:pPr>
        <w:spacing w:after="80"/>
        <w:ind w:left="454" w:hanging="454"/>
        <w:jc w:val="both"/>
      </w:pPr>
      <w:r>
        <w:rPr>
          <w:b w:val="0"/>
          <w:i w:val="0"/>
          <w:sz w:val="19"/>
        </w:rPr>
        <w:t>Chen, J., Xiao, S., Zhang, P., Luo, K., Lian, D., &amp; Liu, Z. (2024). BGE M3-Embedding: Multi-lingual, multi-functionality, multi-granularity text embeddings. arXiv:2402.03216.</w:t>
      </w:r>
    </w:p>
    <w:p>
      <w:pPr>
        <w:spacing w:after="80"/>
        <w:ind w:left="454" w:hanging="454"/>
        <w:jc w:val="both"/>
      </w:pPr>
      <w:r>
        <w:rPr>
          <w:b w:val="0"/>
          <w:i w:val="0"/>
          <w:sz w:val="19"/>
        </w:rPr>
        <w:t>Cognitive Engagement with AI-Generated Code. (2024). Exploring the Design Space of Cognitive Engagement Techniques with AI-Generated Code for Enhanced Learning. arXiv:2410.08922.</w:t>
      </w:r>
    </w:p>
    <w:p>
      <w:pPr>
        <w:spacing w:after="80"/>
        <w:ind w:left="454" w:hanging="454"/>
        <w:jc w:val="both"/>
      </w:pPr>
      <w:r>
        <w:rPr>
          <w:b w:val="0"/>
          <w:i w:val="0"/>
          <w:sz w:val="19"/>
        </w:rPr>
        <w:t>Ebel, R. L., &amp; Frisbie, D. A. (1991). Essentials of Educational Measurement (5th ed.). Prentice-Hall.</w:t>
      </w:r>
    </w:p>
    <w:p>
      <w:pPr>
        <w:spacing w:after="80"/>
        <w:ind w:left="454" w:hanging="454"/>
        <w:jc w:val="both"/>
      </w:pPr>
      <w:r>
        <w:rPr>
          <w:b w:val="0"/>
          <w:i w:val="0"/>
          <w:sz w:val="19"/>
        </w:rPr>
        <w:t>Fodouop Kouam, A. W. (2024). The effectiveness of intelligent tutoring systems in supporting students with varying levels of programming experience. Discover Education, 3, 278.</w:t>
      </w:r>
    </w:p>
    <w:p>
      <w:pPr>
        <w:spacing w:after="80"/>
        <w:ind w:left="454" w:hanging="454"/>
        <w:jc w:val="both"/>
      </w:pPr>
      <w:r>
        <w:rPr>
          <w:b w:val="0"/>
          <w:i w:val="0"/>
          <w:sz w:val="19"/>
        </w:rPr>
        <w:t>How Novices Use LLM-Based Code Generators (2023). arXiv:2309.14049.</w:t>
      </w:r>
    </w:p>
    <w:p>
      <w:pPr>
        <w:spacing w:after="80"/>
        <w:ind w:left="454" w:hanging="454"/>
        <w:jc w:val="both"/>
      </w:pPr>
      <w:r>
        <w:rPr>
          <w:b w:val="0"/>
          <w:i w:val="0"/>
          <w:sz w:val="19"/>
        </w:rPr>
        <w:t>Kazemitabaar, M., et al. (2023). Studying the effect of AI code generators on supporting novice learners in introductory programming.</w:t>
      </w:r>
    </w:p>
    <w:p>
      <w:pPr>
        <w:spacing w:after="80"/>
        <w:ind w:left="454" w:hanging="454"/>
        <w:jc w:val="both"/>
      </w:pPr>
      <w:r>
        <w:rPr>
          <w:b w:val="0"/>
          <w:i w:val="0"/>
          <w:sz w:val="19"/>
        </w:rPr>
        <w:t>Kurdi, G., Leo, J., Parsia, B., Sattler, U., &amp; Al-Emari, S. (2020). A systematic review of automatic question generation for educational purposes. International Journal of Artificial Intelligence in Education, 30, 121–204.</w:t>
      </w:r>
    </w:p>
    <w:p>
      <w:pPr>
        <w:spacing w:after="80"/>
        <w:ind w:left="454" w:hanging="454"/>
        <w:jc w:val="both"/>
      </w:pPr>
      <w:r>
        <w:rPr>
          <w:b w:val="0"/>
          <w:i w:val="0"/>
          <w:sz w:val="19"/>
        </w:rPr>
        <w:t>Lewis, P., Perez, E., Piktus, A., et al. (2020). Retrieval-augmented generation for knowledge-intensive NLP tasks. Advances in Neural Information Processing Systems, 33.</w:t>
      </w:r>
    </w:p>
    <w:p>
      <w:pPr>
        <w:spacing w:after="80"/>
        <w:ind w:left="454" w:hanging="454"/>
        <w:jc w:val="both"/>
      </w:pPr>
      <w:r>
        <w:rPr>
          <w:b w:val="0"/>
          <w:i w:val="0"/>
          <w:sz w:val="19"/>
        </w:rPr>
        <w:t>Lynn, M. R. (1986). Determination and quantification of content validity. Nursing Research, 35(6), 382–385.</w:t>
      </w:r>
    </w:p>
    <w:p>
      <w:pPr>
        <w:spacing w:after="80"/>
        <w:ind w:left="454" w:hanging="454"/>
        <w:jc w:val="both"/>
      </w:pPr>
      <w:r>
        <w:rPr>
          <w:b w:val="0"/>
          <w:i w:val="0"/>
          <w:sz w:val="19"/>
        </w:rPr>
        <w:t>Polit, D. F., &amp; Beck, C. T. (2006). The content validity index: Are you sure you know what’s being reported? Research in Nursing &amp; Health, 29(5), 489–497.</w:t>
      </w:r>
    </w:p>
    <w:p>
      <w:pPr>
        <w:spacing w:after="80"/>
        <w:ind w:left="454" w:hanging="454"/>
        <w:jc w:val="both"/>
      </w:pPr>
      <w:r>
        <w:rPr>
          <w:b w:val="0"/>
          <w:i w:val="0"/>
          <w:sz w:val="19"/>
        </w:rPr>
        <w:t>Stanford SCALE Initiative. (2025). Students’ Reliance on AI in Higher Education: Identifying Contributing Factors. arXiv:2506.13845.</w:t>
      </w:r>
    </w:p>
    <w:p>
      <w:pPr>
        <w:spacing w:after="80"/>
        <w:ind w:left="454" w:hanging="454"/>
        <w:jc w:val="both"/>
      </w:pPr>
      <w:r>
        <w:rPr>
          <w:b w:val="0"/>
          <w:i w:val="0"/>
          <w:sz w:val="19"/>
        </w:rPr>
        <w:t>Sweller, J. Cognitive load theory, learning difficulty, and instructional design.</w:t>
      </w:r>
    </w:p>
    <w:p>
      <w:pPr>
        <w:spacing w:after="80"/>
        <w:ind w:left="454" w:hanging="454"/>
        <w:jc w:val="both"/>
      </w:pPr>
      <w:r>
        <w:rPr>
          <w:b w:val="0"/>
          <w:i w:val="0"/>
          <w:sz w:val="19"/>
        </w:rPr>
        <w:t>Systematic Review. (2025). Teaching with AI: A Systematic Review of Chatbots, Generative Tools, and Tutoring Systems in Programming Education. arXiv:2510.03884.</w:t>
      </w:r>
    </w:p>
    <w:p>
      <w:r>
        <w:br w:type="page"/>
      </w:r>
    </w:p>
    <w:p>
      <w:pPr>
        <w:pStyle w:val="Heading1"/>
      </w:pPr>
      <w:r>
        <w:t>Appendix A.  System Reference</w:t>
      </w:r>
    </w:p>
    <w:p>
      <w:pPr>
        <w:spacing w:after="140"/>
        <w:jc w:val="both"/>
      </w:pPr>
      <w:r>
        <w:rPr>
          <w:b w:val="0"/>
          <w:i w:val="0"/>
          <w:sz w:val="21"/>
        </w:rPr>
        <w:t>A concise reference to the implemented platform, for readers assessing whether the instrument supports the claims in §4.</w:t>
      </w:r>
    </w:p>
    <w:p>
      <w:pPr>
        <w:pStyle w:val="Heading2"/>
      </w:pPr>
      <w:r>
        <w:t>A.1  Data model (research-relevant tables)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1928"/>
            <w:shd w:val="clear" w:fill="1F3D6B"/>
          </w:tcPr>
          <w:p>
            <w:pPr>
              <w:spacing w:after="40" w:before="40"/>
            </w:pPr>
            <w:r/>
            <w:r>
              <w:rPr>
                <w:b/>
                <w:color w:val="FFFFFF"/>
                <w:sz w:val="18"/>
              </w:rPr>
              <w:t>Table</w:t>
            </w:r>
          </w:p>
        </w:tc>
        <w:tc>
          <w:tcPr>
            <w:tcW w:type="dxa" w:w="2154"/>
            <w:shd w:val="clear" w:fill="1F3D6B"/>
          </w:tcPr>
          <w:p>
            <w:pPr>
              <w:spacing w:after="40" w:before="40"/>
            </w:pPr>
            <w:r/>
            <w:r>
              <w:rPr>
                <w:b/>
                <w:color w:val="FFFFFF"/>
                <w:sz w:val="18"/>
              </w:rPr>
              <w:t>Purpose</w:t>
            </w:r>
          </w:p>
        </w:tc>
        <w:tc>
          <w:tcPr>
            <w:tcW w:type="dxa" w:w="4876"/>
            <w:shd w:val="clear" w:fill="1F3D6B"/>
          </w:tcPr>
          <w:p>
            <w:pPr>
              <w:spacing w:after="40" w:before="40"/>
            </w:pPr>
            <w:r/>
            <w:r>
              <w:rPr>
                <w:b/>
                <w:color w:val="FFFFFF"/>
                <w:sz w:val="18"/>
              </w:rPr>
              <w:t>Key fields</w:t>
            </w:r>
          </w:p>
        </w:tc>
      </w:tr>
      <w:tr>
        <w:tc>
          <w:tcPr>
            <w:tcW w:type="dxa" w:w="1928"/>
          </w:tcPr>
          <w:p>
            <w:pPr>
              <w:spacing w:after="40" w:before="40"/>
            </w:pPr>
            <w:r/>
            <w:r>
              <w:rPr>
                <w:b w:val="0"/>
                <w:i w:val="0"/>
                <w:sz w:val="18"/>
              </w:rPr>
              <w:t>ParticipantProfile</w:t>
            </w:r>
          </w:p>
        </w:tc>
        <w:tc>
          <w:tcPr>
            <w:tcW w:type="dxa" w:w="2154"/>
          </w:tcPr>
          <w:p>
            <w:pPr>
              <w:spacing w:after="40" w:before="40"/>
            </w:pPr>
            <w:r/>
            <w:r>
              <w:rPr>
                <w:b w:val="0"/>
                <w:i w:val="0"/>
                <w:sz w:val="18"/>
              </w:rPr>
              <w:t>One per user; the research record</w:t>
            </w:r>
          </w:p>
        </w:tc>
        <w:tc>
          <w:tcPr>
            <w:tcW w:type="dxa" w:w="4876"/>
          </w:tcPr>
          <w:p>
            <w:pPr>
              <w:spacing w:after="40" w:before="40"/>
            </w:pPr>
            <w:r/>
            <w:r>
              <w:rPr>
                <w:b w:val="0"/>
                <w:i w:val="0"/>
                <w:sz w:val="18"/>
              </w:rPr>
              <w:t>role, assigned_arm, participant_code, preferred_language, consent_given / consent_at / consent_version, covariates (prior_experience, ai_tool_familiarity, device_type, internet_access, weekly_study_hours, school_type, division, district)</w:t>
            </w:r>
          </w:p>
        </w:tc>
      </w:tr>
      <w:tr>
        <w:tc>
          <w:tcPr>
            <w:tcW w:type="dxa" w:w="1928"/>
            <w:shd w:val="clear" w:fill="F4F6F9"/>
          </w:tcPr>
          <w:p>
            <w:pPr>
              <w:spacing w:after="40" w:before="40"/>
            </w:pPr>
            <w:r/>
            <w:r>
              <w:rPr>
                <w:b w:val="0"/>
                <w:i w:val="0"/>
                <w:sz w:val="18"/>
              </w:rPr>
              <w:t>InteractionLog</w:t>
            </w:r>
          </w:p>
        </w:tc>
        <w:tc>
          <w:tcPr>
            <w:tcW w:type="dxa" w:w="2154"/>
            <w:shd w:val="clear" w:fill="F4F6F9"/>
          </w:tcPr>
          <w:p>
            <w:pPr>
              <w:spacing w:after="40" w:before="40"/>
            </w:pPr>
            <w:r/>
            <w:r>
              <w:rPr>
                <w:b w:val="0"/>
                <w:i w:val="0"/>
                <w:sz w:val="18"/>
              </w:rPr>
              <w:t>Append-only behavioural log</w:t>
            </w:r>
          </w:p>
        </w:tc>
        <w:tc>
          <w:tcPr>
            <w:tcW w:type="dxa" w:w="4876"/>
            <w:shd w:val="clear" w:fill="F4F6F9"/>
          </w:tcPr>
          <w:p>
            <w:pPr>
              <w:spacing w:after="40" w:before="40"/>
            </w:pPr>
            <w:r/>
            <w:r>
              <w:rPr>
                <w:b w:val="0"/>
                <w:i w:val="0"/>
                <w:sz w:val="18"/>
              </w:rPr>
              <w:t>user, event_type, arm, problem_id, payload (JSON), timestamp</w:t>
            </w:r>
          </w:p>
        </w:tc>
      </w:tr>
      <w:tr>
        <w:tc>
          <w:tcPr>
            <w:tcW w:type="dxa" w:w="1928"/>
          </w:tcPr>
          <w:p>
            <w:pPr>
              <w:spacing w:after="40" w:before="40"/>
            </w:pPr>
            <w:r/>
            <w:r>
              <w:rPr>
                <w:b w:val="0"/>
                <w:i w:val="0"/>
                <w:sz w:val="18"/>
              </w:rPr>
              <w:t>ExamSubmission</w:t>
            </w:r>
          </w:p>
        </w:tc>
        <w:tc>
          <w:tcPr>
            <w:tcW w:type="dxa" w:w="2154"/>
          </w:tcPr>
          <w:p>
            <w:pPr>
              <w:spacing w:after="40" w:before="40"/>
            </w:pPr>
            <w:r/>
            <w:r>
              <w:rPr>
                <w:b w:val="0"/>
                <w:i w:val="0"/>
                <w:sz w:val="18"/>
              </w:rPr>
              <w:t>One per submitted form</w:t>
            </w:r>
          </w:p>
        </w:tc>
        <w:tc>
          <w:tcPr>
            <w:tcW w:type="dxa" w:w="4876"/>
          </w:tcPr>
          <w:p>
            <w:pPr>
              <w:spacing w:after="40" w:before="40"/>
            </w:pPr>
            <w:r/>
            <w:r>
              <w:rPr>
                <w:b w:val="0"/>
                <w:i w:val="0"/>
                <w:sz w:val="18"/>
              </w:rPr>
              <w:t>student, exam_type, score_pct, answers (JSON), submitted_at</w:t>
            </w:r>
          </w:p>
        </w:tc>
      </w:tr>
      <w:tr>
        <w:tc>
          <w:tcPr>
            <w:tcW w:type="dxa" w:w="1928"/>
            <w:shd w:val="clear" w:fill="F4F6F9"/>
          </w:tcPr>
          <w:p>
            <w:pPr>
              <w:spacing w:after="40" w:before="40"/>
            </w:pPr>
            <w:r/>
            <w:r>
              <w:rPr>
                <w:b w:val="0"/>
                <w:i w:val="0"/>
                <w:sz w:val="18"/>
              </w:rPr>
              <w:t>CurriculumPassage</w:t>
            </w:r>
          </w:p>
        </w:tc>
        <w:tc>
          <w:tcPr>
            <w:tcW w:type="dxa" w:w="2154"/>
            <w:shd w:val="clear" w:fill="F4F6F9"/>
          </w:tcPr>
          <w:p>
            <w:pPr>
              <w:spacing w:after="40" w:before="40"/>
            </w:pPr>
            <w:r/>
            <w:r>
              <w:rPr>
                <w:b w:val="0"/>
                <w:i w:val="0"/>
                <w:sz w:val="18"/>
              </w:rPr>
              <w:t>Indexed corpus chunk</w:t>
            </w:r>
          </w:p>
        </w:tc>
        <w:tc>
          <w:tcPr>
            <w:tcW w:type="dxa" w:w="4876"/>
            <w:shd w:val="clear" w:fill="F4F6F9"/>
          </w:tcPr>
          <w:p>
            <w:pPr>
              <w:spacing w:after="40" w:before="40"/>
            </w:pPr>
            <w:r/>
            <w:r>
              <w:rPr>
                <w:b w:val="0"/>
                <w:i w:val="0"/>
                <w:sz w:val="18"/>
              </w:rPr>
              <w:t>chapter, topic, language, content, source_ref, chroma_id</w:t>
            </w:r>
          </w:p>
        </w:tc>
      </w:tr>
      <w:tr>
        <w:tc>
          <w:tcPr>
            <w:tcW w:type="dxa" w:w="1928"/>
          </w:tcPr>
          <w:p>
            <w:pPr>
              <w:spacing w:after="40" w:before="40"/>
            </w:pPr>
            <w:r/>
            <w:r>
              <w:rPr>
                <w:b w:val="0"/>
                <w:i w:val="0"/>
                <w:sz w:val="18"/>
              </w:rPr>
              <w:t>ExpertRating</w:t>
            </w:r>
          </w:p>
        </w:tc>
        <w:tc>
          <w:tcPr>
            <w:tcW w:type="dxa" w:w="2154"/>
          </w:tcPr>
          <w:p>
            <w:pPr>
              <w:spacing w:after="40" w:before="40"/>
            </w:pPr>
            <w:r/>
            <w:r>
              <w:rPr>
                <w:b w:val="0"/>
                <w:i w:val="0"/>
                <w:sz w:val="18"/>
              </w:rPr>
              <w:t>Expert CVI rating of one item</w:t>
            </w:r>
          </w:p>
        </w:tc>
        <w:tc>
          <w:tcPr>
            <w:tcW w:type="dxa" w:w="4876"/>
          </w:tcPr>
          <w:p>
            <w:pPr>
              <w:spacing w:after="40" w:before="40"/>
            </w:pPr>
            <w:r/>
            <w:r>
              <w:rPr>
                <w:b w:val="0"/>
                <w:i w:val="0"/>
                <w:sz w:val="18"/>
              </w:rPr>
              <w:t>expert_user, item, alignment / accuracy / clarity / difficulty / answerability (1–4), feedback</w:t>
            </w:r>
          </w:p>
        </w:tc>
      </w:tr>
      <w:tr>
        <w:tc>
          <w:tcPr>
            <w:tcW w:type="dxa" w:w="1928"/>
            <w:shd w:val="clear" w:fill="F4F6F9"/>
          </w:tcPr>
          <w:p>
            <w:pPr>
              <w:spacing w:after="40" w:before="40"/>
            </w:pPr>
            <w:r/>
            <w:r>
              <w:rPr>
                <w:b w:val="0"/>
                <w:i w:val="0"/>
                <w:sz w:val="18"/>
              </w:rPr>
              <w:t>ExpertGrade</w:t>
            </w:r>
          </w:p>
        </w:tc>
        <w:tc>
          <w:tcPr>
            <w:tcW w:type="dxa" w:w="2154"/>
            <w:shd w:val="clear" w:fill="F4F6F9"/>
          </w:tcPr>
          <w:p>
            <w:pPr>
              <w:spacing w:after="40" w:before="40"/>
            </w:pPr>
            <w:r/>
            <w:r>
              <w:rPr>
                <w:b w:val="0"/>
                <w:i w:val="0"/>
                <w:sz w:val="18"/>
              </w:rPr>
              <w:t>Expert mark on a student submission</w:t>
            </w:r>
          </w:p>
        </w:tc>
        <w:tc>
          <w:tcPr>
            <w:tcW w:type="dxa" w:w="4876"/>
            <w:shd w:val="clear" w:fill="F4F6F9"/>
          </w:tcPr>
          <w:p>
            <w:pPr>
              <w:spacing w:after="40" w:before="40"/>
            </w:pPr>
            <w:r/>
            <w:r>
              <w:rPr>
                <w:b w:val="0"/>
                <w:i w:val="0"/>
                <w:sz w:val="18"/>
              </w:rPr>
              <w:t>submission, expert_user, assigned_marks, max_marks, feedback_comments, graded_at</w:t>
            </w:r>
          </w:p>
        </w:tc>
      </w:tr>
    </w:tbl>
    <w:p>
      <w:pPr>
        <w:spacing w:after="80"/>
      </w:pPr>
    </w:p>
    <w:p>
      <w:pPr>
        <w:pStyle w:val="Heading2"/>
      </w:pPr>
      <w:r>
        <w:t>A.2  Logged event types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381"/>
            <w:shd w:val="clear" w:fill="1F3D6B"/>
          </w:tcPr>
          <w:p>
            <w:pPr>
              <w:spacing w:after="40" w:before="40"/>
            </w:pPr>
            <w:r/>
            <w:r>
              <w:rPr>
                <w:b/>
                <w:color w:val="FFFFFF"/>
                <w:sz w:val="18"/>
              </w:rPr>
              <w:t>Event</w:t>
            </w:r>
          </w:p>
        </w:tc>
        <w:tc>
          <w:tcPr>
            <w:tcW w:type="dxa" w:w="3515"/>
            <w:shd w:val="clear" w:fill="1F3D6B"/>
          </w:tcPr>
          <w:p>
            <w:pPr>
              <w:spacing w:after="40" w:before="40"/>
            </w:pPr>
            <w:r/>
            <w:r>
              <w:rPr>
                <w:b/>
                <w:color w:val="FFFFFF"/>
                <w:sz w:val="18"/>
              </w:rPr>
              <w:t>Emitted when</w:t>
            </w:r>
          </w:p>
        </w:tc>
        <w:tc>
          <w:tcPr>
            <w:tcW w:type="dxa" w:w="3061"/>
            <w:shd w:val="clear" w:fill="1F3D6B"/>
          </w:tcPr>
          <w:p>
            <w:pPr>
              <w:spacing w:after="40" w:before="40"/>
            </w:pPr>
            <w:r/>
            <w:r>
              <w:rPr>
                <w:b/>
                <w:color w:val="FFFFFF"/>
                <w:sz w:val="18"/>
              </w:rPr>
              <w:t>Used for</w:t>
            </w:r>
          </w:p>
        </w:tc>
      </w:tr>
      <w:tr>
        <w:tc>
          <w:tcPr>
            <w:tcW w:type="dxa" w:w="2381"/>
          </w:tcPr>
          <w:p>
            <w:pPr>
              <w:spacing w:after="40" w:before="40"/>
            </w:pPr>
            <w:r/>
            <w:r>
              <w:rPr>
                <w:b w:val="0"/>
                <w:i w:val="0"/>
                <w:sz w:val="18"/>
              </w:rPr>
              <w:t>WORKSPACE_ENTER</w:t>
            </w:r>
          </w:p>
        </w:tc>
        <w:tc>
          <w:tcPr>
            <w:tcW w:type="dxa" w:w="3515"/>
          </w:tcPr>
          <w:p>
            <w:pPr>
              <w:spacing w:after="40" w:before="40"/>
            </w:pPr>
            <w:r/>
            <w:r>
              <w:rPr>
                <w:b w:val="0"/>
                <w:i w:val="0"/>
                <w:sz w:val="18"/>
              </w:rPr>
              <w:t>A participant opens the coding workspace</w:t>
            </w:r>
          </w:p>
        </w:tc>
        <w:tc>
          <w:tcPr>
            <w:tcW w:type="dxa" w:w="3061"/>
          </w:tcPr>
          <w:p>
            <w:pPr>
              <w:spacing w:after="40" w:before="40"/>
            </w:pPr>
            <w:r/>
            <w:r>
              <w:rPr>
                <w:b w:val="0"/>
                <w:i w:val="0"/>
                <w:sz w:val="18"/>
              </w:rPr>
              <w:t>Session structure, time-on-task</w:t>
            </w:r>
          </w:p>
        </w:tc>
      </w:tr>
      <w:tr>
        <w:tc>
          <w:tcPr>
            <w:tcW w:type="dxa" w:w="2381"/>
            <w:shd w:val="clear" w:fill="F4F6F9"/>
          </w:tcPr>
          <w:p>
            <w:pPr>
              <w:spacing w:after="40" w:before="40"/>
            </w:pPr>
            <w:r/>
            <w:r>
              <w:rPr>
                <w:b w:val="0"/>
                <w:i w:val="0"/>
                <w:sz w:val="18"/>
              </w:rPr>
              <w:t>HELP_REQUEST</w:t>
            </w:r>
          </w:p>
        </w:tc>
        <w:tc>
          <w:tcPr>
            <w:tcW w:type="dxa" w:w="3515"/>
            <w:shd w:val="clear" w:fill="F4F6F9"/>
          </w:tcPr>
          <w:p>
            <w:pPr>
              <w:spacing w:after="40" w:before="40"/>
            </w:pPr>
            <w:r/>
            <w:r>
              <w:rPr>
                <w:b w:val="0"/>
                <w:i w:val="0"/>
                <w:sz w:val="18"/>
              </w:rPr>
              <w:t>A tutor question is sent</w:t>
            </w:r>
          </w:p>
        </w:tc>
        <w:tc>
          <w:tcPr>
            <w:tcW w:type="dxa" w:w="3061"/>
            <w:shd w:val="clear" w:fill="F4F6F9"/>
          </w:tcPr>
          <w:p>
            <w:pPr>
              <w:spacing w:after="40" w:before="40"/>
            </w:pPr>
            <w:r/>
            <w:r>
              <w:rPr>
                <w:b w:val="0"/>
                <w:i w:val="0"/>
                <w:sz w:val="18"/>
              </w:rPr>
              <w:t>Help-request rate (RQ3)</w:t>
            </w:r>
          </w:p>
        </w:tc>
      </w:tr>
      <w:tr>
        <w:tc>
          <w:tcPr>
            <w:tcW w:type="dxa" w:w="2381"/>
          </w:tcPr>
          <w:p>
            <w:pPr>
              <w:spacing w:after="40" w:before="40"/>
            </w:pPr>
            <w:r/>
            <w:r>
              <w:rPr>
                <w:b w:val="0"/>
                <w:i w:val="0"/>
                <w:sz w:val="18"/>
              </w:rPr>
              <w:t>CODE_RUN / CODE_RESULT</w:t>
            </w:r>
          </w:p>
        </w:tc>
        <w:tc>
          <w:tcPr>
            <w:tcW w:type="dxa" w:w="3515"/>
          </w:tcPr>
          <w:p>
            <w:pPr>
              <w:spacing w:after="40" w:before="40"/>
            </w:pPr>
            <w:r/>
            <w:r>
              <w:rPr>
                <w:b w:val="0"/>
                <w:i w:val="0"/>
                <w:sz w:val="18"/>
              </w:rPr>
              <w:t>A program is compiled and run, with its outcome</w:t>
            </w:r>
          </w:p>
        </w:tc>
        <w:tc>
          <w:tcPr>
            <w:tcW w:type="dxa" w:w="3061"/>
          </w:tcPr>
          <w:p>
            <w:pPr>
              <w:spacing w:after="40" w:before="40"/>
            </w:pPr>
            <w:r/>
            <w:r>
              <w:rPr>
                <w:b w:val="0"/>
                <w:i w:val="0"/>
                <w:sz w:val="18"/>
              </w:rPr>
              <w:t>Attempts, pass rate, edit-and-retry behaviour</w:t>
            </w:r>
          </w:p>
        </w:tc>
      </w:tr>
      <w:tr>
        <w:tc>
          <w:tcPr>
            <w:tcW w:type="dxa" w:w="2381"/>
            <w:shd w:val="clear" w:fill="F4F6F9"/>
          </w:tcPr>
          <w:p>
            <w:pPr>
              <w:spacing w:after="40" w:before="40"/>
            </w:pPr>
            <w:r/>
            <w:r>
              <w:rPr>
                <w:b w:val="0"/>
                <w:i w:val="0"/>
                <w:sz w:val="18"/>
              </w:rPr>
              <w:t>COPY_PASTE</w:t>
            </w:r>
          </w:p>
        </w:tc>
        <w:tc>
          <w:tcPr>
            <w:tcW w:type="dxa" w:w="3515"/>
            <w:shd w:val="clear" w:fill="F4F6F9"/>
          </w:tcPr>
          <w:p>
            <w:pPr>
              <w:spacing w:after="40" w:before="40"/>
            </w:pPr>
            <w:r/>
            <w:r>
              <w:rPr>
                <w:b w:val="0"/>
                <w:i w:val="0"/>
                <w:sz w:val="18"/>
              </w:rPr>
              <w:t>AI-supplied code is copied, with its length</w:t>
            </w:r>
          </w:p>
        </w:tc>
        <w:tc>
          <w:tcPr>
            <w:tcW w:type="dxa" w:w="3061"/>
            <w:shd w:val="clear" w:fill="F4F6F9"/>
          </w:tcPr>
          <w:p>
            <w:pPr>
              <w:spacing w:after="40" w:before="40"/>
            </w:pPr>
            <w:r/>
            <w:r>
              <w:rPr>
                <w:b w:val="0"/>
                <w:i w:val="0"/>
                <w:sz w:val="18"/>
              </w:rPr>
              <w:t>Uncritical acceptance (RQ3)</w:t>
            </w:r>
          </w:p>
        </w:tc>
      </w:tr>
      <w:tr>
        <w:tc>
          <w:tcPr>
            <w:tcW w:type="dxa" w:w="2381"/>
          </w:tcPr>
          <w:p>
            <w:pPr>
              <w:spacing w:after="40" w:before="40"/>
            </w:pPr>
            <w:r/>
            <w:r>
              <w:rPr>
                <w:b w:val="0"/>
                <w:i w:val="0"/>
                <w:sz w:val="18"/>
              </w:rPr>
              <w:t>SUBMIT_ASSESSMENT</w:t>
            </w:r>
          </w:p>
        </w:tc>
        <w:tc>
          <w:tcPr>
            <w:tcW w:type="dxa" w:w="3515"/>
          </w:tcPr>
          <w:p>
            <w:pPr>
              <w:spacing w:after="40" w:before="40"/>
            </w:pPr>
            <w:r/>
            <w:r>
              <w:rPr>
                <w:b w:val="0"/>
                <w:i w:val="0"/>
                <w:sz w:val="18"/>
              </w:rPr>
              <w:t>A form is submitted</w:t>
            </w:r>
          </w:p>
        </w:tc>
        <w:tc>
          <w:tcPr>
            <w:tcW w:type="dxa" w:w="3061"/>
          </w:tcPr>
          <w:p>
            <w:pPr>
              <w:spacing w:after="40" w:before="40"/>
            </w:pPr>
            <w:r/>
            <w:r>
              <w:rPr>
                <w:b w:val="0"/>
                <w:i w:val="0"/>
                <w:sz w:val="18"/>
              </w:rPr>
              <w:t>Scores, phase completion</w:t>
            </w:r>
          </w:p>
        </w:tc>
      </w:tr>
      <w:tr>
        <w:tc>
          <w:tcPr>
            <w:tcW w:type="dxa" w:w="2381"/>
            <w:shd w:val="clear" w:fill="F4F6F9"/>
          </w:tcPr>
          <w:p>
            <w:pPr>
              <w:spacing w:after="40" w:before="40"/>
            </w:pPr>
            <w:r/>
            <w:r>
              <w:rPr>
                <w:b w:val="0"/>
                <w:i w:val="0"/>
                <w:sz w:val="18"/>
              </w:rPr>
              <w:t>ARM_SWITCH</w:t>
            </w:r>
          </w:p>
        </w:tc>
        <w:tc>
          <w:tcPr>
            <w:tcW w:type="dxa" w:w="3515"/>
            <w:shd w:val="clear" w:fill="F4F6F9"/>
          </w:tcPr>
          <w:p>
            <w:pPr>
              <w:spacing w:after="40" w:before="40"/>
            </w:pPr>
            <w:r/>
            <w:r>
              <w:rPr>
                <w:b w:val="0"/>
                <w:i w:val="0"/>
                <w:sz w:val="18"/>
              </w:rPr>
              <w:t>An arm is changed, with who changed it and why</w:t>
            </w:r>
          </w:p>
        </w:tc>
        <w:tc>
          <w:tcPr>
            <w:tcW w:type="dxa" w:w="3061"/>
            <w:shd w:val="clear" w:fill="F4F6F9"/>
          </w:tcPr>
          <w:p>
            <w:pPr>
              <w:spacing w:after="40" w:before="40"/>
            </w:pPr>
            <w:r/>
            <w:r>
              <w:rPr>
                <w:b w:val="0"/>
                <w:i w:val="0"/>
                <w:sz w:val="18"/>
              </w:rPr>
              <w:t>Audit of assignment integrity (§4.1)</w:t>
            </w:r>
          </w:p>
        </w:tc>
      </w:tr>
      <w:tr>
        <w:tc>
          <w:tcPr>
            <w:tcW w:type="dxa" w:w="2381"/>
          </w:tcPr>
          <w:p>
            <w:pPr>
              <w:spacing w:after="40" w:before="40"/>
            </w:pPr>
            <w:r/>
            <w:r>
              <w:rPr>
                <w:b w:val="0"/>
                <w:i w:val="0"/>
                <w:sz w:val="18"/>
              </w:rPr>
              <w:t>LOGIN / LOGOUT / REGISTER</w:t>
            </w:r>
          </w:p>
        </w:tc>
        <w:tc>
          <w:tcPr>
            <w:tcW w:type="dxa" w:w="3515"/>
          </w:tcPr>
          <w:p>
            <w:pPr>
              <w:spacing w:after="40" w:before="40"/>
            </w:pPr>
            <w:r/>
            <w:r>
              <w:rPr>
                <w:b w:val="0"/>
                <w:i w:val="0"/>
                <w:sz w:val="18"/>
              </w:rPr>
              <w:t>Session boundaries</w:t>
            </w:r>
          </w:p>
        </w:tc>
        <w:tc>
          <w:tcPr>
            <w:tcW w:type="dxa" w:w="3061"/>
          </w:tcPr>
          <w:p>
            <w:pPr>
              <w:spacing w:after="40" w:before="40"/>
            </w:pPr>
            <w:r/>
            <w:r>
              <w:rPr>
                <w:b w:val="0"/>
                <w:i w:val="0"/>
                <w:sz w:val="18"/>
              </w:rPr>
              <w:t>Attrition, session count</w:t>
            </w:r>
          </w:p>
        </w:tc>
      </w:tr>
    </w:tbl>
    <w:p>
      <w:pPr>
        <w:spacing w:after="80"/>
      </w:pPr>
    </w:p>
    <w:p>
      <w:pPr>
        <w:pStyle w:val="Heading2"/>
      </w:pPr>
      <w:r>
        <w:t>A.3  Principal API surface</w:t>
      </w:r>
    </w:p>
    <w:tbl>
      <w:tblPr>
        <w:tblStyle w:val="TableGrid"/>
        <w:tblW w:type="auto" w:w="0"/>
        <w:jc w:val="center"/>
        <w:tblLayout w:type="fixed"/>
        <w:tblLook w:firstColumn="1" w:firstRow="1" w:lastColumn="0" w:lastRow="0" w:noHBand="0" w:noVBand="1" w:val="04A0"/>
      </w:tblPr>
      <w:tblGrid>
        <w:gridCol w:w="4592"/>
        <w:gridCol w:w="4592"/>
      </w:tblGrid>
      <w:tr>
        <w:tc>
          <w:tcPr>
            <w:tcW w:type="dxa" w:w="4195"/>
            <w:shd w:val="clear" w:fill="1F3D6B"/>
          </w:tcPr>
          <w:p>
            <w:pPr>
              <w:spacing w:after="40" w:before="40"/>
            </w:pPr>
            <w:r/>
            <w:r>
              <w:rPr>
                <w:b/>
                <w:color w:val="FFFFFF"/>
                <w:sz w:val="18"/>
              </w:rPr>
              <w:t>Endpoint</w:t>
            </w:r>
          </w:p>
        </w:tc>
        <w:tc>
          <w:tcPr>
            <w:tcW w:type="dxa" w:w="4762"/>
            <w:shd w:val="clear" w:fill="1F3D6B"/>
          </w:tcPr>
          <w:p>
            <w:pPr>
              <w:spacing w:after="40" w:before="40"/>
            </w:pPr>
            <w:r/>
            <w:r>
              <w:rPr>
                <w:b/>
                <w:color w:val="FFFFFF"/>
                <w:sz w:val="18"/>
              </w:rPr>
              <w:t>Purpose</w:t>
            </w:r>
          </w:p>
        </w:tc>
      </w:tr>
      <w:tr>
        <w:tc>
          <w:tcPr>
            <w:tcW w:type="dxa" w:w="4195"/>
          </w:tcPr>
          <w:p>
            <w:pPr>
              <w:spacing w:after="40" w:before="40"/>
            </w:pPr>
            <w:r/>
            <w:r>
              <w:rPr>
                <w:b w:val="0"/>
                <w:i w:val="0"/>
                <w:sz w:val="18"/>
              </w:rPr>
              <w:t>POST /api/accounts/register, /login, /logout</w:t>
            </w:r>
          </w:p>
        </w:tc>
        <w:tc>
          <w:tcPr>
            <w:tcW w:type="dxa" w:w="4762"/>
          </w:tcPr>
          <w:p>
            <w:pPr>
              <w:spacing w:after="40" w:before="40"/>
            </w:pPr>
            <w:r/>
            <w:r>
              <w:rPr>
                <w:b w:val="0"/>
                <w:i w:val="0"/>
                <w:sz w:val="18"/>
              </w:rPr>
              <w:t>Enrolment and authentication; arm allocated at registration</w:t>
            </w:r>
          </w:p>
        </w:tc>
      </w:tr>
      <w:tr>
        <w:tc>
          <w:tcPr>
            <w:tcW w:type="dxa" w:w="4195"/>
            <w:shd w:val="clear" w:fill="F4F6F9"/>
          </w:tcPr>
          <w:p>
            <w:pPr>
              <w:spacing w:after="40" w:before="40"/>
            </w:pPr>
            <w:r/>
            <w:r>
              <w:rPr>
                <w:b w:val="0"/>
                <w:i w:val="0"/>
                <w:sz w:val="18"/>
              </w:rPr>
              <w:t>GET, PATCH /api/accounts/profile</w:t>
            </w:r>
          </w:p>
        </w:tc>
        <w:tc>
          <w:tcPr>
            <w:tcW w:type="dxa" w:w="4762"/>
            <w:shd w:val="clear" w:fill="F4F6F9"/>
          </w:tcPr>
          <w:p>
            <w:pPr>
              <w:spacing w:after="40" w:before="40"/>
            </w:pPr>
            <w:r/>
            <w:r>
              <w:rPr>
                <w:b w:val="0"/>
                <w:i w:val="0"/>
                <w:sz w:val="18"/>
              </w:rPr>
              <w:t>Covariates, language, consent</w:t>
            </w:r>
          </w:p>
        </w:tc>
      </w:tr>
      <w:tr>
        <w:tc>
          <w:tcPr>
            <w:tcW w:type="dxa" w:w="4195"/>
          </w:tcPr>
          <w:p>
            <w:pPr>
              <w:spacing w:after="40" w:before="40"/>
            </w:pPr>
            <w:r/>
            <w:r>
              <w:rPr>
                <w:b w:val="0"/>
                <w:i w:val="0"/>
                <w:sz w:val="18"/>
              </w:rPr>
              <w:t>POST /api/tutor/query</w:t>
            </w:r>
          </w:p>
        </w:tc>
        <w:tc>
          <w:tcPr>
            <w:tcW w:type="dxa" w:w="4762"/>
          </w:tcPr>
          <w:p>
            <w:pPr>
              <w:spacing w:after="40" w:before="40"/>
            </w:pPr>
            <w:r/>
            <w:r>
              <w:rPr>
                <w:b w:val="0"/>
                <w:i w:val="0"/>
                <w:sz w:val="18"/>
              </w:rPr>
              <w:t>One tutoring turn: retrieval, generation, arm-filtered response</w:t>
            </w:r>
          </w:p>
        </w:tc>
      </w:tr>
      <w:tr>
        <w:tc>
          <w:tcPr>
            <w:tcW w:type="dxa" w:w="4195"/>
            <w:shd w:val="clear" w:fill="F4F6F9"/>
          </w:tcPr>
          <w:p>
            <w:pPr>
              <w:spacing w:after="40" w:before="40"/>
            </w:pPr>
            <w:r/>
            <w:r>
              <w:rPr>
                <w:b w:val="0"/>
                <w:i w:val="0"/>
                <w:sz w:val="18"/>
              </w:rPr>
              <w:t>POST /api/code/run</w:t>
            </w:r>
          </w:p>
        </w:tc>
        <w:tc>
          <w:tcPr>
            <w:tcW w:type="dxa" w:w="4762"/>
            <w:shd w:val="clear" w:fill="F4F6F9"/>
          </w:tcPr>
          <w:p>
            <w:pPr>
              <w:spacing w:after="40" w:before="40"/>
            </w:pPr>
            <w:r/>
            <w:r>
              <w:rPr>
                <w:b w:val="0"/>
                <w:i w:val="0"/>
                <w:sz w:val="18"/>
              </w:rPr>
              <w:t>Compile and run a submission against test cases or requirement checks</w:t>
            </w:r>
          </w:p>
        </w:tc>
      </w:tr>
      <w:tr>
        <w:tc>
          <w:tcPr>
            <w:tcW w:type="dxa" w:w="4195"/>
          </w:tcPr>
          <w:p>
            <w:pPr>
              <w:spacing w:after="40" w:before="40"/>
            </w:pPr>
            <w:r/>
            <w:r>
              <w:rPr>
                <w:b w:val="0"/>
                <w:i w:val="0"/>
                <w:sz w:val="18"/>
              </w:rPr>
              <w:t>GET /api/assessment/items</w:t>
            </w:r>
          </w:p>
        </w:tc>
        <w:tc>
          <w:tcPr>
            <w:tcW w:type="dxa" w:w="4762"/>
          </w:tcPr>
          <w:p>
            <w:pPr>
              <w:spacing w:after="40" w:before="40"/>
            </w:pPr>
            <w:r/>
            <w:r>
              <w:rPr>
                <w:b w:val="0"/>
                <w:i w:val="0"/>
                <w:sz w:val="18"/>
              </w:rPr>
              <w:t>Serve a form, without grading secrets</w:t>
            </w:r>
          </w:p>
        </w:tc>
      </w:tr>
      <w:tr>
        <w:tc>
          <w:tcPr>
            <w:tcW w:type="dxa" w:w="4195"/>
            <w:shd w:val="clear" w:fill="F4F6F9"/>
          </w:tcPr>
          <w:p>
            <w:pPr>
              <w:spacing w:after="40" w:before="40"/>
            </w:pPr>
            <w:r/>
            <w:r>
              <w:rPr>
                <w:b w:val="0"/>
                <w:i w:val="0"/>
                <w:sz w:val="18"/>
              </w:rPr>
              <w:t>POST /api/assessment/submit</w:t>
            </w:r>
          </w:p>
        </w:tc>
        <w:tc>
          <w:tcPr>
            <w:tcW w:type="dxa" w:w="4762"/>
            <w:shd w:val="clear" w:fill="F4F6F9"/>
          </w:tcPr>
          <w:p>
            <w:pPr>
              <w:spacing w:after="40" w:before="40"/>
            </w:pPr>
            <w:r/>
            <w:r>
              <w:rPr>
                <w:b w:val="0"/>
                <w:i w:val="0"/>
                <w:sz w:val="18"/>
              </w:rPr>
              <w:t>Grade a form server-side and record the submission</w:t>
            </w:r>
          </w:p>
        </w:tc>
      </w:tr>
      <w:tr>
        <w:tc>
          <w:tcPr>
            <w:tcW w:type="dxa" w:w="4195"/>
          </w:tcPr>
          <w:p>
            <w:pPr>
              <w:spacing w:after="40" w:before="40"/>
            </w:pPr>
            <w:r/>
            <w:r>
              <w:rPr>
                <w:b w:val="0"/>
                <w:i w:val="0"/>
                <w:sz w:val="18"/>
              </w:rPr>
              <w:t>POST /api/telemetry/log</w:t>
            </w:r>
          </w:p>
        </w:tc>
        <w:tc>
          <w:tcPr>
            <w:tcW w:type="dxa" w:w="4762"/>
          </w:tcPr>
          <w:p>
            <w:pPr>
              <w:spacing w:after="40" w:before="40"/>
            </w:pPr>
            <w:r/>
            <w:r>
              <w:rPr>
                <w:b w:val="0"/>
                <w:i w:val="0"/>
                <w:sz w:val="18"/>
              </w:rPr>
              <w:t>Append a behavioural event</w:t>
            </w:r>
          </w:p>
        </w:tc>
      </w:tr>
      <w:tr>
        <w:tc>
          <w:tcPr>
            <w:tcW w:type="dxa" w:w="4195"/>
            <w:shd w:val="clear" w:fill="F4F6F9"/>
          </w:tcPr>
          <w:p>
            <w:pPr>
              <w:spacing w:after="40" w:before="40"/>
            </w:pPr>
            <w:r/>
            <w:r>
              <w:rPr>
                <w:b w:val="0"/>
                <w:i w:val="0"/>
                <w:sz w:val="18"/>
              </w:rPr>
              <w:t>GET /api/dashboard</w:t>
            </w:r>
          </w:p>
        </w:tc>
        <w:tc>
          <w:tcPr>
            <w:tcW w:type="dxa" w:w="4762"/>
            <w:shd w:val="clear" w:fill="F4F6F9"/>
          </w:tcPr>
          <w:p>
            <w:pPr>
              <w:spacing w:after="40" w:before="40"/>
            </w:pPr>
            <w:r/>
            <w:r>
              <w:rPr>
                <w:b w:val="0"/>
                <w:i w:val="0"/>
                <w:sz w:val="18"/>
              </w:rPr>
              <w:t>Participant progress summary</w:t>
            </w:r>
          </w:p>
        </w:tc>
      </w:tr>
      <w:tr>
        <w:tc>
          <w:tcPr>
            <w:tcW w:type="dxa" w:w="4195"/>
          </w:tcPr>
          <w:p>
            <w:pPr>
              <w:spacing w:after="40" w:before="40"/>
            </w:pPr>
            <w:r/>
            <w:r>
              <w:rPr>
                <w:b w:val="0"/>
                <w:i w:val="0"/>
                <w:sz w:val="18"/>
              </w:rPr>
              <w:t>GET /api/expert/reviews, POST /api/expert/rating</w:t>
            </w:r>
          </w:p>
        </w:tc>
        <w:tc>
          <w:tcPr>
            <w:tcW w:type="dxa" w:w="4762"/>
          </w:tcPr>
          <w:p>
            <w:pPr>
              <w:spacing w:after="40" w:before="40"/>
            </w:pPr>
            <w:r/>
            <w:r>
              <w:rPr>
                <w:b w:val="0"/>
                <w:i w:val="0"/>
                <w:sz w:val="18"/>
              </w:rPr>
              <w:t>Certification survey and CVI ratings</w:t>
            </w:r>
          </w:p>
        </w:tc>
      </w:tr>
      <w:tr>
        <w:tc>
          <w:tcPr>
            <w:tcW w:type="dxa" w:w="4195"/>
            <w:shd w:val="clear" w:fill="F4F6F9"/>
          </w:tcPr>
          <w:p>
            <w:pPr>
              <w:spacing w:after="40" w:before="40"/>
            </w:pPr>
            <w:r/>
            <w:r>
              <w:rPr>
                <w:b w:val="0"/>
                <w:i w:val="0"/>
                <w:sz w:val="18"/>
              </w:rPr>
              <w:t>GET /api/admin/stats</w:t>
            </w:r>
          </w:p>
        </w:tc>
        <w:tc>
          <w:tcPr>
            <w:tcW w:type="dxa" w:w="4762"/>
            <w:shd w:val="clear" w:fill="F4F6F9"/>
          </w:tcPr>
          <w:p>
            <w:pPr>
              <w:spacing w:after="40" w:before="40"/>
            </w:pPr>
            <w:r/>
            <w:r>
              <w:rPr>
                <w:b w:val="0"/>
                <w:i w:val="0"/>
                <w:sz w:val="18"/>
              </w:rPr>
              <w:t>Researcher aggregates (descriptive only)</w:t>
            </w:r>
          </w:p>
        </w:tc>
      </w:tr>
      <w:tr>
        <w:tc>
          <w:tcPr>
            <w:tcW w:type="dxa" w:w="4195"/>
          </w:tcPr>
          <w:p>
            <w:pPr>
              <w:spacing w:after="40" w:before="40"/>
            </w:pPr>
            <w:r/>
            <w:r>
              <w:rPr>
                <w:b w:val="0"/>
                <w:i w:val="0"/>
                <w:sz w:val="18"/>
              </w:rPr>
              <w:t>POST /api/curriculum/ingest, /search, GET /status</w:t>
            </w:r>
          </w:p>
        </w:tc>
        <w:tc>
          <w:tcPr>
            <w:tcW w:type="dxa" w:w="4762"/>
          </w:tcPr>
          <w:p>
            <w:pPr>
              <w:spacing w:after="40" w:before="40"/>
            </w:pPr>
            <w:r/>
            <w:r>
              <w:rPr>
                <w:b w:val="0"/>
                <w:i w:val="0"/>
                <w:sz w:val="18"/>
              </w:rPr>
              <w:t>Corpus ingestion and retrieval inspection</w:t>
            </w:r>
          </w:p>
        </w:tc>
      </w:tr>
    </w:tbl>
    <w:p>
      <w:pPr>
        <w:spacing w:after="80"/>
      </w:pP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Rule="auto" w:line="271"/>
    </w:pPr>
    <w:rPr>
      <w:rFonts w:ascii="Calibri" w:hAnsi="Calibri" w:eastAsia="Calibri"/>
      <w:color w:val="1323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mbria" w:hAnsi="Cambria"/>
      <w:b/>
      <w:bCs/>
      <w:i w:val="0"/>
      <w:color w:val="13233A"/>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mbria" w:hAnsi="Cambria"/>
      <w:b/>
      <w:bCs/>
      <w:i w:val="0"/>
      <w:color w:val="2F6FB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323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