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  <w:jc w:val="center"/>
      </w:pPr>
      <w:r>
        <w:rPr>
          <w:rFonts w:ascii="Calibri" w:cs="Calibri" w:eastAsia="Calibri" w:hAnsi="Calibri"/>
          <w:b/>
          <w:bCs/>
          <w:color w:val="18428F"/>
          <w:sz w:val="30"/>
          <w:szCs w:val="30"/>
        </w:rPr>
        <w:t xml:space="preserve">EK-3</w:t>
      </w:r>
    </w:p>
    <w:p>
      <w:pPr>
        <w:spacing w:after="100"/>
        <w:jc w:val="center"/>
      </w:pPr>
      <w:r>
        <w:rPr>
          <w:rFonts w:ascii="Calibri" w:cs="Calibri" w:eastAsia="Calibri" w:hAnsi="Calibri"/>
          <w:b/>
          <w:bCs/>
          <w:color w:val="18428F"/>
          <w:sz w:val="26"/>
          <w:szCs w:val="26"/>
        </w:rPr>
        <w:t xml:space="preserve">İŞ SAĞLIĞI, GÜVENLİĞİ VE ÇEVRE ŞARTNAMESİ</w:t>
      </w:r>
    </w:p>
    <w:p>
      <w:pPr>
        <w:pBdr>
          <w:top w:val="single" w:color="909AA7" w:sz="6"/>
          <w:bottom w:val="single" w:color="909AA7" w:sz="6"/>
        </w:pBdr>
        <w:spacing w:after="240"/>
        <w:jc w:val="center"/>
      </w:pPr>
      <w:r>
        <w:rPr>
          <w:rFonts w:ascii="Calibri" w:cs="Calibri" w:eastAsia="Calibri" w:hAnsi="Calibri"/>
          <w:b/>
          <w:bCs/>
          <w:color w:val="B04A00"/>
          <w:sz w:val="20"/>
          <w:szCs w:val="20"/>
        </w:rPr>
        <w:t xml:space="preserve">HAZIR (MATBU) — İhlal ceza tutarları EK-1 Proje Bilgi Formu (F) bölümünde belirlenir</w:t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909AA7"/>
          <w:sz w:val="18"/>
          <w:szCs w:val="18"/>
        </w:rPr>
        <w:t xml:space="preserve">Arazi Tipi GES Anahtar Teslim EPC Sözleşmesi'nin (Madde 4.1) ayrılmaz parçasıdır. Proje kimliği: EK-1 Proje Bilgi Formu.</w:t>
      </w:r>
    </w:p>
    <w:p>
      <w:pPr>
        <w:pStyle w:val="Heading1"/>
        <w:spacing w:after="120" w:before="260"/>
      </w:pPr>
      <w:r>
        <w:rPr>
          <w:rFonts w:ascii="Calibri" w:cs="Calibri" w:eastAsia="Calibri" w:hAnsi="Calibri"/>
          <w:b/>
          <w:bCs/>
          <w:color w:val="18428F"/>
          <w:sz w:val="24"/>
          <w:szCs w:val="24"/>
        </w:rPr>
        <w:t xml:space="preserve">1. GENEL ESASLAR</w:t>
      </w:r>
    </w:p>
    <w:p>
      <w:pPr>
        <w:spacing w:after="120" w:line="264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1.1  </w:t>
      </w:r>
      <w:r>
        <w:rPr>
          <w:rFonts w:ascii="Calibri" w:cs="Calibri" w:eastAsia="Calibri" w:hAnsi="Calibri"/>
          <w:sz w:val="21"/>
          <w:szCs w:val="21"/>
        </w:rPr>
        <w:t xml:space="preserve">YÜKLENİCİ; 6331 sayılı İş Sağlığı ve Güvenliği Kanunu ve ikincil mevzuatı ile işbu Şartname'ye eksiksiz uyar. Santral şantiyesi, ilgili mevzuat uyarınca YÜKLENİCİ'nin işvereni olduğu bir işyeri olarak SGK'ya bildirilir.</w:t>
      </w:r>
    </w:p>
    <w:p>
      <w:pPr>
        <w:spacing w:after="120" w:line="264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1.2  </w:t>
      </w:r>
      <w:r>
        <w:rPr>
          <w:rFonts w:ascii="Calibri" w:cs="Calibri" w:eastAsia="Calibri" w:hAnsi="Calibri"/>
          <w:sz w:val="21"/>
          <w:szCs w:val="21"/>
        </w:rPr>
        <w:t xml:space="preserve">İşe başlamadan önce YÜKLENİCİ; işyeri tehlike sınıfına uygun İSG uzmanı görevlendirmesini, işyeri hekimi hizmetini, risk değerlendirmesini, acil durum planını ve sağlık gözetimi kayıtlarını tamamlar ve İŞ SAHİBİ'ne sunar.</w:t>
      </w:r>
    </w:p>
    <w:p>
      <w:pPr>
        <w:spacing w:after="120" w:line="264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1.3  </w:t>
      </w:r>
      <w:r>
        <w:rPr>
          <w:rFonts w:ascii="Calibri" w:cs="Calibri" w:eastAsia="Calibri" w:hAnsi="Calibri"/>
          <w:sz w:val="21"/>
          <w:szCs w:val="21"/>
        </w:rPr>
        <w:t xml:space="preserve">Tüm çalışanlara işe başlamadan önce; işe giriş sağlık raporu, mesleki eğitim belgeleri, temel İSG eğitimi ve saha oryantasyon eğitimi verilmiş olur; kayıtları şantiyede hazır bulundurulur.</w:t>
      </w:r>
    </w:p>
    <w:p>
      <w:pPr>
        <w:pStyle w:val="Heading1"/>
        <w:spacing w:after="120" w:before="260"/>
      </w:pPr>
      <w:r>
        <w:rPr>
          <w:rFonts w:ascii="Calibri" w:cs="Calibri" w:eastAsia="Calibri" w:hAnsi="Calibri"/>
          <w:b/>
          <w:bCs/>
          <w:color w:val="18428F"/>
          <w:sz w:val="24"/>
          <w:szCs w:val="24"/>
        </w:rPr>
        <w:t xml:space="preserve">2. SAHA KURALLARI</w:t>
      </w:r>
    </w:p>
    <w:p>
      <w:pPr>
        <w:spacing w:after="120" w:line="264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2.1  </w:t>
      </w:r>
      <w:r>
        <w:rPr>
          <w:rFonts w:ascii="Calibri" w:cs="Calibri" w:eastAsia="Calibri" w:hAnsi="Calibri"/>
          <w:sz w:val="21"/>
          <w:szCs w:val="21"/>
        </w:rPr>
        <w:t xml:space="preserve">Kişisel koruyucu donanım: Sahada baret, iş ayakkabısı (elektrikçiler için yalıtımlı), reflektif yelek zorunludur; işin niteliğine göre emniyet kemeri, eldiven, göz ve yüz koruyucu, ark koruyucu kıyafet kullanılır.</w:t>
      </w:r>
    </w:p>
    <w:p>
      <w:pPr>
        <w:spacing w:after="120" w:line="264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2.2  </w:t>
      </w:r>
      <w:r>
        <w:rPr>
          <w:rFonts w:ascii="Calibri" w:cs="Calibri" w:eastAsia="Calibri" w:hAnsi="Calibri"/>
          <w:sz w:val="21"/>
          <w:szCs w:val="21"/>
        </w:rPr>
        <w:t xml:space="preserve">Yüksekte çalışma: 1,5 m üzeri çalışmalarda toplu koruma önceliklidir; kişisel bağlantı noktaları ve yaşam hatları projelendirilir. Yüksekte çalışma eğitim belgeleri zorunludur.</w:t>
      </w:r>
    </w:p>
    <w:p>
      <w:pPr>
        <w:spacing w:after="120" w:line="264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2.3  </w:t>
      </w:r>
      <w:r>
        <w:rPr>
          <w:rFonts w:ascii="Calibri" w:cs="Calibri" w:eastAsia="Calibri" w:hAnsi="Calibri"/>
          <w:sz w:val="21"/>
          <w:szCs w:val="21"/>
        </w:rPr>
        <w:t xml:space="preserve">Elektriksel güvenlik: Gerilim altında çalışma yasaktır; kesme-ayırma-kilitleme-etiketleme (LOTO) prosedürü uygulanır. OG işlemleri yalnızca yetkilendirilmiş personelce, çalışma izni formuyla yapılır. DC tarafın gün ışığında enerjili olduğu tüm personele eğitimle bildirilir.</w:t>
      </w:r>
    </w:p>
    <w:p>
      <w:pPr>
        <w:spacing w:after="120" w:line="264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2.4  </w:t>
      </w:r>
      <w:r>
        <w:rPr>
          <w:rFonts w:ascii="Calibri" w:cs="Calibri" w:eastAsia="Calibri" w:hAnsi="Calibri"/>
          <w:sz w:val="21"/>
          <w:szCs w:val="21"/>
        </w:rPr>
        <w:t xml:space="preserve">İş makineleri ve kaldırma: Operatör belgesi, periyodik kontrol raporları ve sapancı/işaretçi görevlendirmesi zorunludur. Kaldırma planı gerektiren işlerde plan İŞ SAHİBİ'ne sunulur.</w:t>
      </w:r>
    </w:p>
    <w:p>
      <w:pPr>
        <w:spacing w:after="120" w:line="264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2.5  </w:t>
      </w:r>
      <w:r>
        <w:rPr>
          <w:rFonts w:ascii="Calibri" w:cs="Calibri" w:eastAsia="Calibri" w:hAnsi="Calibri"/>
          <w:sz w:val="21"/>
          <w:szCs w:val="21"/>
        </w:rPr>
        <w:t xml:space="preserve">Şantiye düzeni: Malzeme istifleri devrilmeye karşı sabitlenir; kazı kenarları korkulukla korunur; yangın söndürücüler trafo, pano, yakıt ve depolama alanlarında bulundurulur; sahada sigara içme alanları sınırlandırılır; alkol ve uyuşturucu kesinlikle yasaktır.</w:t>
      </w:r>
    </w:p>
    <w:p>
      <w:pPr>
        <w:spacing w:after="120" w:line="264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2.6  </w:t>
      </w:r>
      <w:r>
        <w:rPr>
          <w:rFonts w:ascii="Calibri" w:cs="Calibri" w:eastAsia="Calibri" w:hAnsi="Calibri"/>
          <w:sz w:val="21"/>
          <w:szCs w:val="21"/>
        </w:rPr>
        <w:t xml:space="preserve">Sağlık ve hijyen: İçme suyu, tuvalet, soyunma ve dinlenme alanları mevzuata uygun sağlanır; ilk yardım dolabı ve sertifikalı ilk yardımcı bulundurulur; en yakın sağlık kuruluşuna ulaşım planı acil durum planında yer alır.</w:t>
      </w:r>
    </w:p>
    <w:p>
      <w:pPr>
        <w:pStyle w:val="Heading1"/>
        <w:spacing w:after="120" w:before="260"/>
      </w:pPr>
      <w:r>
        <w:rPr>
          <w:rFonts w:ascii="Calibri" w:cs="Calibri" w:eastAsia="Calibri" w:hAnsi="Calibri"/>
          <w:b/>
          <w:bCs/>
          <w:color w:val="18428F"/>
          <w:sz w:val="24"/>
          <w:szCs w:val="24"/>
        </w:rPr>
        <w:t xml:space="preserve">3. RAPORLAMA, DENETİM VE KAZA BİLDİRİMİ</w:t>
      </w:r>
    </w:p>
    <w:p>
      <w:pPr>
        <w:spacing w:after="120" w:line="264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3.1  </w:t>
      </w:r>
      <w:r>
        <w:rPr>
          <w:rFonts w:ascii="Calibri" w:cs="Calibri" w:eastAsia="Calibri" w:hAnsi="Calibri"/>
          <w:sz w:val="21"/>
          <w:szCs w:val="21"/>
        </w:rPr>
        <w:t xml:space="preserve">YÜKLENİCİ İSG uzmanı; aylık İSG raporunu (eğitimler, denetim bulguları, ramak kala olaylar, düzeltici faaliyetler) İŞ SAHİBİ'ne sunar. İŞ SAHİBİ ve Müşavir habersiz İSG denetimi yapabilir.</w:t>
      </w:r>
    </w:p>
    <w:p>
      <w:pPr>
        <w:spacing w:after="120" w:line="264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3.2  </w:t>
      </w:r>
      <w:r>
        <w:rPr>
          <w:rFonts w:ascii="Calibri" w:cs="Calibri" w:eastAsia="Calibri" w:hAnsi="Calibri"/>
          <w:sz w:val="21"/>
          <w:szCs w:val="21"/>
        </w:rPr>
        <w:t xml:space="preserve">İş kazaları; mevzuattaki sürelerde SGK'ya, eş zamanlı olarak İŞ SAHİBİ'ne bildirilir; kök neden analizi 5 (beş) iş günü içinde sunulur. Ölümlü veya uzuv kayıplı kazalarda saha, inceleme tamamlanana kadar İŞ SAHİBİ talimatıyla durdurulabilir; bu duruş için süre uzatımı verilmez.</w:t>
      </w:r>
    </w:p>
    <w:p>
      <w:pPr>
        <w:pStyle w:val="Heading1"/>
        <w:spacing w:after="120" w:before="260"/>
      </w:pPr>
      <w:r>
        <w:rPr>
          <w:rFonts w:ascii="Calibri" w:cs="Calibri" w:eastAsia="Calibri" w:hAnsi="Calibri"/>
          <w:b/>
          <w:bCs/>
          <w:color w:val="18428F"/>
          <w:sz w:val="24"/>
          <w:szCs w:val="24"/>
        </w:rPr>
        <w:t xml:space="preserve">4. ÇEVRE YÖNETİMİ</w:t>
      </w:r>
    </w:p>
    <w:p>
      <w:pPr>
        <w:spacing w:after="120" w:line="264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4.1  </w:t>
      </w:r>
      <w:r>
        <w:rPr>
          <w:rFonts w:ascii="Calibri" w:cs="Calibri" w:eastAsia="Calibri" w:hAnsi="Calibri"/>
          <w:sz w:val="21"/>
          <w:szCs w:val="21"/>
        </w:rPr>
        <w:t xml:space="preserve">Atık yönetimi: Tehlikeli ve tehlikesiz atıklar ayrıştırılır, lisanslı taşıyıcı/bertaraf firmalarıyla uzaklaştırılır ve ulusal atık yönetim kayıtları tutulur. Atık yağ, boya, ambalaj atıkları ve hafriyat için ilgili yönetmeliklere uyulur.</w:t>
      </w:r>
    </w:p>
    <w:p>
      <w:pPr>
        <w:spacing w:after="120" w:line="264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4.2  </w:t>
      </w:r>
      <w:r>
        <w:rPr>
          <w:rFonts w:ascii="Calibri" w:cs="Calibri" w:eastAsia="Calibri" w:hAnsi="Calibri"/>
          <w:sz w:val="21"/>
          <w:szCs w:val="21"/>
        </w:rPr>
        <w:t xml:space="preserve">Toprak ve su koruması: Yakıt ve kimyasal depolama alanlarında sızdırmaz taban ve döküntü kiti bulundurulur; araç bakımı sahada yapılmaz; doğal drenaj hatları tıkanmaz.</w:t>
      </w:r>
    </w:p>
    <w:p>
      <w:pPr>
        <w:spacing w:after="120" w:line="264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4.3  </w:t>
      </w:r>
      <w:r>
        <w:rPr>
          <w:rFonts w:ascii="Calibri" w:cs="Calibri" w:eastAsia="Calibri" w:hAnsi="Calibri"/>
          <w:sz w:val="21"/>
          <w:szCs w:val="21"/>
        </w:rPr>
        <w:t xml:space="preserve">Toz ve gürültü: Kuru dönemlerde yol sulaması yapılır; çalışma saatleri ve gürültü sınırlarında yerel düzenlemelere uyulur. ÇED kararı/eki taahhütler (varsa) aynen uygulanır.</w:t>
      </w:r>
    </w:p>
    <w:p>
      <w:pPr>
        <w:pStyle w:val="Heading1"/>
        <w:spacing w:after="120" w:before="260"/>
      </w:pPr>
      <w:r>
        <w:rPr>
          <w:rFonts w:ascii="Calibri" w:cs="Calibri" w:eastAsia="Calibri" w:hAnsi="Calibri"/>
          <w:b/>
          <w:bCs/>
          <w:color w:val="18428F"/>
          <w:sz w:val="24"/>
          <w:szCs w:val="24"/>
        </w:rPr>
        <w:t xml:space="preserve">5. İHLAL YAPTIRIMLARI</w:t>
      </w:r>
    </w:p>
    <w:p>
      <w:pPr>
        <w:spacing w:after="120" w:line="264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5.1  </w:t>
      </w:r>
      <w:r>
        <w:rPr>
          <w:rFonts w:ascii="Calibri" w:cs="Calibri" w:eastAsia="Calibri" w:hAnsi="Calibri"/>
          <w:sz w:val="21"/>
          <w:szCs w:val="21"/>
        </w:rPr>
        <w:t xml:space="preserve">Aşağıdaki ihlal kategorilerinde, EK-1 Proje Bilgi Formu'nun (F) bölümünde tutarları belirlenen cezalar, Sözleşme Madde 13.4 ve 17.5 uyarınca uygulanır; ihlalin tekrarında tutarlar iki katına çıkarılabilir ve ilgili personel sahadan uzaklaştırılır: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shd w:fill="EE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Kategori A — Hayati risk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KKD'siz yüksekte çalışma, LOTO ihlali, gerilim altında çalışma, emniyetsiz kaldırma (olay başına ceza + işin durdurulması)</w:t>
            </w:r>
          </w:p>
        </w:tc>
      </w:tr>
      <w:tr>
        <w:tc>
          <w:tcPr>
            <w:tcW w:type="dxa" w:w="3200"/>
            <w:shd w:fill="EE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Kategori B — Ciddi ihlal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Belgesiz operatör/personel çalıştırma, periyodik kontrolsüz ekipman, risk değerlendirmesi dışı iş (olay başına ceza)</w:t>
            </w:r>
          </w:p>
        </w:tc>
      </w:tr>
      <w:tr>
        <w:tc>
          <w:tcPr>
            <w:tcW w:type="dxa" w:w="3200"/>
            <w:shd w:fill="EE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Kategori C — Genel ihlal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KKD eksikliği, düzensiz istif, uyarı levhası eksikliği, hijyen ihlalleri (olay başına ceza)</w:t>
            </w:r>
          </w:p>
        </w:tc>
      </w:tr>
      <w:tr>
        <w:tc>
          <w:tcPr>
            <w:tcW w:type="dxa" w:w="3200"/>
            <w:shd w:fill="EE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Kategori D — Çevre ihlali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İzinsiz atık dökümü, sızıntı/döküntü bildirmeme, ÇED taahhüdü ihlali (olay başına ceza + yasal sorumluluk YÜKLENİCİ'de)</w:t>
            </w:r>
          </w:p>
        </w:tc>
      </w:tr>
    </w:tbl>
    <w:p>
      <w:pPr>
        <w:spacing w:after="120" w:line="264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5.2  </w:t>
      </w:r>
      <w:r>
        <w:rPr>
          <w:rFonts w:ascii="Calibri" w:cs="Calibri" w:eastAsia="Calibri" w:hAnsi="Calibri"/>
          <w:sz w:val="21"/>
          <w:szCs w:val="21"/>
        </w:rPr>
        <w:t xml:space="preserve">Cezaların uygulanması, İŞ SAHİBİ'nin işi durdurma (Madde 13.4), fesih (Madde 24.1) ve tazminat haklarını ortadan kaldırmaz.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909AA7"/>
        <w:sz w:val="16"/>
        <w:szCs w:val="16"/>
      </w:rPr>
      <w:t xml:space="preserve">Sayfa </w:t>
    </w:r>
    <w:r>
      <w:rPr>
        <w:rFonts w:ascii="Calibri" w:cs="Calibri" w:eastAsia="Calibri" w:hAnsi="Calibri"/>
        <w:color w:val="909AA7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909AA7"/>
        <w:sz w:val="16"/>
        <w:szCs w:val="16"/>
      </w:rPr>
      <w:t xml:space="preserve"> / </w:t>
    </w:r>
    <w:r>
      <w:rPr>
        <w:rFonts w:ascii="Calibri" w:cs="Calibri" w:eastAsia="Calibri" w:hAnsi="Calibri"/>
        <w:color w:val="909AA7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909AA7" w:sz="4"/>
      </w:pBdr>
      <w:jc w:val="right"/>
    </w:pPr>
    <w:r>
      <w:rPr>
        <w:rFonts w:ascii="Calibri" w:cs="Calibri" w:eastAsia="Calibri" w:hAnsi="Calibri"/>
        <w:color w:val="909AA7"/>
        <w:sz w:val="16"/>
        <w:szCs w:val="16"/>
      </w:rPr>
      <w:t xml:space="preserve">EK-3 İSG ve Çevre Şartnamesi — Arazi GES EPC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Ank Elektrik</dc:creator>
  <cp:lastModifiedBy>Un-named</cp:lastModifiedBy>
  <cp:revision>1</cp:revision>
  <dcterms:created xsi:type="dcterms:W3CDTF">2026-07-10T11:57:55.400Z</dcterms:created>
  <dcterms:modified xsi:type="dcterms:W3CDTF">2026-07-10T11:57:55.400Z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