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Voici les informations concernant le blog.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Vous devrez développer votre blog en partant de zéro.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Liste des fonctionnalités du blog pour le S1 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Gestion d’articles (statuts, catégories, métas, fonctions de mise en page, rich-media)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Gestion de pages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Gestion de commentaires (avec modération possible)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Interface multi-admin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Gestion d’abonnement aux Flux RRS du blog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Attention, il est important de prévoir certaines évolutions à venir au S2 (nouvelles contraintes techniques à venir comme la gestion d’utilisateurs et un système de tchat).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Composition d’un article 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Titre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Catégorie(s)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Date de publication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Auteur(s)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Texte (contenu)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Le sujet du blog sera en rapport avec le Web et/ou les nouvelles technologies. Il devra être validé par l’enseignant.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Voici la trame à respecter pour le cahier des charges simplifié (livrable intermédiaire) :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Le projet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Contexte de réalisation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Nom du projet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Présentation du projet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Objectifs du projet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Les acteurs du projet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Perspective d’avenir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Ciblage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Cibles du site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Analyse de la concurrence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Communication / Promotion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Logo / charte graphique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Contenu du site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Design / Wireframe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Aspects techniques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Arborescence du site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Noms des pages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Fonctionnalités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Langage(s) de développement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Contraintes techniques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Format / durée de vie des données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Herbegement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Plan d'actions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Liste des actions à mener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Deadlines / Rétroplaning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Responsabilités de chaque acteur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Performance / Suivi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Outils de tracking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Code tracking Google Anlytics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Eléments juridiques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Mentions légales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Déclarations nécessaires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Gestion des risques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Risques techniques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Risques juridiques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Risques humains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Livrables / Deadlines 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Cahier des Charges simplifié : 31 décembre 2012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V1 du blog : 10 février 2013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V2 du blog et fin du projet : 31 juin 2013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Envoyer le livrable par e-mail à Cédric Descoutures : </w:t>
      </w:r>
      <w:hyperlink r:id="rId5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cdescoutures@gmail.com</w:t>
        </w:r>
      </w:hyperlink>
      <w:r w:rsidDel="00000000" w:rsidR="00000000" w:rsidRPr="00000000">
        <w:rPr>
          <w:highlight w:val="none"/>
          <w:rtl w:val="0"/>
        </w:rPr>
        <w:t xml:space="preserve"> avant la deadline.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Format du Cahier des Charges : PDF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Objet de l’e-mail : “3 ESGI WD Blog”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Mode="External" Target="mailto:cdescoutures@gmail.com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Trame document blog.docx</dc:title>
</cp:coreProperties>
</file>