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line="240" w:lineRule="auto"/>
        <w:jc w:val="center"/>
      </w:pPr>
      <w:r>
        <w:rPr>
          <w:rFonts w:ascii="Calibri" w:hAnsi="Calibri" w:eastAsia="Calibri"/>
          <w:b/>
          <w:color w:val="5C656E"/>
          <w:sz w:val="22"/>
        </w:rPr>
        <w:t>CHRISTIAN GARVE</w:t>
      </w:r>
    </w:p>
    <w:p>
      <w:pPr>
        <w:spacing w:before="0" w:after="160" w:line="240" w:lineRule="auto"/>
        <w:jc w:val="center"/>
      </w:pPr>
      <w:r>
        <w:rPr>
          <w:rFonts w:ascii="Calibri" w:hAnsi="Calibri" w:eastAsia="Calibri"/>
          <w:b/>
          <w:i/>
          <w:color w:val="1F4D78"/>
          <w:sz w:val="52"/>
        </w:rPr>
        <w:t>Quelques pensées sur l’intéressant</w:t>
      </w:r>
    </w:p>
    <w:p>
      <w:pPr>
        <w:spacing w:before="0" w:after="400" w:line="240" w:lineRule="auto"/>
        <w:jc w:val="center"/>
      </w:pPr>
      <w:r>
        <w:rPr>
          <w:rFonts w:ascii="Calibri" w:hAnsi="Calibri" w:eastAsia="Calibri"/>
          <w:color w:val="5C656E"/>
          <w:sz w:val="28"/>
        </w:rPr>
        <w:t>Projet de traduction française, avec introduction et annotations</w:t>
      </w:r>
    </w:p>
    <w:p>
      <w:pPr>
        <w:spacing w:before="0" w:after="80" w:line="240" w:lineRule="auto"/>
        <w:jc w:val="center"/>
      </w:pPr>
      <w:r>
        <w:rPr>
          <w:rFonts w:ascii="Calibri" w:hAnsi="Calibri" w:eastAsia="Calibri"/>
          <w:b/>
          <w:color w:val="182430"/>
          <w:sz w:val="23"/>
        </w:rPr>
        <w:t>François Pachet</w:t>
      </w:r>
    </w:p>
    <w:p>
      <w:pPr>
        <w:spacing w:before="0" w:after="440" w:line="240" w:lineRule="auto"/>
        <w:jc w:val="center"/>
      </w:pPr>
      <w:r>
        <w:rPr>
          <w:rFonts w:ascii="Calibri" w:hAnsi="Calibri" w:eastAsia="Calibri"/>
          <w:i/>
          <w:color w:val="5C656E"/>
          <w:sz w:val="20"/>
        </w:rPr>
        <w:t>Dossier de travail — 26 août 2026</w:t>
      </w:r>
    </w:p>
    <w:p>
      <w:pPr>
        <w:keepLines/>
        <w:spacing w:before="0" w:after="240" w:line="276" w:lineRule="auto"/>
        <w:ind w:left="504" w:right="504"/>
        <w:shd w:fill="F4F6F9"/>
      </w:pPr>
      <w:r>
        <w:rPr>
          <w:rFonts w:ascii="Calibri" w:hAnsi="Calibri" w:eastAsia="Calibri"/>
          <w:b/>
          <w:color w:val="1F4D78"/>
          <w:sz w:val="19"/>
        </w:rPr>
        <w:t xml:space="preserve">TEXTE SOURCE  </w:t>
      </w:r>
      <w:r>
        <w:rPr>
          <w:rFonts w:ascii="Calibri" w:hAnsi="Calibri" w:eastAsia="Calibri"/>
          <w:color w:val="182430"/>
          <w:sz w:val="19"/>
        </w:rPr>
        <w:t>Christian Garve, « Einige Gedanken über das Interessirende », publié en 1771-1772, puis repris avec une annexe dans la Sammlung einiger Abhandlungen, Leipzig, 1779, p. 253-439.</w:t>
      </w:r>
    </w:p>
    <w:p>
      <w:pPr>
        <w:pStyle w:val="Heading1"/>
      </w:pPr>
      <w:r>
        <w:rPr>
          <w:rFonts w:ascii="Calibri" w:hAnsi="Calibri" w:eastAsia="Calibri"/>
          <w:color w:val="182430"/>
        </w:rPr>
        <w:t>Résumé du projet</w:t>
      </w:r>
    </w:p>
    <w:p>
      <w:pPr>
        <w:pStyle w:val="Lead"/>
      </w:pPr>
      <w:r>
        <w:rPr>
          <w:rFonts w:ascii="Calibri" w:hAnsi="Calibri" w:eastAsia="Calibri"/>
          <w:color w:val="182430"/>
        </w:rPr>
        <w:t>Le projet consiste à donner ce qui serait, à notre connaissance, la première traduction française intégrale de l’essai dans lequel Christian Garve entreprend une analyse directe de « ce qui est intéressant ». L’édition proposée comprendrait une introduction historique et philosophique, une annotation contextuelle du texte et une série de notes de mise en perspective avec les théories modernes de l’attention, de la curiosité, de l’apprentissage, du flow, de la compression, de l’Adjacent Possible et de la cognition créative.</w:t>
      </w:r>
    </w:p>
    <w:p>
      <w:pPr/>
      <w:r>
        <w:rPr>
          <w:rFonts w:ascii="Calibri" w:hAnsi="Calibri" w:eastAsia="Calibri"/>
          <w:color w:val="182430"/>
        </w:rPr>
        <w:t>L’intérêt de l’ouvrage tient au caractère étonnamment précoce et systématique de l’enquête. Garve ne traite pas l’intéressant comme une simple qualité esthétique ni comme l’expression d’un goût individuel. Il cherche à comprendre comment une représentation se détache de l’indifférence, fixe l’attention sans effort volontaire, rencontre l’histoire antérieure d’un sujet, lui fait éprouver une lacune et l’oriente vers une continuation. Une explication, écrit-il en substance, ne devient intéressante que si le sujet a déjà rencontré, au moins obscurément, la difficulté qu’elle résout.</w:t>
      </w:r>
    </w:p>
    <w:p>
      <w:pPr/>
      <w:r>
        <w:rPr>
          <w:rFonts w:ascii="Calibri" w:hAnsi="Calibri" w:eastAsia="Calibri"/>
          <w:color w:val="182430"/>
        </w:rPr>
        <w:t>Ce mécanisme constitue un antécédent direct de questions aujourd’hui distribuées entre plusieurs disciplines : allocation de l’attention, curiosité épistémique, suspense, ajustement entre difficulté et compétence, progrès d’apprentissage, construction de représentations, personnalisation, motivation intrinsèque et créativité. Le projet éditorial ne cherchera pas à attribuer rétrospectivement ces théories à Garve. Les annotations indiqueront précisément les convergences, les différences et les limites de chaque rapprochement.</w:t>
      </w:r>
    </w:p>
    <w:p>
      <w:pPr/>
      <w:r>
        <w:rPr>
          <w:rFonts w:ascii="Calibri" w:hAnsi="Calibri" w:eastAsia="Calibri"/>
          <w:color w:val="182430"/>
        </w:rPr>
        <w:t>L’ouvrage paraît particulièrement compatible avec l’esprit de la collection « Opuscules Phi » : il développe une question philosophique nettement délimitée, procède par observations et distinctions accessibles, et se situe au croisement de l’anthropologie, de la théorie de la connaissance, de l’esthétique et de l’interprétation. Son ampleur matérielle est toutefois supérieure à celle d’un bref article ; le format proposé devra donc être calibré avec la direction de la collection.</w:t>
      </w:r>
    </w:p>
    <w:p>
      <w:pPr>
        <w:pStyle w:val="Heading1"/>
      </w:pPr>
      <w:r>
        <w:rPr>
          <w:rFonts w:ascii="Calibri" w:hAnsi="Calibri" w:eastAsia="Calibri"/>
          <w:color w:val="182430"/>
        </w:rPr>
        <w:t>1. Le texte et son intérêt historique</w:t>
      </w:r>
    </w:p>
    <w:p>
      <w:pPr>
        <w:pStyle w:val="Heading2"/>
      </w:pPr>
      <w:r>
        <w:rPr>
          <w:rFonts w:ascii="Calibri" w:hAnsi="Calibri" w:eastAsia="Calibri"/>
          <w:color w:val="182430"/>
        </w:rPr>
        <w:t>Une enquête frontale sur l’intéressant</w:t>
      </w:r>
    </w:p>
    <w:p>
      <w:pPr/>
      <w:r>
        <w:rPr>
          <w:rFonts w:ascii="Calibri" w:hAnsi="Calibri" w:eastAsia="Calibri"/>
          <w:color w:val="182430"/>
        </w:rPr>
        <w:t>L’essai est composé de deux parties, auxquelles Garve ajoute en 1779 une longue annexe qui complète et corrige le projet initial. La première partie examine surtout l’intérêt suscité par les représentations et les idées ; la seconde se tourne vers les sensations, les passions et la sympathie ; l’annexe revient sur les questions laissées ouvertes et précise la différence entre la nature de l’intéressant et les usages moraux que l’on peut en faire.</w:t>
      </w:r>
    </w:p>
    <w:p>
      <w:pPr/>
      <w:r>
        <w:rPr>
          <w:rFonts w:ascii="Calibri" w:hAnsi="Calibri" w:eastAsia="Calibri"/>
          <w:color w:val="182430"/>
        </w:rPr>
        <w:t>Le texte s’ouvre sur une distinction structurante entre deux formes d’attention. Dans la première, le sujet maintient volontairement son activité par effort, devoir ou intérêt extérieur. Dans la seconde, l’objet lui-même acquiert une force d’attraction : le sujet cesse progressivement de penser au but pour lequel il lisait et désire connaître la suite. L’attention intéressante est ainsi prospective ; elle est déjà « un peu en avant » de la représentation présente.</w:t>
      </w:r>
    </w:p>
    <w:p>
      <w:pPr/>
      <w:r>
        <w:rPr>
          <w:rFonts w:ascii="Calibri" w:hAnsi="Calibri" w:eastAsia="Calibri"/>
          <w:color w:val="182430"/>
        </w:rPr>
        <w:t>Garve propose ensuite une théorie relationnelle de cette attraction. Une idée nouvelle n’intéresse pas uniquement par sa vérité, sa nouveauté ou sa clarté. Elle intéresse lorsqu’elle entre en rapport avec l’état antérieur du sujet : connaissances incomplètes, expériences passées, difficultés déjà rencontrées, opérations interrompues ou matériaux encore mal reliés. L’intéressant dépend ainsi d’une histoire et d’une situation. La même explication peut être décisive pour l’un et rester indifférente à l’autre.</w:t>
      </w:r>
    </w:p>
    <w:p>
      <w:pPr/>
      <w:r>
        <w:rPr>
          <w:rFonts w:ascii="Calibri" w:hAnsi="Calibri" w:eastAsia="Calibri"/>
          <w:color w:val="182430"/>
        </w:rPr>
        <w:t>Enfin, l’essai ne réduit pas l’intéressant à la cognition abstraite. Il analyse le particulier, les caractères, les passions, la sympathie, l’intrigue, l’incertitude et les usages formateurs de la poésie. Cette extension permet de suivre les passages entre attention, activité intellectuelle, affect et conduite.</w:t>
      </w:r>
    </w:p>
    <w:p>
      <w:pPr>
        <w:pStyle w:val="Heading2"/>
      </w:pPr>
      <w:r>
        <w:rPr>
          <w:rFonts w:ascii="Calibri" w:hAnsi="Calibri" w:eastAsia="Calibri"/>
          <w:color w:val="182430"/>
        </w:rPr>
        <w:t>Une place singulière dans l’histoire de la philosophie</w:t>
      </w:r>
    </w:p>
    <w:p>
      <w:pPr/>
      <w:r>
        <w:rPr>
          <w:rFonts w:ascii="Calibri" w:hAnsi="Calibri" w:eastAsia="Calibri"/>
          <w:color w:val="182430"/>
        </w:rPr>
        <w:t xml:space="preserve">La recherche doctorale en cours conduit à traiter Garve non comme une curiosité marginale, mais comme l’antécédent direct d’un programme philosophique resté sans tradition cumulative. Plusieurs facteurs peuvent expliquer cette faible canonisation : le déclassement de la </w:t>
      </w:r>
      <w:r>
        <w:rPr>
          <w:rFonts w:ascii="Calibri" w:hAnsi="Calibri" w:eastAsia="Calibri"/>
          <w:i/>
          <w:color w:val="182430"/>
        </w:rPr>
        <w:t>Popularphilosophie</w:t>
      </w:r>
      <w:r>
        <w:rPr>
          <w:rFonts w:ascii="Calibri" w:hAnsi="Calibri" w:eastAsia="Calibri"/>
          <w:color w:val="182430"/>
        </w:rPr>
        <w:t>, le prestige acquis par les constructions critiques et idéalistes, la reconfiguration kantienne de l’intérêt à partir du désintéressement esthétique, la capture romantique de l’intéressant comme caractère de la poésie moderne, puis la dispersion du problème entre psychologie, sciences cognitives, esthétique, épistémologie et sciences de l’éducation.</w:t>
      </w:r>
    </w:p>
    <w:p>
      <w:pPr/>
      <w:r>
        <w:rPr>
          <w:rFonts w:ascii="Calibri" w:hAnsi="Calibri" w:eastAsia="Calibri"/>
          <w:color w:val="182430"/>
        </w:rPr>
        <w:t>Cette hypothèse historique reste à établir dans tous ses détails. Elle fournit néanmoins un motif éditorial fort : rendre de nouveau accessible un texte qui permet de voir l’unité antérieure de phénomènes aujourd’hui étudiés séparément.</w:t>
      </w:r>
    </w:p>
    <w:p>
      <w:pPr>
        <w:pStyle w:val="Heading1"/>
      </w:pPr>
      <w:r>
        <w:rPr>
          <w:rFonts w:ascii="Calibri" w:hAnsi="Calibri" w:eastAsia="Calibri"/>
          <w:color w:val="182430"/>
        </w:rPr>
        <w:t>2. Proposition d’édition</w:t>
      </w:r>
    </w:p>
    <w:p>
      <w:pPr>
        <w:pStyle w:val="Heading2"/>
      </w:pPr>
      <w:r>
        <w:rPr>
          <w:rFonts w:ascii="Calibri" w:hAnsi="Calibri" w:eastAsia="Calibri"/>
          <w:color w:val="182430"/>
        </w:rPr>
        <w:t>Contenu envisagé</w:t>
      </w:r>
    </w:p>
    <w:p>
      <w:pPr/>
      <w:r>
        <w:rPr>
          <w:rFonts w:ascii="Calibri" w:hAnsi="Calibri" w:eastAsia="Calibri"/>
          <w:color w:val="182430"/>
        </w:rPr>
        <w:t>L’édition comprendrait :</w:t>
      </w:r>
    </w:p>
    <w:p>
      <w:pPr>
        <w:numPr>
          <w:ilvl w:val="0"/>
          <w:numId w:val="12"/>
        </w:numPr>
        <w:spacing w:after="80" w:line="290" w:lineRule="auto"/>
        <w:jc w:val="left"/>
      </w:pPr>
      <w:r>
        <w:rPr>
          <w:rFonts w:ascii="Calibri" w:hAnsi="Calibri" w:eastAsia="Calibri"/>
          <w:color w:val="182430"/>
        </w:rPr>
        <w:t>une traduction française intégrale des deux parties et de l’annexe de 1779 ;</w:t>
      </w:r>
    </w:p>
    <w:p>
      <w:pPr>
        <w:numPr>
          <w:ilvl w:val="0"/>
          <w:numId w:val="12"/>
        </w:numPr>
        <w:spacing w:after="80" w:line="290" w:lineRule="auto"/>
        <w:jc w:val="left"/>
      </w:pPr>
      <w:r>
        <w:rPr>
          <w:rFonts w:ascii="Calibri" w:hAnsi="Calibri" w:eastAsia="Calibri"/>
          <w:color w:val="182430"/>
        </w:rPr>
        <w:t>une introduction historique et philosophique d’environ 35 à 50 pages ;</w:t>
      </w:r>
    </w:p>
    <w:p>
      <w:pPr>
        <w:numPr>
          <w:ilvl w:val="0"/>
          <w:numId w:val="12"/>
        </w:numPr>
        <w:spacing w:after="80" w:line="290" w:lineRule="auto"/>
        <w:jc w:val="left"/>
      </w:pPr>
      <w:r>
        <w:rPr>
          <w:rFonts w:ascii="Calibri" w:hAnsi="Calibri" w:eastAsia="Calibri"/>
          <w:color w:val="182430"/>
        </w:rPr>
        <w:t>une note sur l’établissement du texte et les principes de traduction ;</w:t>
      </w:r>
    </w:p>
    <w:p>
      <w:pPr>
        <w:numPr>
          <w:ilvl w:val="0"/>
          <w:numId w:val="12"/>
        </w:numPr>
        <w:spacing w:after="80" w:line="290" w:lineRule="auto"/>
        <w:jc w:val="left"/>
      </w:pPr>
      <w:r>
        <w:rPr>
          <w:rFonts w:ascii="Calibri" w:hAnsi="Calibri" w:eastAsia="Calibri"/>
          <w:color w:val="182430"/>
        </w:rPr>
        <w:t>des notes historiques, lexicales et philosophiques ;</w:t>
      </w:r>
    </w:p>
    <w:p>
      <w:pPr>
        <w:numPr>
          <w:ilvl w:val="0"/>
          <w:numId w:val="12"/>
        </w:numPr>
        <w:spacing w:after="80" w:line="290" w:lineRule="auto"/>
        <w:jc w:val="left"/>
      </w:pPr>
      <w:r>
        <w:rPr>
          <w:rFonts w:ascii="Calibri" w:hAnsi="Calibri" w:eastAsia="Calibri"/>
          <w:color w:val="182430"/>
        </w:rPr>
        <w:t>des notes de mise en perspective avec les théories contemporaines ;</w:t>
      </w:r>
    </w:p>
    <w:p>
      <w:pPr>
        <w:numPr>
          <w:ilvl w:val="0"/>
          <w:numId w:val="12"/>
        </w:numPr>
        <w:spacing w:after="80" w:line="290" w:lineRule="auto"/>
        <w:jc w:val="left"/>
      </w:pPr>
      <w:r>
        <w:rPr>
          <w:rFonts w:ascii="Calibri" w:hAnsi="Calibri" w:eastAsia="Calibri"/>
          <w:color w:val="182430"/>
        </w:rPr>
        <w:t>une chronologie succincte, un glossaire des principaux termes allemands et une bibliographie sélective.</w:t>
      </w:r>
    </w:p>
    <w:p>
      <w:pPr/>
      <w:r>
        <w:rPr>
          <w:rFonts w:ascii="Calibri" w:hAnsi="Calibri" w:eastAsia="Calibri"/>
          <w:color w:val="182430"/>
        </w:rPr>
        <w:t>Le texte allemand ne serait pas reproduit en regard dans l’hypothèse de base, afin de conserver un volume maniable. La transcription de l’édition de 1779 est librement consultable dans le Deutsches Textarchiv et pourrait être signalée au lecteur. Une édition bilingue resterait possible si la collection la juge préférable, mais elle augmenterait sensiblement le volume.</w:t>
      </w:r>
    </w:p>
    <w:p>
      <w:pPr>
        <w:pStyle w:val="Heading2"/>
      </w:pPr>
      <w:r>
        <w:rPr>
          <w:rFonts w:ascii="Calibri" w:hAnsi="Calibri" w:eastAsia="Calibri"/>
          <w:color w:val="182430"/>
        </w:rPr>
        <w:t>Volume estimé</w:t>
      </w:r>
    </w:p>
    <w:p>
      <w:pPr/>
      <w:r>
        <w:rPr>
          <w:rFonts w:ascii="Calibri" w:hAnsi="Calibri" w:eastAsia="Calibri"/>
          <w:color w:val="182430"/>
        </w:rPr>
        <w:t>La transcription allemande de l’essai représente environ 175 000 signes. La traduction de travail actuelle représente environ 165 000 signes, avant reprise stylistique et philologique. Avec l’introduction, les notes, le glossaire et la bibliographie, le manuscrit complet peut être provisoirement estimé entre 270 000 et 340 000 signes, soit environ 220 à 280 pages selon le format de la collection. Cette estimation devra être recalée après préparation d’un échantillon définitif.</w:t>
      </w:r>
    </w:p>
    <w:p>
      <w:pPr>
        <w:pStyle w:val="Heading2"/>
      </w:pPr>
      <w:r>
        <w:rPr>
          <w:rFonts w:ascii="Calibri" w:hAnsi="Calibri" w:eastAsia="Calibri"/>
          <w:color w:val="182430"/>
        </w:rPr>
        <w:t>État d’avancement</w:t>
      </w:r>
    </w:p>
    <w:p>
      <w:pPr/>
      <w:r>
        <w:rPr>
          <w:rFonts w:ascii="Calibri" w:hAnsi="Calibri" w:eastAsia="Calibri"/>
          <w:color w:val="182430"/>
        </w:rPr>
        <w:t>Les éléments suivants sont déjà disponibles :</w:t>
      </w:r>
    </w:p>
    <w:p>
      <w:pPr>
        <w:numPr>
          <w:ilvl w:val="0"/>
          <w:numId w:val="10"/>
        </w:numPr>
        <w:spacing w:after="80" w:line="290" w:lineRule="auto"/>
        <w:jc w:val="left"/>
      </w:pPr>
      <w:r>
        <w:rPr>
          <w:rFonts w:ascii="Calibri" w:hAnsi="Calibri" w:eastAsia="Calibri"/>
          <w:color w:val="182430"/>
        </w:rPr>
        <w:t>la transcription complète du texte allemand à partir du Deutsches Textarchiv ;</w:t>
      </w:r>
    </w:p>
    <w:p>
      <w:pPr>
        <w:numPr>
          <w:ilvl w:val="0"/>
          <w:numId w:val="10"/>
        </w:numPr>
        <w:spacing w:after="80" w:line="290" w:lineRule="auto"/>
        <w:jc w:val="left"/>
      </w:pPr>
      <w:r>
        <w:rPr>
          <w:rFonts w:ascii="Calibri" w:hAnsi="Calibri" w:eastAsia="Calibri"/>
          <w:color w:val="182430"/>
        </w:rPr>
        <w:t>une traduction française automatique intégrale servant exclusivement d’instrument de repérage ;</w:t>
      </w:r>
    </w:p>
    <w:p>
      <w:pPr>
        <w:numPr>
          <w:ilvl w:val="0"/>
          <w:numId w:val="10"/>
        </w:numPr>
        <w:spacing w:after="80" w:line="290" w:lineRule="auto"/>
        <w:jc w:val="left"/>
      </w:pPr>
      <w:r>
        <w:rPr>
          <w:rFonts w:ascii="Calibri" w:hAnsi="Calibri" w:eastAsia="Calibri"/>
          <w:color w:val="182430"/>
        </w:rPr>
        <w:t>une lecture directe et un premier contrôle de plusieurs passages centraux de l’original, notamment p. 253-274, 313-317, 321, 329-331, 379-383, 411-412 et 427-428 de l’édition de 1779 ;</w:t>
      </w:r>
    </w:p>
    <w:p>
      <w:pPr>
        <w:numPr>
          <w:ilvl w:val="0"/>
          <w:numId w:val="10"/>
        </w:numPr>
        <w:spacing w:after="80" w:line="290" w:lineRule="auto"/>
        <w:jc w:val="left"/>
      </w:pPr>
      <w:r>
        <w:rPr>
          <w:rFonts w:ascii="Calibri" w:hAnsi="Calibri" w:eastAsia="Calibri"/>
          <w:color w:val="182430"/>
        </w:rPr>
        <w:t>une cartographie des principales propositions de Garve ;</w:t>
      </w:r>
    </w:p>
    <w:p>
      <w:pPr>
        <w:numPr>
          <w:ilvl w:val="0"/>
          <w:numId w:val="10"/>
        </w:numPr>
        <w:spacing w:after="80" w:line="290" w:lineRule="auto"/>
        <w:jc w:val="left"/>
      </w:pPr>
      <w:r>
        <w:rPr>
          <w:rFonts w:ascii="Calibri" w:hAnsi="Calibri" w:eastAsia="Calibri"/>
          <w:color w:val="182430"/>
        </w:rPr>
        <w:t>un état de l’art historique et contemporain sur le concept de l’intéressant ;</w:t>
      </w:r>
    </w:p>
    <w:p>
      <w:pPr>
        <w:numPr>
          <w:ilvl w:val="0"/>
          <w:numId w:val="10"/>
        </w:numPr>
        <w:spacing w:after="80" w:line="290" w:lineRule="auto"/>
        <w:jc w:val="left"/>
      </w:pPr>
      <w:r>
        <w:rPr>
          <w:rFonts w:ascii="Calibri" w:hAnsi="Calibri" w:eastAsia="Calibri"/>
          <w:color w:val="182430"/>
        </w:rPr>
        <w:t>plusieurs rapprochements déjà développés dans le projet de thèse : attention, curiosité, flow, progrès de compression, Adjacent Possible, difficulté, énigme, construction et relance.</w:t>
      </w:r>
    </w:p>
    <w:p>
      <w:pPr/>
      <w:r>
        <w:rPr>
          <w:rFonts w:ascii="Calibri" w:hAnsi="Calibri" w:eastAsia="Calibri"/>
          <w:color w:val="182430"/>
        </w:rPr>
        <w:t>Restent à accomplir :</w:t>
      </w:r>
    </w:p>
    <w:p>
      <w:pPr>
        <w:numPr>
          <w:ilvl w:val="0"/>
          <w:numId w:val="10"/>
        </w:numPr>
        <w:spacing w:after="80" w:line="290" w:lineRule="auto"/>
        <w:jc w:val="left"/>
      </w:pPr>
      <w:r>
        <w:rPr>
          <w:rFonts w:ascii="Calibri" w:hAnsi="Calibri" w:eastAsia="Calibri"/>
          <w:color w:val="182430"/>
        </w:rPr>
        <w:t>la retraduction intégrale à partir de l’allemand ;</w:t>
      </w:r>
    </w:p>
    <w:p>
      <w:pPr>
        <w:numPr>
          <w:ilvl w:val="0"/>
          <w:numId w:val="10"/>
        </w:numPr>
        <w:spacing w:after="80" w:line="290" w:lineRule="auto"/>
        <w:jc w:val="left"/>
      </w:pPr>
      <w:r>
        <w:rPr>
          <w:rFonts w:ascii="Calibri" w:hAnsi="Calibri" w:eastAsia="Calibri"/>
          <w:color w:val="182430"/>
        </w:rPr>
        <w:t>la fixation d’un lexique cohérent pour les termes clés ;</w:t>
      </w:r>
    </w:p>
    <w:p>
      <w:pPr>
        <w:numPr>
          <w:ilvl w:val="0"/>
          <w:numId w:val="10"/>
        </w:numPr>
        <w:spacing w:after="80" w:line="290" w:lineRule="auto"/>
        <w:jc w:val="left"/>
      </w:pPr>
      <w:r>
        <w:rPr>
          <w:rFonts w:ascii="Calibri" w:hAnsi="Calibri" w:eastAsia="Calibri"/>
          <w:color w:val="182430"/>
        </w:rPr>
        <w:t>la révision philologique par un germaniste compétent en philosophie allemande du XVIIIe siècle ;</w:t>
      </w:r>
    </w:p>
    <w:p>
      <w:pPr>
        <w:numPr>
          <w:ilvl w:val="0"/>
          <w:numId w:val="10"/>
        </w:numPr>
        <w:spacing w:after="80" w:line="290" w:lineRule="auto"/>
        <w:jc w:val="left"/>
      </w:pPr>
      <w:r>
        <w:rPr>
          <w:rFonts w:ascii="Calibri" w:hAnsi="Calibri" w:eastAsia="Calibri"/>
          <w:color w:val="182430"/>
        </w:rPr>
        <w:t>la rédaction définitive de l’introduction et de l’appareil de notes ;</w:t>
      </w:r>
    </w:p>
    <w:p>
      <w:pPr>
        <w:numPr>
          <w:ilvl w:val="0"/>
          <w:numId w:val="10"/>
        </w:numPr>
        <w:spacing w:after="80" w:line="290" w:lineRule="auto"/>
        <w:jc w:val="left"/>
      </w:pPr>
      <w:r>
        <w:rPr>
          <w:rFonts w:ascii="Calibri" w:hAnsi="Calibri" w:eastAsia="Calibri"/>
          <w:color w:val="182430"/>
        </w:rPr>
        <w:t>la vérification systématique des références et des variantes d’édition.</w:t>
      </w:r>
    </w:p>
    <w:p>
      <w:pPr/>
      <w:r>
        <w:rPr>
          <w:rFonts w:ascii="Calibri" w:hAnsi="Calibri" w:eastAsia="Calibri"/>
          <w:color w:val="182430"/>
        </w:rPr>
        <w:t>La traduction automatique ne constitue donc pas le texte proposé à la publication. Elle a permis d’établir la faisabilité du projet, de repérer les articulations et de préparer l’enquête. La traduction publiée serait entièrement reprise et contrôlée sur l’allemand. Le choix d’un traducteur, cotraducteur ou réviseur germaniste devrait être discuté avec la direction de la collection.</w:t>
      </w:r>
    </w:p>
    <w:p>
      <w:pPr>
        <w:pStyle w:val="Heading1"/>
      </w:pPr>
      <w:r>
        <w:rPr>
          <w:rFonts w:ascii="Calibri" w:hAnsi="Calibri" w:eastAsia="Calibri"/>
          <w:color w:val="182430"/>
        </w:rPr>
        <w:t>3. Projet d’introduction</w:t>
      </w:r>
    </w:p>
    <w:p>
      <w:pPr/>
      <w:r>
        <w:rPr>
          <w:rFonts w:ascii="Calibri" w:hAnsi="Calibri" w:eastAsia="Calibri"/>
          <w:color w:val="182430"/>
        </w:rPr>
        <w:t>L’introduction pourrait être organisée en six sections.</w:t>
      </w:r>
    </w:p>
    <w:p>
      <w:pPr>
        <w:pStyle w:val="Heading2"/>
      </w:pPr>
      <w:r>
        <w:rPr>
          <w:rFonts w:ascii="Calibri" w:hAnsi="Calibri" w:eastAsia="Calibri"/>
          <w:color w:val="182430"/>
        </w:rPr>
        <w:t xml:space="preserve">1. Garve et la </w:t>
      </w:r>
      <w:r>
        <w:rPr>
          <w:rFonts w:ascii="Calibri" w:hAnsi="Calibri" w:eastAsia="Calibri"/>
          <w:i/>
          <w:color w:val="182430"/>
        </w:rPr>
        <w:t>Popularphilosophie</w:t>
      </w:r>
    </w:p>
    <w:p>
      <w:pPr/>
      <w:r>
        <w:rPr>
          <w:rFonts w:ascii="Calibri" w:hAnsi="Calibri" w:eastAsia="Calibri"/>
          <w:color w:val="182430"/>
        </w:rPr>
        <w:t>Présentation de Garve, de sa manière de philosopher à partir de l’expérience et de cas ordinaires, de son rapport au public, ainsi que du statut de ce programme dans les Lumières allemandes.</w:t>
      </w:r>
    </w:p>
    <w:p>
      <w:pPr>
        <w:pStyle w:val="Heading2"/>
      </w:pPr>
      <w:r>
        <w:rPr>
          <w:rFonts w:ascii="Calibri" w:hAnsi="Calibri" w:eastAsia="Calibri"/>
          <w:color w:val="182430"/>
        </w:rPr>
        <w:t>2. Genèse et composition de l’essai</w:t>
      </w:r>
    </w:p>
    <w:p>
      <w:pPr/>
      <w:r>
        <w:rPr>
          <w:rFonts w:ascii="Calibri" w:hAnsi="Calibri" w:eastAsia="Calibri"/>
          <w:color w:val="182430"/>
        </w:rPr>
        <w:t>Première publication en 1771-1772, reprise et annexe de 1779, structure des deux parties, place du texte dans les débats esthétiques et anthropologiques de son temps.</w:t>
      </w:r>
    </w:p>
    <w:p>
      <w:pPr>
        <w:pStyle w:val="Heading2"/>
      </w:pPr>
      <w:r>
        <w:rPr>
          <w:rFonts w:ascii="Calibri" w:hAnsi="Calibri" w:eastAsia="Calibri"/>
          <w:color w:val="182430"/>
        </w:rPr>
        <w:t>3. Une anatomie de l’intéressant</w:t>
      </w:r>
    </w:p>
    <w:p>
      <w:pPr/>
      <w:r>
        <w:rPr>
          <w:rFonts w:ascii="Calibri" w:hAnsi="Calibri" w:eastAsia="Calibri"/>
          <w:color w:val="182430"/>
        </w:rPr>
        <w:t>Reconstruction du mécanisme central : attraction de l’objet, attention sans effort, orientation vers la suite, rapport à l’état antérieur du sujet, lacune éprouvée, activité des représentations, rôle du particulier, incertitude et diminution de l’activité lorsque l’issue devient certaine.</w:t>
      </w:r>
    </w:p>
    <w:p>
      <w:pPr>
        <w:pStyle w:val="Heading2"/>
      </w:pPr>
      <w:r>
        <w:rPr>
          <w:rFonts w:ascii="Calibri" w:hAnsi="Calibri" w:eastAsia="Calibri"/>
          <w:color w:val="182430"/>
        </w:rPr>
        <w:t>4. Idées, passions et sympathie</w:t>
      </w:r>
    </w:p>
    <w:p>
      <w:pPr/>
      <w:r>
        <w:rPr>
          <w:rFonts w:ascii="Calibri" w:hAnsi="Calibri" w:eastAsia="Calibri"/>
          <w:color w:val="182430"/>
        </w:rPr>
        <w:t>Analyse de la continuité et de la différence entre l’intérêt suscité par les représentations et celui qui vient des passions ; rôle de l’imagination, du caractère, de la proximité et de la sympathie morale.</w:t>
      </w:r>
    </w:p>
    <w:p>
      <w:pPr>
        <w:pStyle w:val="Heading2"/>
      </w:pPr>
      <w:r>
        <w:rPr>
          <w:rFonts w:ascii="Calibri" w:hAnsi="Calibri" w:eastAsia="Calibri"/>
          <w:color w:val="182430"/>
        </w:rPr>
        <w:t>5. Nature de l’intéressant et destination morale</w:t>
      </w:r>
    </w:p>
    <w:p>
      <w:pPr/>
      <w:r>
        <w:rPr>
          <w:rFonts w:ascii="Calibri" w:hAnsi="Calibri" w:eastAsia="Calibri"/>
          <w:color w:val="182430"/>
        </w:rPr>
        <w:t>Distinction entre la description du phénomène, sa modulation par les normes et l’usage éducatif ou moral de la poésie. Discussion de l’interprétation de Doris Bachmann-Medick, qui accentue la portée pratique et morale du concept.</w:t>
      </w:r>
    </w:p>
    <w:p>
      <w:pPr>
        <w:pStyle w:val="Heading2"/>
      </w:pPr>
      <w:r>
        <w:rPr>
          <w:rFonts w:ascii="Calibri" w:hAnsi="Calibri" w:eastAsia="Calibri"/>
          <w:color w:val="182430"/>
        </w:rPr>
        <w:t>6. Postérité, dispersion et actualité</w:t>
      </w:r>
    </w:p>
    <w:p>
      <w:pPr/>
      <w:r>
        <w:rPr>
          <w:rFonts w:ascii="Calibri" w:hAnsi="Calibri" w:eastAsia="Calibri"/>
          <w:color w:val="182430"/>
        </w:rPr>
        <w:t>Reconfiguration chez Kant et Schlegel, déplacement vers l’esthétique moderne, faible canonisation du texte et distribution ultérieure de ses fonctions entre attention, curiosité, apprentissage, suspense, motivation et créativité. Cette dernière section introduirait l’appareil de notes contemporaines sans faire de Garve un précurseur universel.</w:t>
      </w:r>
    </w:p>
    <w:p>
      <w:pPr>
        <w:pStyle w:val="Heading1"/>
      </w:pPr>
      <w:r>
        <w:rPr>
          <w:rFonts w:ascii="Calibri" w:hAnsi="Calibri" w:eastAsia="Calibri"/>
          <w:color w:val="182430"/>
        </w:rPr>
        <w:t>4. Principes d’annotation</w:t>
      </w:r>
    </w:p>
    <w:p>
      <w:pPr/>
      <w:r>
        <w:rPr>
          <w:rFonts w:ascii="Calibri" w:hAnsi="Calibri" w:eastAsia="Calibri"/>
          <w:color w:val="182430"/>
        </w:rPr>
        <w:t>L’annotation comporterait trois niveaux clairement distingués.</w:t>
      </w:r>
    </w:p>
    <w:p>
      <w:pPr>
        <w:pStyle w:val="Heading2"/>
      </w:pPr>
      <w:r>
        <w:rPr>
          <w:rFonts w:ascii="Calibri" w:hAnsi="Calibri" w:eastAsia="Calibri"/>
          <w:color w:val="182430"/>
        </w:rPr>
        <w:t>Notes philologiques et éditoriales</w:t>
      </w:r>
    </w:p>
    <w:p>
      <w:pPr/>
      <w:r>
        <w:rPr>
          <w:rFonts w:ascii="Calibri" w:hAnsi="Calibri" w:eastAsia="Calibri"/>
          <w:color w:val="182430"/>
        </w:rPr>
        <w:t>Elles justifieraient les choix de traduction, signaleraient les termes allemands dont le champ sémantique résiste à un équivalent unique, préciseraient les corrections ou particularités de l’édition de 1779 et identifieraient les citations explicites.</w:t>
      </w:r>
    </w:p>
    <w:p>
      <w:pPr/>
      <w:r>
        <w:rPr>
          <w:rFonts w:ascii="Calibri" w:hAnsi="Calibri" w:eastAsia="Calibri"/>
          <w:color w:val="182430"/>
        </w:rPr>
        <w:t xml:space="preserve">Les termes à suivre de manière cohérente comprennent notamment </w:t>
      </w:r>
      <w:r>
        <w:rPr>
          <w:rFonts w:ascii="Calibri" w:hAnsi="Calibri" w:eastAsia="Calibri"/>
          <w:i/>
          <w:color w:val="182430"/>
        </w:rPr>
        <w:t>interessieren</w:t>
      </w:r>
      <w:r>
        <w:rPr>
          <w:rFonts w:ascii="Calibri" w:hAnsi="Calibri" w:eastAsia="Calibri"/>
          <w:color w:val="182430"/>
        </w:rPr>
        <w:t xml:space="preserve">, </w:t>
      </w:r>
      <w:r>
        <w:rPr>
          <w:rFonts w:ascii="Calibri" w:hAnsi="Calibri" w:eastAsia="Calibri"/>
          <w:i/>
          <w:color w:val="182430"/>
        </w:rPr>
        <w:t>das Interessierende</w:t>
      </w:r>
      <w:r>
        <w:rPr>
          <w:rFonts w:ascii="Calibri" w:hAnsi="Calibri" w:eastAsia="Calibri"/>
          <w:color w:val="182430"/>
        </w:rPr>
        <w:t xml:space="preserve">, </w:t>
      </w:r>
      <w:r>
        <w:rPr>
          <w:rFonts w:ascii="Calibri" w:hAnsi="Calibri" w:eastAsia="Calibri"/>
          <w:i/>
          <w:color w:val="182430"/>
        </w:rPr>
        <w:t>Interesse</w:t>
      </w:r>
      <w:r>
        <w:rPr>
          <w:rFonts w:ascii="Calibri" w:hAnsi="Calibri" w:eastAsia="Calibri"/>
          <w:color w:val="182430"/>
        </w:rPr>
        <w:t xml:space="preserve">, </w:t>
      </w:r>
      <w:r>
        <w:rPr>
          <w:rFonts w:ascii="Calibri" w:hAnsi="Calibri" w:eastAsia="Calibri"/>
          <w:i/>
          <w:color w:val="182430"/>
        </w:rPr>
        <w:t>Aufmerksamkeit</w:t>
      </w:r>
      <w:r>
        <w:rPr>
          <w:rFonts w:ascii="Calibri" w:hAnsi="Calibri" w:eastAsia="Calibri"/>
          <w:color w:val="182430"/>
        </w:rPr>
        <w:t xml:space="preserve">, </w:t>
      </w:r>
      <w:r>
        <w:rPr>
          <w:rFonts w:ascii="Calibri" w:hAnsi="Calibri" w:eastAsia="Calibri"/>
          <w:i/>
          <w:color w:val="182430"/>
        </w:rPr>
        <w:t>Wohlgefallen</w:t>
      </w:r>
      <w:r>
        <w:rPr>
          <w:rFonts w:ascii="Calibri" w:hAnsi="Calibri" w:eastAsia="Calibri"/>
          <w:color w:val="182430"/>
        </w:rPr>
        <w:t xml:space="preserve">, </w:t>
      </w:r>
      <w:r>
        <w:rPr>
          <w:rFonts w:ascii="Calibri" w:hAnsi="Calibri" w:eastAsia="Calibri"/>
          <w:i/>
          <w:color w:val="182430"/>
        </w:rPr>
        <w:t>Begierde</w:t>
      </w:r>
      <w:r>
        <w:rPr>
          <w:rFonts w:ascii="Calibri" w:hAnsi="Calibri" w:eastAsia="Calibri"/>
          <w:color w:val="182430"/>
        </w:rPr>
        <w:t xml:space="preserve">, </w:t>
      </w:r>
      <w:r>
        <w:rPr>
          <w:rFonts w:ascii="Calibri" w:hAnsi="Calibri" w:eastAsia="Calibri"/>
          <w:i/>
          <w:color w:val="182430"/>
        </w:rPr>
        <w:t>Vorstellung</w:t>
      </w:r>
      <w:r>
        <w:rPr>
          <w:rFonts w:ascii="Calibri" w:hAnsi="Calibri" w:eastAsia="Calibri"/>
          <w:color w:val="182430"/>
        </w:rPr>
        <w:t xml:space="preserve">, </w:t>
      </w:r>
      <w:r>
        <w:rPr>
          <w:rFonts w:ascii="Calibri" w:hAnsi="Calibri" w:eastAsia="Calibri"/>
          <w:i/>
          <w:color w:val="182430"/>
        </w:rPr>
        <w:t>Empfindung</w:t>
      </w:r>
      <w:r>
        <w:rPr>
          <w:rFonts w:ascii="Calibri" w:hAnsi="Calibri" w:eastAsia="Calibri"/>
          <w:color w:val="182430"/>
        </w:rPr>
        <w:t xml:space="preserve">, </w:t>
      </w:r>
      <w:r>
        <w:rPr>
          <w:rFonts w:ascii="Calibri" w:hAnsi="Calibri" w:eastAsia="Calibri"/>
          <w:i/>
          <w:color w:val="182430"/>
        </w:rPr>
        <w:t>Neigung</w:t>
      </w:r>
      <w:r>
        <w:rPr>
          <w:rFonts w:ascii="Calibri" w:hAnsi="Calibri" w:eastAsia="Calibri"/>
          <w:color w:val="182430"/>
        </w:rPr>
        <w:t xml:space="preserve">, </w:t>
      </w:r>
      <w:r>
        <w:rPr>
          <w:rFonts w:ascii="Calibri" w:hAnsi="Calibri" w:eastAsia="Calibri"/>
          <w:i/>
          <w:color w:val="182430"/>
        </w:rPr>
        <w:t>Rührung</w:t>
      </w:r>
      <w:r>
        <w:rPr>
          <w:rFonts w:ascii="Calibri" w:hAnsi="Calibri" w:eastAsia="Calibri"/>
          <w:color w:val="182430"/>
        </w:rPr>
        <w:t xml:space="preserve">, </w:t>
      </w:r>
      <w:r>
        <w:rPr>
          <w:rFonts w:ascii="Calibri" w:hAnsi="Calibri" w:eastAsia="Calibri"/>
          <w:i/>
          <w:color w:val="182430"/>
        </w:rPr>
        <w:t>Teilnehmung</w:t>
      </w:r>
      <w:r>
        <w:rPr>
          <w:rFonts w:ascii="Calibri" w:hAnsi="Calibri" w:eastAsia="Calibri"/>
          <w:color w:val="182430"/>
        </w:rPr>
        <w:t xml:space="preserve"> et </w:t>
      </w:r>
      <w:r>
        <w:rPr>
          <w:rFonts w:ascii="Calibri" w:hAnsi="Calibri" w:eastAsia="Calibri"/>
          <w:i/>
          <w:color w:val="182430"/>
        </w:rPr>
        <w:t>Mitleid</w:t>
      </w:r>
      <w:r>
        <w:rPr>
          <w:rFonts w:ascii="Calibri" w:hAnsi="Calibri" w:eastAsia="Calibri"/>
          <w:color w:val="182430"/>
        </w:rPr>
        <w:t>.</w:t>
      </w:r>
    </w:p>
    <w:p>
      <w:pPr>
        <w:pStyle w:val="Heading2"/>
      </w:pPr>
      <w:r>
        <w:rPr>
          <w:rFonts w:ascii="Calibri" w:hAnsi="Calibri" w:eastAsia="Calibri"/>
          <w:color w:val="182430"/>
        </w:rPr>
        <w:t>Notes historiques et contextuelles</w:t>
      </w:r>
    </w:p>
    <w:p>
      <w:pPr/>
      <w:r>
        <w:rPr>
          <w:rFonts w:ascii="Calibri" w:hAnsi="Calibri" w:eastAsia="Calibri"/>
          <w:color w:val="182430"/>
        </w:rPr>
        <w:t>Elles éclaireraient les interlocuteurs explicites ou implicites de Garve, les débats esthétiques et anthropologiques du XVIIIe siècle, les exemples littéraires, la théorie des passions, la place du particulier et le vocabulaire de la sympathie.</w:t>
      </w:r>
    </w:p>
    <w:p>
      <w:pPr>
        <w:pStyle w:val="Heading2"/>
      </w:pPr>
      <w:r>
        <w:rPr>
          <w:rFonts w:ascii="Calibri" w:hAnsi="Calibri" w:eastAsia="Calibri"/>
          <w:color w:val="182430"/>
        </w:rPr>
        <w:t>Notes de mise en perspective contemporaine</w:t>
      </w:r>
    </w:p>
    <w:p>
      <w:pPr/>
      <w:r>
        <w:rPr>
          <w:rFonts w:ascii="Calibri" w:hAnsi="Calibri" w:eastAsia="Calibri"/>
          <w:color w:val="182430"/>
        </w:rPr>
        <w:t>Ces notes constitueraient l’originalité principale de l’édition, mais leur fonction serait comparative et critique. Chaque rapprochement serait qualifié selon l’un des quatre rapports suivants :</w:t>
      </w:r>
    </w:p>
    <w:p>
      <w:pPr>
        <w:numPr>
          <w:ilvl w:val="0"/>
          <w:numId w:val="10"/>
        </w:numPr>
        <w:spacing w:after="80" w:line="290" w:lineRule="auto"/>
        <w:jc w:val="left"/>
      </w:pPr>
      <w:r>
        <w:rPr>
          <w:rFonts w:ascii="Calibri" w:hAnsi="Calibri" w:eastAsia="Calibri"/>
          <w:b/>
          <w:color w:val="182430"/>
        </w:rPr>
        <w:t>anticipation structurale</w:t>
      </w:r>
      <w:r>
        <w:rPr>
          <w:rFonts w:ascii="Calibri" w:hAnsi="Calibri" w:eastAsia="Calibri"/>
          <w:color w:val="182430"/>
        </w:rPr>
        <w:t xml:space="preserve"> : Garve formule déjà un mécanisme suffisamment proche ;</w:t>
      </w:r>
    </w:p>
    <w:p>
      <w:pPr>
        <w:numPr>
          <w:ilvl w:val="0"/>
          <w:numId w:val="10"/>
        </w:numPr>
        <w:spacing w:after="80" w:line="290" w:lineRule="auto"/>
        <w:jc w:val="left"/>
      </w:pPr>
      <w:r>
        <w:rPr>
          <w:rFonts w:ascii="Calibri" w:hAnsi="Calibri" w:eastAsia="Calibri"/>
          <w:b/>
          <w:color w:val="182430"/>
        </w:rPr>
        <w:t>convergence</w:t>
      </w:r>
      <w:r>
        <w:rPr>
          <w:rFonts w:ascii="Calibri" w:hAnsi="Calibri" w:eastAsia="Calibri"/>
          <w:color w:val="182430"/>
        </w:rPr>
        <w:t xml:space="preserve"> : une théorie moderne décrit sous un autre vocabulaire une partie du même phénomène ;</w:t>
      </w:r>
    </w:p>
    <w:p>
      <w:pPr>
        <w:numPr>
          <w:ilvl w:val="0"/>
          <w:numId w:val="10"/>
        </w:numPr>
        <w:spacing w:after="80" w:line="290" w:lineRule="auto"/>
        <w:jc w:val="left"/>
      </w:pPr>
      <w:r>
        <w:rPr>
          <w:rFonts w:ascii="Calibri" w:hAnsi="Calibri" w:eastAsia="Calibri"/>
          <w:b/>
          <w:color w:val="182430"/>
        </w:rPr>
        <w:t>extension</w:t>
      </w:r>
      <w:r>
        <w:rPr>
          <w:rFonts w:ascii="Calibri" w:hAnsi="Calibri" w:eastAsia="Calibri"/>
          <w:color w:val="182430"/>
        </w:rPr>
        <w:t xml:space="preserve"> : la théorie moderne ajoute une dimension absente ou seulement esquissée chez Garve ;</w:t>
      </w:r>
    </w:p>
    <w:p>
      <w:pPr>
        <w:numPr>
          <w:ilvl w:val="0"/>
          <w:numId w:val="10"/>
        </w:numPr>
        <w:spacing w:after="80" w:line="290" w:lineRule="auto"/>
        <w:jc w:val="left"/>
      </w:pPr>
      <w:r>
        <w:rPr>
          <w:rFonts w:ascii="Calibri" w:hAnsi="Calibri" w:eastAsia="Calibri"/>
          <w:b/>
          <w:color w:val="182430"/>
        </w:rPr>
        <w:t>contraste ou limite</w:t>
      </w:r>
      <w:r>
        <w:rPr>
          <w:rFonts w:ascii="Calibri" w:hAnsi="Calibri" w:eastAsia="Calibri"/>
          <w:color w:val="182430"/>
        </w:rPr>
        <w:t xml:space="preserve"> : le rapprochement fait apparaître ce que Garve ou la théorie moderne ne permet pas d’expliquer.</w:t>
      </w:r>
    </w:p>
    <w:p>
      <w:pPr/>
      <w:r>
        <w:rPr>
          <w:rFonts w:ascii="Calibri" w:hAnsi="Calibri" w:eastAsia="Calibri"/>
          <w:color w:val="182430"/>
        </w:rPr>
        <w:t>Cette nomenclature empêchera les formulations vagues du type « Garve avait déjà découvert… ». Les notes contemporaines seront sélectives. Elles devront aider à lire Garve, non transformer chaque page en prétexte à exposer une théorie récente.</w:t>
      </w:r>
    </w:p>
    <w:p>
      <w:pPr>
        <w:pStyle w:val="Heading1"/>
      </w:pPr>
      <w:r>
        <w:rPr>
          <w:rFonts w:ascii="Calibri" w:hAnsi="Calibri" w:eastAsia="Calibri"/>
          <w:color w:val="182430"/>
        </w:rPr>
        <w:t>5. Cartographie proposée des thèmes modernes</w:t>
      </w:r>
    </w:p>
    <w:p>
      <w:pPr>
        <w:pStyle w:val="Heading2"/>
      </w:pPr>
      <w:r>
        <w:rPr>
          <w:rFonts w:ascii="Calibri" w:hAnsi="Calibri" w:eastAsia="Calibri"/>
          <w:color w:val="182430"/>
        </w:rPr>
        <w:t>A. Attention volontaire, attention suscitée et intérêt antérieur à la question</w:t>
      </w:r>
    </w:p>
    <w:p>
      <w:pPr/>
      <w:r>
        <w:rPr>
          <w:rFonts w:ascii="Calibri" w:hAnsi="Calibri" w:eastAsia="Calibri"/>
          <w:b/>
          <w:color w:val="182430"/>
        </w:rPr>
        <w:t>Passages de Garve :</w:t>
      </w:r>
      <w:r>
        <w:rPr>
          <w:rFonts w:ascii="Calibri" w:hAnsi="Calibri" w:eastAsia="Calibri"/>
          <w:color w:val="182430"/>
        </w:rPr>
        <w:t xml:space="preserve"> p. 253-260.</w:t>
      </w:r>
    </w:p>
    <w:p>
      <w:pPr/>
      <w:r>
        <w:rPr>
          <w:rFonts w:ascii="Calibri" w:hAnsi="Calibri" w:eastAsia="Calibri"/>
          <w:color w:val="182430"/>
        </w:rPr>
        <w:t>Garve distingue le maintien volontaire de l’attention et l’attraction exercée par la chose. Cette distinction peut être confrontée aux théories contemporaines de l’attention et à la différence proposée par Juliette Vazard entre curiosité dirigée vers une question et intérêt pour un objet avant que les questions pertinentes soient encore disponibles.</w:t>
      </w:r>
    </w:p>
    <w:p>
      <w:pPr/>
      <w:r>
        <w:rPr>
          <w:rFonts w:ascii="Calibri" w:hAnsi="Calibri" w:eastAsia="Calibri"/>
          <w:b/>
          <w:color w:val="182430"/>
        </w:rPr>
        <w:t>Rapport proposé :</w:t>
      </w:r>
      <w:r>
        <w:rPr>
          <w:rFonts w:ascii="Calibri" w:hAnsi="Calibri" w:eastAsia="Calibri"/>
          <w:color w:val="182430"/>
        </w:rPr>
        <w:t xml:space="preserve"> anticipation structurale et extension. Garve décrit l’attention suscitée ; les travaux contemporains permettent de préciser les transitions entre attention ouverte, formulation d’une question, curiosité et enquête.</w:t>
      </w:r>
    </w:p>
    <w:p>
      <w:pPr>
        <w:pStyle w:val="Heading2"/>
      </w:pPr>
      <w:r>
        <w:rPr>
          <w:rFonts w:ascii="Calibri" w:hAnsi="Calibri" w:eastAsia="Calibri"/>
          <w:color w:val="182430"/>
        </w:rPr>
        <w:t>B. Orientation prospective, attente et suspense</w:t>
      </w:r>
    </w:p>
    <w:p>
      <w:pPr/>
      <w:r>
        <w:rPr>
          <w:rFonts w:ascii="Calibri" w:hAnsi="Calibri" w:eastAsia="Calibri"/>
          <w:b/>
          <w:color w:val="182430"/>
        </w:rPr>
        <w:t>Passages de Garve :</w:t>
      </w:r>
      <w:r>
        <w:rPr>
          <w:rFonts w:ascii="Calibri" w:hAnsi="Calibri" w:eastAsia="Calibri"/>
          <w:color w:val="182430"/>
        </w:rPr>
        <w:t xml:space="preserve"> p. 255-260 et passages narratifs de la seconde partie.</w:t>
      </w:r>
    </w:p>
    <w:p>
      <w:pPr/>
      <w:r>
        <w:rPr>
          <w:rFonts w:ascii="Calibri" w:hAnsi="Calibri" w:eastAsia="Calibri"/>
          <w:color w:val="182430"/>
        </w:rPr>
        <w:t>L’attention intéressante est « un peu en avant » de l’idée présente et désire les éléments suivants de la série. Ce schème peut être confronté aux analyses modernes de l’anticipation, du suspense et de la prédiction.</w:t>
      </w:r>
    </w:p>
    <w:p>
      <w:pPr/>
      <w:r>
        <w:rPr>
          <w:rFonts w:ascii="Calibri" w:hAnsi="Calibri" w:eastAsia="Calibri"/>
          <w:b/>
          <w:color w:val="182430"/>
        </w:rPr>
        <w:t>Rapport proposé :</w:t>
      </w:r>
      <w:r>
        <w:rPr>
          <w:rFonts w:ascii="Calibri" w:hAnsi="Calibri" w:eastAsia="Calibri"/>
          <w:color w:val="182430"/>
        </w:rPr>
        <w:t xml:space="preserve"> anticipation structurale. La limite importante est que tout écart à une prédiction ne devient pas intéressant : la surprise peut être vide, tandis que l’intérêt suppose une continuation qui paraît valoir la peine.</w:t>
      </w:r>
    </w:p>
    <w:p>
      <w:pPr>
        <w:pStyle w:val="Heading2"/>
      </w:pPr>
      <w:r>
        <w:rPr>
          <w:rFonts w:ascii="Calibri" w:hAnsi="Calibri" w:eastAsia="Calibri"/>
          <w:color w:val="182430"/>
        </w:rPr>
        <w:t>C. Lacune éprouvée, curiosité et pertinence</w:t>
      </w:r>
    </w:p>
    <w:p>
      <w:pPr/>
      <w:r>
        <w:rPr>
          <w:rFonts w:ascii="Calibri" w:hAnsi="Calibri" w:eastAsia="Calibri"/>
          <w:b/>
          <w:color w:val="182430"/>
        </w:rPr>
        <w:t>Passages de Garve :</w:t>
      </w:r>
      <w:r>
        <w:rPr>
          <w:rFonts w:ascii="Calibri" w:hAnsi="Calibri" w:eastAsia="Calibri"/>
          <w:color w:val="182430"/>
        </w:rPr>
        <w:t xml:space="preserve"> p. 266-269.</w:t>
      </w:r>
    </w:p>
    <w:p>
      <w:pPr/>
      <w:r>
        <w:rPr>
          <w:rFonts w:ascii="Calibri" w:hAnsi="Calibri" w:eastAsia="Calibri"/>
          <w:color w:val="182430"/>
        </w:rPr>
        <w:t>Une explication intéresse si le sujet a déjà rencontré la difficulté qu’elle résout et ressenti le manque auquel elle répond. Le rapprochement avec les théories de la curiosité épistémique ou de l’« information gap » est direct, mais non identitaire.</w:t>
      </w:r>
    </w:p>
    <w:p>
      <w:pPr/>
      <w:r>
        <w:rPr>
          <w:rFonts w:ascii="Calibri" w:hAnsi="Calibri" w:eastAsia="Calibri"/>
          <w:b/>
          <w:color w:val="182430"/>
        </w:rPr>
        <w:t>Rapport proposé :</w:t>
      </w:r>
      <w:r>
        <w:rPr>
          <w:rFonts w:ascii="Calibri" w:hAnsi="Calibri" w:eastAsia="Calibri"/>
          <w:color w:val="182430"/>
        </w:rPr>
        <w:t xml:space="preserve"> anticipation structurale et contraste. La curiosité vise généralement une question ou une information manquante déjà représentée ; Garve décrit aussi une expérience antérieure et obscure de la difficulté, avant formulation complète de la question.</w:t>
      </w:r>
    </w:p>
    <w:p>
      <w:pPr>
        <w:pStyle w:val="Heading2"/>
      </w:pPr>
      <w:r>
        <w:rPr>
          <w:rFonts w:ascii="Calibri" w:hAnsi="Calibri" w:eastAsia="Calibri"/>
          <w:color w:val="182430"/>
        </w:rPr>
        <w:t>D. Histoire du sujet, matériaux antérieurs et construction</w:t>
      </w:r>
    </w:p>
    <w:p>
      <w:pPr/>
      <w:r>
        <w:rPr>
          <w:rFonts w:ascii="Calibri" w:hAnsi="Calibri" w:eastAsia="Calibri"/>
          <w:b/>
          <w:color w:val="182430"/>
        </w:rPr>
        <w:t>Passages de Garve :</w:t>
      </w:r>
      <w:r>
        <w:rPr>
          <w:rFonts w:ascii="Calibri" w:hAnsi="Calibri" w:eastAsia="Calibri"/>
          <w:color w:val="182430"/>
        </w:rPr>
        <w:t xml:space="preserve"> p. 269-274.</w:t>
      </w:r>
    </w:p>
    <w:p>
      <w:pPr/>
      <w:r>
        <w:rPr>
          <w:rFonts w:ascii="Calibri" w:hAnsi="Calibri" w:eastAsia="Calibri"/>
          <w:color w:val="182430"/>
        </w:rPr>
        <w:t>Garve soutient que l’objet nouveau doit entrer dans les traces de l’expérience ancienne et que ce qui se construit à partir de matériaux déjà présents mobilise davantage le sujet. Cette idée peut être confrontée au constructivisme, aux théories de l’apprentissage dépendant des connaissances antérieures et aux conceptions relationnelles de la cognition.</w:t>
      </w:r>
    </w:p>
    <w:p>
      <w:pPr/>
      <w:r>
        <w:rPr>
          <w:rFonts w:ascii="Calibri" w:hAnsi="Calibri" w:eastAsia="Calibri"/>
          <w:b/>
          <w:color w:val="182430"/>
        </w:rPr>
        <w:t>Rapport proposé :</w:t>
      </w:r>
      <w:r>
        <w:rPr>
          <w:rFonts w:ascii="Calibri" w:hAnsi="Calibri" w:eastAsia="Calibri"/>
          <w:color w:val="182430"/>
        </w:rPr>
        <w:t xml:space="preserve"> anticipation structurale. L’extension proposée par la thèse consiste à caractériser ce que la construction produit : distinction, anticipation, règle, modèle, possibilité d’intervention ou artefact contrôlable.</w:t>
      </w:r>
    </w:p>
    <w:p>
      <w:pPr>
        <w:pStyle w:val="Heading2"/>
      </w:pPr>
      <w:r>
        <w:rPr>
          <w:rFonts w:ascii="Calibri" w:hAnsi="Calibri" w:eastAsia="Calibri"/>
          <w:color w:val="182430"/>
        </w:rPr>
        <w:t>E. Adjacent Possible et transformation de l’espace des possibles</w:t>
      </w:r>
    </w:p>
    <w:p>
      <w:pPr/>
      <w:r>
        <w:rPr>
          <w:rFonts w:ascii="Calibri" w:hAnsi="Calibri" w:eastAsia="Calibri"/>
          <w:b/>
          <w:color w:val="182430"/>
        </w:rPr>
        <w:t>Passages de Garve :</w:t>
      </w:r>
      <w:r>
        <w:rPr>
          <w:rFonts w:ascii="Calibri" w:hAnsi="Calibri" w:eastAsia="Calibri"/>
          <w:color w:val="182430"/>
        </w:rPr>
        <w:t xml:space="preserve"> p. 269-274, notamment les métaphores des séries, des traces, des matériaux et des semences.</w:t>
      </w:r>
    </w:p>
    <w:p>
      <w:pPr/>
      <w:r>
        <w:rPr>
          <w:rFonts w:ascii="Calibri" w:hAnsi="Calibri" w:eastAsia="Calibri"/>
          <w:color w:val="182430"/>
        </w:rPr>
        <w:t>Ces passages suggèrent que le nouveau devient accessible depuis un état historiquement constitué du sujet. Ils peuvent être rapprochés de l’Adjacent Possible : les possibilités qui s’ouvrent localement à partir d’un état donné.</w:t>
      </w:r>
    </w:p>
    <w:p>
      <w:pPr/>
      <w:r>
        <w:rPr>
          <w:rFonts w:ascii="Calibri" w:hAnsi="Calibri" w:eastAsia="Calibri"/>
          <w:b/>
          <w:color w:val="182430"/>
        </w:rPr>
        <w:t>Rapport proposé :</w:t>
      </w:r>
      <w:r>
        <w:rPr>
          <w:rFonts w:ascii="Calibri" w:hAnsi="Calibri" w:eastAsia="Calibri"/>
          <w:color w:val="182430"/>
        </w:rPr>
        <w:t xml:space="preserve"> convergence limitée, non anticipation pleine. Garve explique comment une représentation nouvelle devient recevable à partir de matériaux antérieurs. L’Adjacent Possible, au sens fort, ajoute qu’une transformation peut faire apparaître des fonctions et des relations qui n’étaient pas seulement inconnues, mais impossibles à décrire auparavant. La note doit faire ressortir cette différence.</w:t>
      </w:r>
    </w:p>
    <w:p>
      <w:pPr>
        <w:pStyle w:val="Heading2"/>
      </w:pPr>
      <w:r>
        <w:rPr>
          <w:rFonts w:ascii="Calibri" w:hAnsi="Calibri" w:eastAsia="Calibri"/>
          <w:color w:val="182430"/>
        </w:rPr>
        <w:t>F. Difficulté, Flow et presque-apprenable</w:t>
      </w:r>
    </w:p>
    <w:p>
      <w:pPr/>
      <w:r>
        <w:rPr>
          <w:rFonts w:ascii="Calibri" w:hAnsi="Calibri" w:eastAsia="Calibri"/>
          <w:b/>
          <w:color w:val="182430"/>
        </w:rPr>
        <w:t>Passages de Garve :</w:t>
      </w:r>
      <w:r>
        <w:rPr>
          <w:rFonts w:ascii="Calibri" w:hAnsi="Calibri" w:eastAsia="Calibri"/>
          <w:color w:val="182430"/>
        </w:rPr>
        <w:t xml:space="preserve"> p. 266-274 ; p. 313-317 ; passages sur l’intrigue et la résolution des difficultés.</w:t>
      </w:r>
    </w:p>
    <w:p>
      <w:pPr/>
      <w:r>
        <w:rPr>
          <w:rFonts w:ascii="Calibri" w:hAnsi="Calibri" w:eastAsia="Calibri"/>
          <w:color w:val="182430"/>
        </w:rPr>
        <w:t>Garve lie l’intérêt à une difficulté déjà éprouvée, à une part d’obscurité et à une activité qui diminue lorsque l’issue devient certaine. Le modèle du Flow fournit une géométrie moderne du rapport entre difficulté et compétences : ennui lorsque la tâche est trop facile, engagement lorsque la difficulté demeure praticable, anxiété ou abandon lorsqu’elle devient opaque.</w:t>
      </w:r>
    </w:p>
    <w:p>
      <w:pPr/>
      <w:r>
        <w:rPr>
          <w:rFonts w:ascii="Calibri" w:hAnsi="Calibri" w:eastAsia="Calibri"/>
          <w:b/>
          <w:color w:val="182430"/>
        </w:rPr>
        <w:t>Rapport proposé :</w:t>
      </w:r>
      <w:r>
        <w:rPr>
          <w:rFonts w:ascii="Calibri" w:hAnsi="Calibri" w:eastAsia="Calibri"/>
          <w:color w:val="182430"/>
        </w:rPr>
        <w:t xml:space="preserve"> convergence et contraste. Le Flow éclaire un régime de maintien de l’intérêt, mais ne le définit pas. Une énigme irritante, une œuvre résistante ou une pensée inquiétante peuvent être intéressantes sans produire l’absorption fluide caractéristique de l’état de flow.</w:t>
      </w:r>
    </w:p>
    <w:p>
      <w:pPr>
        <w:pStyle w:val="Heading2"/>
      </w:pPr>
      <w:r>
        <w:rPr>
          <w:rFonts w:ascii="Calibri" w:hAnsi="Calibri" w:eastAsia="Calibri"/>
          <w:color w:val="182430"/>
        </w:rPr>
        <w:t>G. Progrès d’apprentissage, compression et extinction de l’intérêt</w:t>
      </w:r>
    </w:p>
    <w:p>
      <w:pPr/>
      <w:r>
        <w:rPr>
          <w:rFonts w:ascii="Calibri" w:hAnsi="Calibri" w:eastAsia="Calibri"/>
          <w:b/>
          <w:color w:val="182430"/>
        </w:rPr>
        <w:t>Passages de Garve :</w:t>
      </w:r>
      <w:r>
        <w:rPr>
          <w:rFonts w:ascii="Calibri" w:hAnsi="Calibri" w:eastAsia="Calibri"/>
          <w:color w:val="182430"/>
        </w:rPr>
        <w:t xml:space="preserve"> p. 313-317 et, plus largement, les passages où la certitude ou la répétition diminuent l’activité.</w:t>
      </w:r>
    </w:p>
    <w:p>
      <w:pPr/>
      <w:r>
        <w:rPr>
          <w:rFonts w:ascii="Calibri" w:hAnsi="Calibri" w:eastAsia="Calibri"/>
          <w:color w:val="182430"/>
        </w:rPr>
        <w:t>Les théories de la motivation intrinsèque par le progrès d’apprentissage ou le progrès de compression expliquent pourquoi un phénomène peut devenir intéressant pendant que le sujet améliore son modèle, puis cesser de l’être lorsque la régularité est acquise.</w:t>
      </w:r>
    </w:p>
    <w:p>
      <w:pPr/>
      <w:r>
        <w:rPr>
          <w:rFonts w:ascii="Calibri" w:hAnsi="Calibri" w:eastAsia="Calibri"/>
          <w:b/>
          <w:color w:val="182430"/>
        </w:rPr>
        <w:t>Rapport proposé :</w:t>
      </w:r>
      <w:r>
        <w:rPr>
          <w:rFonts w:ascii="Calibri" w:hAnsi="Calibri" w:eastAsia="Calibri"/>
          <w:color w:val="182430"/>
        </w:rPr>
        <w:t xml:space="preserve"> convergence et extension. Garve décrit l’affaiblissement produit par la certitude ; les modèles modernes permettent de suivre un gradient temporel de progrès. Ils ne suffisent toutefois pas à expliquer la contemplation, la fascination sans progrès ou les formes dont la compréhension renouvelle les questions au lieu de les épuiser.</w:t>
      </w:r>
    </w:p>
    <w:p>
      <w:pPr>
        <w:pStyle w:val="Heading2"/>
      </w:pPr>
      <w:r>
        <w:rPr>
          <w:rFonts w:ascii="Calibri" w:hAnsi="Calibri" w:eastAsia="Calibri"/>
          <w:color w:val="182430"/>
        </w:rPr>
        <w:t>H. Particulier, incarnation et généralité</w:t>
      </w:r>
    </w:p>
    <w:p>
      <w:pPr/>
      <w:r>
        <w:rPr>
          <w:rFonts w:ascii="Calibri" w:hAnsi="Calibri" w:eastAsia="Calibri"/>
          <w:b/>
          <w:color w:val="182430"/>
        </w:rPr>
        <w:t>Passages de Garve :</w:t>
      </w:r>
      <w:r>
        <w:rPr>
          <w:rFonts w:ascii="Calibri" w:hAnsi="Calibri" w:eastAsia="Calibri"/>
          <w:color w:val="182430"/>
        </w:rPr>
        <w:t xml:space="preserve"> autour de p. 303-304.</w:t>
      </w:r>
    </w:p>
    <w:p>
      <w:pPr/>
      <w:r>
        <w:rPr>
          <w:rFonts w:ascii="Calibri" w:hAnsi="Calibri" w:eastAsia="Calibri"/>
          <w:color w:val="182430"/>
        </w:rPr>
        <w:t>Garve affirme que l’individuel et le particulier sont, toutes choses égales par ailleurs, plus intéressants que le général, parce qu’ils donnent à voir et réactivent des concepts qui resteraient abstraits ou inertes.</w:t>
      </w:r>
    </w:p>
    <w:p>
      <w:pPr/>
      <w:r>
        <w:rPr>
          <w:rFonts w:ascii="Calibri" w:hAnsi="Calibri" w:eastAsia="Calibri"/>
          <w:b/>
          <w:color w:val="182430"/>
        </w:rPr>
        <w:t>Rapport proposé :</w:t>
      </w:r>
      <w:r>
        <w:rPr>
          <w:rFonts w:ascii="Calibri" w:hAnsi="Calibri" w:eastAsia="Calibri"/>
          <w:color w:val="182430"/>
        </w:rPr>
        <w:t xml:space="preserve"> convergence. Ce passage peut être mis en relation avec les travaux sur les exemples, la cognition incarnée, la simulation et le rôle épistémique des cas singuliers, en évitant de réduire la thèse de Garve à un simple « effet de concrétude ».</w:t>
      </w:r>
    </w:p>
    <w:p>
      <w:pPr>
        <w:pStyle w:val="Heading2"/>
      </w:pPr>
      <w:r>
        <w:rPr>
          <w:rFonts w:ascii="Calibri" w:hAnsi="Calibri" w:eastAsia="Calibri"/>
          <w:color w:val="182430"/>
        </w:rPr>
        <w:t>I. Sympathie, approbation morale et cognition sociale</w:t>
      </w:r>
    </w:p>
    <w:p>
      <w:pPr/>
      <w:r>
        <w:rPr>
          <w:rFonts w:ascii="Calibri" w:hAnsi="Calibri" w:eastAsia="Calibri"/>
          <w:b/>
          <w:color w:val="182430"/>
        </w:rPr>
        <w:t>Passages de Garve :</w:t>
      </w:r>
      <w:r>
        <w:rPr>
          <w:rFonts w:ascii="Calibri" w:hAnsi="Calibri" w:eastAsia="Calibri"/>
          <w:color w:val="182430"/>
        </w:rPr>
        <w:t xml:space="preserve"> p. 321 et 329-331 ; p. 411-412.</w:t>
      </w:r>
    </w:p>
    <w:p>
      <w:pPr/>
      <w:r>
        <w:rPr>
          <w:rFonts w:ascii="Calibri" w:hAnsi="Calibri" w:eastAsia="Calibri"/>
          <w:color w:val="182430"/>
        </w:rPr>
        <w:t>Garve distingue plusieurs formes de sympathie et montre que l’amour, l’estime et l’approbation d’une passion modulent la participation du lecteur. L’intéressant n’est donc pas indépendant des normes, des caractères et des appartenances historiques.</w:t>
      </w:r>
    </w:p>
    <w:p>
      <w:pPr/>
      <w:r>
        <w:rPr>
          <w:rFonts w:ascii="Calibri" w:hAnsi="Calibri" w:eastAsia="Calibri"/>
          <w:b/>
          <w:color w:val="182430"/>
        </w:rPr>
        <w:t>Rapport proposé :</w:t>
      </w:r>
      <w:r>
        <w:rPr>
          <w:rFonts w:ascii="Calibri" w:hAnsi="Calibri" w:eastAsia="Calibri"/>
          <w:color w:val="182430"/>
        </w:rPr>
        <w:t xml:space="preserve"> convergence et historicisation. Les théories contemporaines de l’empathie, de la cognition sociale et de l’identification narrative peuvent éclairer ces mécanismes. Elles ne doivent pas effacer l’observation de Garve selon laquelle les passions approuvées varient avec les mœurs et les époques.</w:t>
      </w:r>
    </w:p>
    <w:p>
      <w:pPr>
        <w:pStyle w:val="Heading2"/>
      </w:pPr>
      <w:r>
        <w:rPr>
          <w:rFonts w:ascii="Calibri" w:hAnsi="Calibri" w:eastAsia="Calibri"/>
          <w:color w:val="182430"/>
        </w:rPr>
        <w:t>J. Nature de l’intéressant, valeur et captation de l’attention</w:t>
      </w:r>
    </w:p>
    <w:p>
      <w:pPr/>
      <w:r>
        <w:rPr>
          <w:rFonts w:ascii="Calibri" w:hAnsi="Calibri" w:eastAsia="Calibri"/>
          <w:b/>
          <w:color w:val="182430"/>
        </w:rPr>
        <w:t>Passages de Garve :</w:t>
      </w:r>
      <w:r>
        <w:rPr>
          <w:rFonts w:ascii="Calibri" w:hAnsi="Calibri" w:eastAsia="Calibri"/>
          <w:color w:val="182430"/>
        </w:rPr>
        <w:t xml:space="preserve"> p. 379-383 et 427-428.</w:t>
      </w:r>
    </w:p>
    <w:p>
      <w:pPr/>
      <w:r>
        <w:rPr>
          <w:rFonts w:ascii="Calibri" w:hAnsi="Calibri" w:eastAsia="Calibri"/>
          <w:color w:val="182430"/>
        </w:rPr>
        <w:t>Dans l’annexe de 1779, Garve distingue explicitement l’étude de la nature de l’intéressant de la question des passions qu’il serait utile de susciter. Cette séparation permet une mise en perspective contemporaine avec la pédagogie, les systèmes de recommandation et l’économie de l’attention : savoir produire de l’engagement ne dit pas encore si cet engagement est fécond, trompeur ou souhaitable.</w:t>
      </w:r>
    </w:p>
    <w:p>
      <w:pPr/>
      <w:r>
        <w:rPr>
          <w:rFonts w:ascii="Calibri" w:hAnsi="Calibri" w:eastAsia="Calibri"/>
          <w:b/>
          <w:color w:val="182430"/>
        </w:rPr>
        <w:t>Rapport proposé :</w:t>
      </w:r>
      <w:r>
        <w:rPr>
          <w:rFonts w:ascii="Calibri" w:hAnsi="Calibri" w:eastAsia="Calibri"/>
          <w:color w:val="182430"/>
        </w:rPr>
        <w:t xml:space="preserve"> anticipation méthodologique et extension normative. La thèse contemporaine peut distinguer la genèse de l’intérêt, sa productivité pour le sujet et sa valeur morale ou politique.</w:t>
      </w:r>
    </w:p>
    <w:p>
      <w:pPr>
        <w:pStyle w:val="Heading1"/>
      </w:pPr>
      <w:r>
        <w:rPr>
          <w:rFonts w:ascii="Calibri" w:hAnsi="Calibri" w:eastAsia="Calibri"/>
          <w:color w:val="182430"/>
        </w:rPr>
        <w:t>6. Exemples de notes contemporaines</w:t>
      </w:r>
    </w:p>
    <w:p>
      <w:pPr/>
      <w:r>
        <w:rPr>
          <w:rFonts w:ascii="Calibri" w:hAnsi="Calibri" w:eastAsia="Calibri"/>
          <w:color w:val="182430"/>
        </w:rPr>
        <w:t>Les formulations suivantes sont des prototypes ; elles seraient resserrées et documentées dans l’édition.</w:t>
      </w:r>
    </w:p>
    <w:p>
      <w:pPr>
        <w:pStyle w:val="Heading2"/>
      </w:pPr>
      <w:r>
        <w:rPr>
          <w:rFonts w:ascii="Calibri" w:hAnsi="Calibri" w:eastAsia="Calibri"/>
          <w:color w:val="182430"/>
        </w:rPr>
        <w:t>Exemple 1 — Garve, p. 255-259 : l’attention en avance sur le présent</w:t>
      </w:r>
    </w:p>
    <w:p>
      <w:pPr/>
      <w:r>
        <w:rPr>
          <w:rFonts w:ascii="Calibri" w:hAnsi="Calibri" w:eastAsia="Calibri"/>
          <w:color w:val="182430"/>
        </w:rPr>
        <w:t>Garve ne définit pas ici l’intérêt par l’intensité de l’attention, mais par son orientation temporelle : le lecteur désire la suite pour elle-même. Cette idée annonce une distinction utile entre surprise et intérêt. La surprise peut être instantanée et sans continuation ; l’intéressant organise une attente et donne une direction à l’attention. Les théories modernes du suspense et de la prédiction décrivent certains mécanismes de cette attente, sans épuiser la question de savoir pourquoi la suite importe au sujet.</w:t>
      </w:r>
    </w:p>
    <w:p>
      <w:pPr>
        <w:pStyle w:val="Heading2"/>
      </w:pPr>
      <w:r>
        <w:rPr>
          <w:rFonts w:ascii="Calibri" w:hAnsi="Calibri" w:eastAsia="Calibri"/>
          <w:color w:val="182430"/>
        </w:rPr>
        <w:t>Exemple 2 — Garve, p. 266-269 : une difficulté doit avoir été éprouvée</w:t>
      </w:r>
    </w:p>
    <w:p>
      <w:pPr/>
      <w:r>
        <w:rPr>
          <w:rFonts w:ascii="Calibri" w:hAnsi="Calibri" w:eastAsia="Calibri"/>
          <w:color w:val="182430"/>
        </w:rPr>
        <w:t>Le passage est proche des théories contemporaines de la curiosité fondées sur une lacune d’information : le manque n’agit que s’il est en quelque manière perçu. Garve ajoute toutefois une antériorité pratique. Le sujet peut avoir rencontré une résistance ou avoir été arrêté dans une activité avant de pouvoir formuler la question correspondante. L’intérêt peut ainsi précéder la curiosité explicite et contribuer à faire apparaître la question.</w:t>
      </w:r>
    </w:p>
    <w:p>
      <w:pPr>
        <w:pStyle w:val="Heading2"/>
      </w:pPr>
      <w:r>
        <w:rPr>
          <w:rFonts w:ascii="Calibri" w:hAnsi="Calibri" w:eastAsia="Calibri"/>
          <w:color w:val="182430"/>
        </w:rPr>
        <w:t>Exemple 3 — Garve, p. 269-274 : traces anciennes et Adjacent Possible</w:t>
      </w:r>
    </w:p>
    <w:p>
      <w:pPr/>
      <w:r>
        <w:rPr>
          <w:rFonts w:ascii="Calibri" w:hAnsi="Calibri" w:eastAsia="Calibri"/>
          <w:color w:val="182430"/>
        </w:rPr>
        <w:t>La métaphore des matériaux et des semences suggère une nouveauté dépendante du chemin parcouru : ce qui peut intéresser et être construit dépend de l’état antérieur du sujet. Le rapprochement avec l’Adjacent Possible doit rester limité. Chez Garve, la nouveauté s’insère dans des séries et des matériaux déjà disponibles ; dans la version forte de l’Adjacent Possible, l’action transforme aussi l’espace des possibilités descriptibles et fait apparaître de nouvelles fonctions.</w:t>
      </w:r>
    </w:p>
    <w:p>
      <w:pPr>
        <w:pStyle w:val="Heading2"/>
      </w:pPr>
      <w:r>
        <w:rPr>
          <w:rFonts w:ascii="Calibri" w:hAnsi="Calibri" w:eastAsia="Calibri"/>
          <w:color w:val="182430"/>
        </w:rPr>
        <w:t>Exemple 4 — Garve, p. 313-317 : obscurité, certitude et Flow</w:t>
      </w:r>
    </w:p>
    <w:p>
      <w:pPr/>
      <w:r>
        <w:rPr>
          <w:rFonts w:ascii="Calibri" w:hAnsi="Calibri" w:eastAsia="Calibri"/>
          <w:color w:val="182430"/>
        </w:rPr>
        <w:t>La diminution de l’activité lorsque l’issue devient certaine correspond à la dérive vers l’ennui dans le modèle du Flow : une tâche maîtrisée ne sollicite plus suffisamment les compétences. Mais l’intéressant ne se confond pas avec le Flow. Des interruptions, hésitations ou résistances peuvent soutenir l’intérêt tant que le sujet conserve une prise et qu’une réorganisation demeure crédible.</w:t>
      </w:r>
    </w:p>
    <w:p>
      <w:pPr>
        <w:pStyle w:val="Heading2"/>
      </w:pPr>
      <w:r>
        <w:rPr>
          <w:rFonts w:ascii="Calibri" w:hAnsi="Calibri" w:eastAsia="Calibri"/>
          <w:color w:val="182430"/>
        </w:rPr>
        <w:t>Exemple 5 — Garve, p. 379-380 : nature et usage de l’intéressant</w:t>
      </w:r>
    </w:p>
    <w:p>
      <w:pPr/>
      <w:r>
        <w:rPr>
          <w:rFonts w:ascii="Calibri" w:hAnsi="Calibri" w:eastAsia="Calibri"/>
          <w:color w:val="182430"/>
        </w:rPr>
        <w:t>Garve écarte de l’étude de la nature de l’intéressant la question de savoir quelles passions il serait utile de susciter. Cette distinction est particulièrement actuelle. Les techniques capables de maximiser l’attention ou l’engagement ne fournissent par elles-mêmes aucun critère de valeur. Il faut distinguer le déclenchement d’une activité, la construction qu’elle rend possible et le jugement porté sur ses effets.</w:t>
      </w:r>
    </w:p>
    <w:p>
      <w:pPr>
        <w:pStyle w:val="Heading1"/>
      </w:pPr>
      <w:r>
        <w:rPr>
          <w:rFonts w:ascii="Calibri" w:hAnsi="Calibri" w:eastAsia="Calibri"/>
          <w:color w:val="182430"/>
        </w:rPr>
        <w:t>7. Publics et apport de l’ouvrage</w:t>
      </w:r>
    </w:p>
    <w:p>
      <w:pPr/>
      <w:r>
        <w:rPr>
          <w:rFonts w:ascii="Calibri" w:hAnsi="Calibri" w:eastAsia="Calibri"/>
          <w:color w:val="182430"/>
        </w:rPr>
        <w:t>Le livre s’adresserait à plusieurs lectorats :</w:t>
      </w:r>
    </w:p>
    <w:p>
      <w:pPr>
        <w:numPr>
          <w:ilvl w:val="0"/>
          <w:numId w:val="10"/>
        </w:numPr>
        <w:spacing w:after="80" w:line="290" w:lineRule="auto"/>
        <w:jc w:val="left"/>
      </w:pPr>
      <w:r>
        <w:rPr>
          <w:rFonts w:ascii="Calibri" w:hAnsi="Calibri" w:eastAsia="Calibri"/>
          <w:color w:val="182430"/>
        </w:rPr>
        <w:t>philosophes travaillant sur l’esthétique, l’anthropologie, l’attention, la connaissance et les Lumières allemandes ;</w:t>
      </w:r>
    </w:p>
    <w:p>
      <w:pPr>
        <w:numPr>
          <w:ilvl w:val="0"/>
          <w:numId w:val="10"/>
        </w:numPr>
        <w:spacing w:after="80" w:line="290" w:lineRule="auto"/>
        <w:jc w:val="left"/>
      </w:pPr>
      <w:r>
        <w:rPr>
          <w:rFonts w:ascii="Calibri" w:hAnsi="Calibri" w:eastAsia="Calibri"/>
          <w:color w:val="182430"/>
        </w:rPr>
        <w:t>chercheurs en sciences cognitives, psychologie, intelligence artificielle et sciences de l’éducation ;</w:t>
      </w:r>
    </w:p>
    <w:p>
      <w:pPr>
        <w:numPr>
          <w:ilvl w:val="0"/>
          <w:numId w:val="10"/>
        </w:numPr>
        <w:spacing w:after="80" w:line="290" w:lineRule="auto"/>
        <w:jc w:val="left"/>
      </w:pPr>
      <w:r>
        <w:rPr>
          <w:rFonts w:ascii="Calibri" w:hAnsi="Calibri" w:eastAsia="Calibri"/>
          <w:color w:val="182430"/>
        </w:rPr>
        <w:t>chercheurs en littérature, narratologie et études de la réception ;</w:t>
      </w:r>
    </w:p>
    <w:p>
      <w:pPr>
        <w:numPr>
          <w:ilvl w:val="0"/>
          <w:numId w:val="10"/>
        </w:numPr>
        <w:spacing w:after="80" w:line="290" w:lineRule="auto"/>
        <w:jc w:val="left"/>
      </w:pPr>
      <w:r>
        <w:rPr>
          <w:rFonts w:ascii="Calibri" w:hAnsi="Calibri" w:eastAsia="Calibri"/>
          <w:color w:val="182430"/>
        </w:rPr>
        <w:t>lecteurs intéressés par l’histoire des concepts ordinaires et par la philosophie de la créativité.</w:t>
      </w:r>
    </w:p>
    <w:p>
      <w:pPr/>
      <w:r>
        <w:rPr>
          <w:rFonts w:ascii="Calibri" w:hAnsi="Calibri" w:eastAsia="Calibri"/>
          <w:color w:val="182430"/>
        </w:rPr>
        <w:t>Son apport serait triple : rendre disponible une source philosophique non traduite ; reconstruire l’unité de son problème ; ouvrir une discussion contrôlée entre un texte du XVIIIe siècle et des recherches contemporaines qui en ont redistribué les composantes.</w:t>
      </w:r>
    </w:p>
    <w:p>
      <w:pPr>
        <w:pStyle w:val="Heading1"/>
      </w:pPr>
      <w:r>
        <w:rPr>
          <w:rFonts w:ascii="Calibri" w:hAnsi="Calibri" w:eastAsia="Calibri"/>
          <w:color w:val="182430"/>
        </w:rPr>
        <w:t>8. Articulation avec la thèse en cours</w:t>
      </w:r>
    </w:p>
    <w:p>
      <w:pPr/>
      <w:r>
        <w:rPr>
          <w:rFonts w:ascii="Calibri" w:hAnsi="Calibri" w:eastAsia="Calibri"/>
          <w:color w:val="182430"/>
        </w:rPr>
        <w:t xml:space="preserve">La thèse, provisoirement intitulée </w:t>
      </w:r>
      <w:r>
        <w:rPr>
          <w:rFonts w:ascii="Calibri" w:hAnsi="Calibri" w:eastAsia="Calibri"/>
          <w:i/>
          <w:color w:val="182430"/>
        </w:rPr>
        <w:t>L’émergence de l’intéressant. Naissance des idées, compréhension et singularité des formes</w:t>
      </w:r>
      <w:r>
        <w:rPr>
          <w:rFonts w:ascii="Calibri" w:hAnsi="Calibri" w:eastAsia="Calibri"/>
          <w:color w:val="182430"/>
        </w:rPr>
        <w:t>, vise à constituer l’intéressant comme objet philosophique. Son hypothèse actuelle est qu’est intéressant ce qui, pour un sujet situé et relativement à un horizon donné, ouvre une exploration qui paraît valoir la peine et dans laquelle une prise nouvelle sur un objet, un problème ou un espace de possibilités peut devenir crédible.</w:t>
      </w:r>
    </w:p>
    <w:p>
      <w:pPr/>
      <w:r>
        <w:rPr>
          <w:rFonts w:ascii="Calibri" w:hAnsi="Calibri" w:eastAsia="Calibri"/>
          <w:color w:val="182430"/>
        </w:rPr>
        <w:t>Garve occupe dans ce travail une place déterminée : il fournit l’antécédent historique direct du rapport entre attention, lacune, matériaux antérieurs et activité de l’esprit. La thèse n’a donc pas pour ambition de lui attribuer ses propres extensions. Elle examine notamment ce que Garve ne systématise pas : les prises contrôlables produites par l’activité, la distinction entre énigmes qui s’épuisent et énigmes qui se relancent, la généralisation de la réception à la création, la récursivité et les simulacres sociaux de difficulté.</w:t>
      </w:r>
    </w:p>
    <w:p>
      <w:pPr/>
      <w:r>
        <w:rPr>
          <w:rFonts w:ascii="Calibri" w:hAnsi="Calibri" w:eastAsia="Calibri"/>
          <w:color w:val="182430"/>
        </w:rPr>
        <w:t>L’édition et la thèse seraient ainsi complémentaires sans être redondantes. L’introduction de l’édition restituerait Garve, son texte et sa postérité ; les annotations offriraient des points de comparaison circonscrits ; la thèse porterait la construction conceptuelle générale, les objections et les applications à la musique, à l’IA, à la créativité, à la philosophie et à la littérature.</w:t>
      </w:r>
    </w:p>
    <w:p>
      <w:pPr>
        <w:pStyle w:val="Heading1"/>
      </w:pPr>
      <w:r>
        <w:rPr>
          <w:rFonts w:ascii="Calibri" w:hAnsi="Calibri" w:eastAsia="Calibri"/>
          <w:color w:val="182430"/>
        </w:rPr>
        <w:t>9. Méthode, collaboration et calendrier indicatif</w:t>
      </w:r>
    </w:p>
    <w:p>
      <w:pPr/>
      <w:r>
        <w:rPr>
          <w:rFonts w:ascii="Calibri" w:hAnsi="Calibri" w:eastAsia="Calibri"/>
          <w:color w:val="182430"/>
        </w:rPr>
        <w:t>Le projet suppose une double compétence : connaissance du problème contemporain et maîtrise philologique de l’allemand philosophique du XVIIIe siècle. François Pachet assurerait la direction intellectuelle du projet, la première rédaction de l’introduction et des notes contemporaines, ainsi que la coordination de l’appareil critique. La traduction définitive et sa révision devraient être conduites avec un germaniste dont le rôle et la signature seraient établis dès l’acceptation du principe du projet.</w:t>
      </w:r>
    </w:p>
    <w:p>
      <w:pPr/>
      <w:r>
        <w:rPr>
          <w:rFonts w:ascii="Calibri" w:hAnsi="Calibri" w:eastAsia="Calibri"/>
          <w:color w:val="182430"/>
        </w:rPr>
        <w:t>Après accord sur l’orientation, un calendrier indicatif pourrait être :</w:t>
      </w:r>
    </w:p>
    <w:p>
      <w:pPr>
        <w:numPr>
          <w:ilvl w:val="0"/>
          <w:numId w:val="13"/>
        </w:numPr>
        <w:spacing w:after="80" w:line="290" w:lineRule="auto"/>
        <w:jc w:val="left"/>
      </w:pPr>
      <w:r>
        <w:rPr>
          <w:rFonts w:ascii="Calibri" w:hAnsi="Calibri" w:eastAsia="Calibri"/>
          <w:b/>
          <w:color w:val="182430"/>
        </w:rPr>
        <w:t>deux à trois mois</w:t>
      </w:r>
      <w:r>
        <w:rPr>
          <w:rFonts w:ascii="Calibri" w:hAnsi="Calibri" w:eastAsia="Calibri"/>
          <w:color w:val="182430"/>
        </w:rPr>
        <w:t xml:space="preserve"> : préparation d’un échantillon définitif de 15 à 20 pages, fixation du protocole de traduction et du modèle de notes ;</w:t>
      </w:r>
    </w:p>
    <w:p>
      <w:pPr>
        <w:numPr>
          <w:ilvl w:val="0"/>
          <w:numId w:val="13"/>
        </w:numPr>
        <w:spacing w:after="80" w:line="290" w:lineRule="auto"/>
        <w:jc w:val="left"/>
      </w:pPr>
      <w:r>
        <w:rPr>
          <w:rFonts w:ascii="Calibri" w:hAnsi="Calibri" w:eastAsia="Calibri"/>
          <w:b/>
          <w:color w:val="182430"/>
        </w:rPr>
        <w:t>six à neuf mois</w:t>
      </w:r>
      <w:r>
        <w:rPr>
          <w:rFonts w:ascii="Calibri" w:hAnsi="Calibri" w:eastAsia="Calibri"/>
          <w:color w:val="182430"/>
        </w:rPr>
        <w:t xml:space="preserve"> : retraduction et première révision de l’ensemble ;</w:t>
      </w:r>
    </w:p>
    <w:p>
      <w:pPr>
        <w:numPr>
          <w:ilvl w:val="0"/>
          <w:numId w:val="13"/>
        </w:numPr>
        <w:spacing w:after="80" w:line="290" w:lineRule="auto"/>
        <w:jc w:val="left"/>
      </w:pPr>
      <w:r>
        <w:rPr>
          <w:rFonts w:ascii="Calibri" w:hAnsi="Calibri" w:eastAsia="Calibri"/>
          <w:b/>
          <w:color w:val="182430"/>
        </w:rPr>
        <w:t>trois à quatre mois</w:t>
      </w:r>
      <w:r>
        <w:rPr>
          <w:rFonts w:ascii="Calibri" w:hAnsi="Calibri" w:eastAsia="Calibri"/>
          <w:color w:val="182430"/>
        </w:rPr>
        <w:t xml:space="preserve"> : introduction, annotations, glossaire et bibliographie ;</w:t>
      </w:r>
    </w:p>
    <w:p>
      <w:pPr>
        <w:numPr>
          <w:ilvl w:val="0"/>
          <w:numId w:val="13"/>
        </w:numPr>
        <w:spacing w:after="80" w:line="290" w:lineRule="auto"/>
        <w:jc w:val="left"/>
      </w:pPr>
      <w:r>
        <w:rPr>
          <w:rFonts w:ascii="Calibri" w:hAnsi="Calibri" w:eastAsia="Calibri"/>
          <w:b/>
          <w:color w:val="182430"/>
        </w:rPr>
        <w:t>deux à trois mois</w:t>
      </w:r>
      <w:r>
        <w:rPr>
          <w:rFonts w:ascii="Calibri" w:hAnsi="Calibri" w:eastAsia="Calibri"/>
          <w:color w:val="182430"/>
        </w:rPr>
        <w:t xml:space="preserve"> : relecture croisée, harmonisation et remise du manuscrit.</w:t>
      </w:r>
    </w:p>
    <w:p>
      <w:pPr/>
      <w:r>
        <w:rPr>
          <w:rFonts w:ascii="Calibri" w:hAnsi="Calibri" w:eastAsia="Calibri"/>
          <w:color w:val="182430"/>
        </w:rPr>
        <w:t>La durée totale serait donc de douze à dix-huit mois selon le mode de collaboration retenu et l’ampleur finale de l’annotation.</w:t>
      </w:r>
    </w:p>
    <w:p>
      <w:pPr>
        <w:pStyle w:val="Heading1"/>
      </w:pPr>
      <w:r>
        <w:rPr>
          <w:rFonts w:ascii="Calibri" w:hAnsi="Calibri" w:eastAsia="Calibri"/>
          <w:color w:val="182430"/>
        </w:rPr>
        <w:t>10. Présentation de François Pachet</w:t>
      </w:r>
    </w:p>
    <w:p>
      <w:pPr/>
      <w:r>
        <w:rPr>
          <w:rFonts w:ascii="Calibri" w:hAnsi="Calibri" w:eastAsia="Calibri"/>
          <w:color w:val="182430"/>
        </w:rPr>
        <w:t xml:space="preserve">François Pachet est chercheur HDR en intelligence artificielle. Ses travaux portent notamment sur la modélisation du style, la génération musicale sous contraintes, les systèmes interactifs de créativité et l’évaluation des productions génératives. Il a publié </w:t>
      </w:r>
      <w:r>
        <w:rPr>
          <w:rFonts w:ascii="Calibri" w:hAnsi="Calibri" w:eastAsia="Calibri"/>
          <w:i/>
          <w:color w:val="182430"/>
        </w:rPr>
        <w:t>Histoire d’une oreille</w:t>
      </w:r>
      <w:r>
        <w:rPr>
          <w:rFonts w:ascii="Calibri" w:hAnsi="Calibri" w:eastAsia="Calibri"/>
          <w:color w:val="182430"/>
        </w:rPr>
        <w:t xml:space="preserve"> chez Buchet-Chastel et prépare </w:t>
      </w:r>
      <w:r>
        <w:rPr>
          <w:rFonts w:ascii="Calibri" w:hAnsi="Calibri" w:eastAsia="Calibri"/>
          <w:i/>
          <w:color w:val="182430"/>
        </w:rPr>
        <w:t>De l’impossibilité de créer</w:t>
      </w:r>
      <w:r>
        <w:rPr>
          <w:rFonts w:ascii="Calibri" w:hAnsi="Calibri" w:eastAsia="Calibri"/>
          <w:color w:val="182430"/>
        </w:rPr>
        <w:t xml:space="preserve"> chez Matériologiques. Sa thèse de philosophie sur l’intéressant vise à mettre en dialogue l’histoire des concepts, les sciences cognitives, l’intelligence artificielle, la musique et l’expérience de la création.</w:t>
      </w:r>
    </w:p>
    <w:p>
      <w:pPr>
        <w:pStyle w:val="Heading1"/>
      </w:pPr>
      <w:r>
        <w:rPr>
          <w:rFonts w:ascii="Calibri" w:hAnsi="Calibri" w:eastAsia="Calibri"/>
          <w:color w:val="182430"/>
        </w:rPr>
        <w:t>Bibliographie de travail sélective</w:t>
      </w:r>
    </w:p>
    <w:p>
      <w:pPr>
        <w:numPr>
          <w:ilvl w:val="0"/>
          <w:numId w:val="10"/>
        </w:numPr>
        <w:spacing w:after="80" w:line="290" w:lineRule="auto"/>
        <w:jc w:val="left"/>
      </w:pPr>
      <w:r>
        <w:rPr>
          <w:rFonts w:ascii="Calibri" w:hAnsi="Calibri" w:eastAsia="Calibri"/>
          <w:color w:val="182430"/>
        </w:rPr>
        <w:t xml:space="preserve">Christian Garve, « Einige Gedanken über das Interessirende », dans </w:t>
      </w:r>
      <w:r>
        <w:rPr>
          <w:rFonts w:ascii="Calibri" w:hAnsi="Calibri" w:eastAsia="Calibri"/>
          <w:i/>
          <w:color w:val="182430"/>
        </w:rPr>
        <w:t>Sammlung einiger Abhandlungen aus der Neuen Bibliothek der schönen Wissenschaften und der freyen Künste</w:t>
      </w:r>
      <w:r>
        <w:rPr>
          <w:rFonts w:ascii="Calibri" w:hAnsi="Calibri" w:eastAsia="Calibri"/>
          <w:color w:val="182430"/>
        </w:rPr>
        <w:t>, Leipzig, 1779, p. 253-439.</w:t>
      </w:r>
    </w:p>
    <w:p>
      <w:pPr>
        <w:numPr>
          <w:ilvl w:val="0"/>
          <w:numId w:val="10"/>
        </w:numPr>
        <w:spacing w:after="80" w:line="290" w:lineRule="auto"/>
        <w:jc w:val="left"/>
      </w:pPr>
      <w:r>
        <w:rPr>
          <w:rFonts w:ascii="Calibri" w:hAnsi="Calibri" w:eastAsia="Calibri"/>
          <w:color w:val="182430"/>
        </w:rPr>
        <w:t>Doris Bachmann-Medick, « Anziehungskraft statt Selbstinteresse. Christian Garves nicht-subjektivistischer Begriff des Interessierenden », 2008.</w:t>
      </w:r>
    </w:p>
    <w:p>
      <w:pPr>
        <w:numPr>
          <w:ilvl w:val="0"/>
          <w:numId w:val="10"/>
        </w:numPr>
        <w:spacing w:after="80" w:line="290" w:lineRule="auto"/>
        <w:jc w:val="left"/>
      </w:pPr>
      <w:r>
        <w:rPr>
          <w:rFonts w:ascii="Calibri" w:hAnsi="Calibri" w:eastAsia="Calibri"/>
          <w:color w:val="182430"/>
        </w:rPr>
        <w:t>Tom Holert, « I Was Interested In…: Interest and Intuition in Art Discourse », 2008.</w:t>
      </w:r>
    </w:p>
    <w:p>
      <w:pPr>
        <w:numPr>
          <w:ilvl w:val="0"/>
          <w:numId w:val="10"/>
        </w:numPr>
        <w:spacing w:after="80" w:line="290" w:lineRule="auto"/>
        <w:jc w:val="left"/>
      </w:pPr>
      <w:r>
        <w:rPr>
          <w:rFonts w:ascii="Calibri" w:hAnsi="Calibri" w:eastAsia="Calibri"/>
          <w:color w:val="182430"/>
        </w:rPr>
        <w:t xml:space="preserve">Alessandro Nannini, </w:t>
      </w:r>
      <w:r>
        <w:rPr>
          <w:rFonts w:ascii="Calibri" w:hAnsi="Calibri" w:eastAsia="Calibri"/>
          <w:i/>
          <w:color w:val="182430"/>
        </w:rPr>
        <w:t>Christian Garve e l’estetica dell’interessante</w:t>
      </w:r>
      <w:r>
        <w:rPr>
          <w:rFonts w:ascii="Calibri" w:hAnsi="Calibri" w:eastAsia="Calibri"/>
          <w:color w:val="182430"/>
        </w:rPr>
        <w:t xml:space="preserve">, </w:t>
      </w:r>
      <w:r>
        <w:rPr>
          <w:rFonts w:ascii="Calibri" w:hAnsi="Calibri" w:eastAsia="Calibri"/>
          <w:i/>
          <w:color w:val="182430"/>
        </w:rPr>
        <w:t>Aesthetica Preprint</w:t>
      </w:r>
      <w:r>
        <w:rPr>
          <w:rFonts w:ascii="Calibri" w:hAnsi="Calibri" w:eastAsia="Calibri"/>
          <w:color w:val="182430"/>
        </w:rPr>
        <w:t>, no 108, 2018.</w:t>
      </w:r>
    </w:p>
    <w:p>
      <w:pPr>
        <w:numPr>
          <w:ilvl w:val="0"/>
          <w:numId w:val="10"/>
        </w:numPr>
        <w:spacing w:after="80" w:line="290" w:lineRule="auto"/>
        <w:jc w:val="left"/>
      </w:pPr>
      <w:r>
        <w:rPr>
          <w:rFonts w:ascii="Calibri" w:hAnsi="Calibri" w:eastAsia="Calibri"/>
          <w:color w:val="182430"/>
        </w:rPr>
        <w:t xml:space="preserve">Alessandro Nannini, « Interesting », </w:t>
      </w:r>
      <w:r>
        <w:rPr>
          <w:rFonts w:ascii="Calibri" w:hAnsi="Calibri" w:eastAsia="Calibri"/>
          <w:i/>
          <w:color w:val="182430"/>
        </w:rPr>
        <w:t>Aesthetics of Religion: A Connective Concept</w:t>
      </w:r>
      <w:r>
        <w:rPr>
          <w:rFonts w:ascii="Calibri" w:hAnsi="Calibri" w:eastAsia="Calibri"/>
          <w:color w:val="182430"/>
        </w:rPr>
        <w:t>, 2018.</w:t>
      </w:r>
    </w:p>
    <w:p>
      <w:pPr>
        <w:numPr>
          <w:ilvl w:val="0"/>
          <w:numId w:val="10"/>
        </w:numPr>
        <w:spacing w:after="80" w:line="290" w:lineRule="auto"/>
        <w:jc w:val="left"/>
      </w:pPr>
      <w:r>
        <w:rPr>
          <w:rFonts w:ascii="Calibri" w:hAnsi="Calibri" w:eastAsia="Calibri"/>
          <w:color w:val="182430"/>
        </w:rPr>
        <w:t>Juliette Vazard, « The Value of Sustained Attention in Inquiry », 2026.</w:t>
      </w:r>
    </w:p>
    <w:p>
      <w:pPr>
        <w:numPr>
          <w:ilvl w:val="0"/>
          <w:numId w:val="10"/>
        </w:numPr>
        <w:spacing w:after="80" w:line="290" w:lineRule="auto"/>
        <w:jc w:val="left"/>
      </w:pPr>
      <w:r>
        <w:rPr>
          <w:rFonts w:ascii="Calibri" w:hAnsi="Calibri" w:eastAsia="Calibri"/>
          <w:color w:val="182430"/>
        </w:rPr>
        <w:t>Michael Kubovy, « On the Pleasures of the Mind », 1999.</w:t>
      </w:r>
    </w:p>
    <w:p>
      <w:pPr>
        <w:numPr>
          <w:ilvl w:val="0"/>
          <w:numId w:val="10"/>
        </w:numPr>
        <w:spacing w:after="80" w:line="290" w:lineRule="auto"/>
        <w:jc w:val="left"/>
      </w:pPr>
      <w:r>
        <w:rPr>
          <w:rFonts w:ascii="Calibri" w:hAnsi="Calibri" w:eastAsia="Calibri"/>
          <w:color w:val="182430"/>
        </w:rPr>
        <w:t>Jürgen Schmidhuber, travaux sur l’intéressant, la curiosité et le progrès de compression, 1997-2009.</w:t>
      </w:r>
    </w:p>
    <w:p>
      <w:pPr>
        <w:numPr>
          <w:ilvl w:val="0"/>
          <w:numId w:val="10"/>
        </w:numPr>
        <w:spacing w:after="80" w:line="290" w:lineRule="auto"/>
        <w:jc w:val="left"/>
      </w:pPr>
      <w:r>
        <w:rPr>
          <w:rFonts w:ascii="Calibri" w:hAnsi="Calibri" w:eastAsia="Calibri"/>
          <w:color w:val="182430"/>
        </w:rPr>
        <w:t>Pierre-Yves Oudeyer et Frédéric Kaplan, travaux sur la motivation intrinsèque et le progrès d’apprentissage, 2007.</w:t>
      </w:r>
    </w:p>
    <w:p>
      <w:pPr>
        <w:numPr>
          <w:ilvl w:val="0"/>
          <w:numId w:val="10"/>
        </w:numPr>
        <w:spacing w:after="80" w:line="290" w:lineRule="auto"/>
        <w:jc w:val="left"/>
      </w:pPr>
      <w:r>
        <w:rPr>
          <w:rFonts w:ascii="Calibri" w:hAnsi="Calibri" w:eastAsia="Calibri"/>
          <w:color w:val="182430"/>
        </w:rPr>
        <w:t>Stuart Kauffman, travaux sur l’Adjacent Possible.</w:t>
      </w:r>
    </w:p>
    <w:p>
      <w:pPr>
        <w:numPr>
          <w:ilvl w:val="0"/>
          <w:numId w:val="10"/>
        </w:numPr>
        <w:spacing w:after="80" w:line="290" w:lineRule="auto"/>
        <w:jc w:val="left"/>
      </w:pPr>
      <w:r>
        <w:rPr>
          <w:rFonts w:ascii="Calibri" w:hAnsi="Calibri" w:eastAsia="Calibri"/>
          <w:color w:val="182430"/>
        </w:rPr>
        <w:t>Stephen Grimm, « What Is Interesting? », 2011.</w:t>
      </w:r>
    </w:p>
    <w:p>
      <w:pPr>
        <w:numPr>
          <w:ilvl w:val="0"/>
          <w:numId w:val="10"/>
        </w:numPr>
        <w:spacing w:after="80" w:line="290" w:lineRule="auto"/>
        <w:jc w:val="left"/>
      </w:pPr>
      <w:r>
        <w:rPr>
          <w:rFonts w:ascii="Calibri" w:hAnsi="Calibri" w:eastAsia="Calibri"/>
          <w:color w:val="182430"/>
        </w:rPr>
        <w:t>Mikhail Epstein, « The Interesting », 2009.</w:t>
      </w:r>
    </w:p>
    <w:p>
      <w:pPr>
        <w:numPr>
          <w:ilvl w:val="0"/>
          <w:numId w:val="10"/>
        </w:numPr>
        <w:spacing w:after="80" w:line="290" w:lineRule="auto"/>
        <w:jc w:val="left"/>
      </w:pPr>
      <w:r>
        <w:rPr>
          <w:rFonts w:ascii="Calibri" w:hAnsi="Calibri" w:eastAsia="Calibri"/>
          <w:color w:val="182430"/>
        </w:rPr>
        <w:t>Sianne Ngai, « Merely Interesting », 2008.</w:t>
      </w:r>
    </w:p>
    <w:p>
      <w:pPr>
        <w:pStyle w:val="Heading1"/>
      </w:pPr>
      <w:r>
        <w:rPr>
          <w:rFonts w:ascii="Calibri" w:hAnsi="Calibri" w:eastAsia="Calibri"/>
          <w:color w:val="182430"/>
        </w:rPr>
        <w:t>Documents qui pourraient accompagner l’envoi</w:t>
      </w:r>
    </w:p>
    <w:p>
      <w:pPr>
        <w:numPr>
          <w:ilvl w:val="0"/>
          <w:numId w:val="14"/>
        </w:numPr>
        <w:spacing w:after="80" w:line="290" w:lineRule="auto"/>
        <w:jc w:val="left"/>
      </w:pPr>
      <w:r>
        <w:rPr>
          <w:rFonts w:ascii="Calibri" w:hAnsi="Calibri" w:eastAsia="Calibri"/>
          <w:color w:val="182430"/>
        </w:rPr>
        <w:t>le présent dossier ;</w:t>
      </w:r>
    </w:p>
    <w:p>
      <w:pPr>
        <w:numPr>
          <w:ilvl w:val="0"/>
          <w:numId w:val="14"/>
        </w:numPr>
        <w:spacing w:after="80" w:line="290" w:lineRule="auto"/>
        <w:jc w:val="left"/>
      </w:pPr>
      <w:r>
        <w:rPr>
          <w:rFonts w:ascii="Calibri" w:hAnsi="Calibri" w:eastAsia="Calibri"/>
          <w:color w:val="182430"/>
        </w:rPr>
        <w:t>un extrait de 15 à 20 pages comprenant le texte allemand, une traduction retravaillée et les trois niveaux de notes ;</w:t>
      </w:r>
    </w:p>
    <w:p>
      <w:pPr>
        <w:numPr>
          <w:ilvl w:val="0"/>
          <w:numId w:val="14"/>
        </w:numPr>
        <w:spacing w:after="80" w:line="290" w:lineRule="auto"/>
        <w:jc w:val="left"/>
      </w:pPr>
      <w:r>
        <w:rPr>
          <w:rFonts w:ascii="Calibri" w:hAnsi="Calibri" w:eastAsia="Calibri"/>
          <w:color w:val="182430"/>
        </w:rPr>
        <w:t>une table détaillée des matières de l’essai ;</w:t>
      </w:r>
    </w:p>
    <w:p>
      <w:pPr>
        <w:numPr>
          <w:ilvl w:val="0"/>
          <w:numId w:val="14"/>
        </w:numPr>
        <w:spacing w:after="80" w:line="290" w:lineRule="auto"/>
        <w:jc w:val="left"/>
      </w:pPr>
      <w:r>
        <w:rPr>
          <w:rFonts w:ascii="Calibri" w:hAnsi="Calibri" w:eastAsia="Calibri"/>
          <w:color w:val="182430"/>
        </w:rPr>
        <w:t>un curriculum vitae court ;</w:t>
      </w:r>
    </w:p>
    <w:p>
      <w:pPr>
        <w:numPr>
          <w:ilvl w:val="0"/>
          <w:numId w:val="14"/>
        </w:numPr>
        <w:spacing w:after="80" w:line="290" w:lineRule="auto"/>
        <w:jc w:val="left"/>
      </w:pPr>
      <w:r>
        <w:rPr>
          <w:rFonts w:ascii="Calibri" w:hAnsi="Calibri" w:eastAsia="Calibri"/>
          <w:color w:val="182430"/>
        </w:rPr>
        <w:t>une bibliographie développée.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line="240" w:lineRule="auto"/>
      <w:jc w:val="right"/>
    </w:pPr>
    <w:r>
      <w:rPr>
        <w:rFonts w:ascii="Calibri" w:hAnsi="Calibri" w:eastAsia="Calibri"/>
        <w:color w:val="5C656E"/>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60" w:line="240" w:lineRule="auto"/>
      <w:jc w:val="left"/>
      <w:pBdr>
        <w:bottom w:val="single" w:sz="8" w:space="8" w:color="D9E2EC"/>
      </w:pBdr>
    </w:pPr>
    <w:r>
      <w:rPr>
        <w:rFonts w:ascii="Calibri" w:hAnsi="Calibri" w:eastAsia="Calibri"/>
        <w:b/>
        <w:color w:val="5C656E"/>
        <w:sz w:val="17"/>
      </w:rPr>
      <w:t>PROJET D’ÉDITION  |  CHRISTIAN GARVE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8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before="0" w:after="240" w:line="300" w:lineRule="auto"/>
      <w:jc w:val="left"/>
    </w:pPr>
    <w:rPr>
      <w:rFonts w:ascii="Calibri" w:hAnsi="Calibri"/>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Christian Garve — Projet de traduction française annotée</dc:title>
  <dc:subject>Dossier éditorial</dc:subject>
  <dc:creator>François Pachet</dc:creator>
  <cp:keywords>Christian Garve, intéressant, traduction, philosophie, annotation</cp:keywords>
  <dc:description>Dossier de travail préparé le 26 août 2026</dc:description>
  <cp:lastModifiedBy/>
  <cp:revision>1</cp:revision>
  <dcterms:created xsi:type="dcterms:W3CDTF">2013-12-23T23:15:00Z</dcterms:created>
  <dcterms:modified xsi:type="dcterms:W3CDTF">2013-12-23T23:15:00Z</dcterms:modified>
  <cp:category/>
</cp:coreProperties>
</file>