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542EE" w14:textId="77777777" w:rsidR="00437FB2" w:rsidRDefault="00437FB2" w:rsidP="00437FB2">
      <w:pPr>
        <w:spacing w:after="0" w:line="600" w:lineRule="auto"/>
        <w:jc w:val="center"/>
        <w:rPr>
          <w:rFonts w:ascii="Times New Roman" w:eastAsia="Times New Roman" w:hAnsi="Times New Roman" w:cs="Times New Roman"/>
          <w:b/>
          <w:bCs/>
          <w:color w:val="000000"/>
          <w:sz w:val="24"/>
          <w:szCs w:val="24"/>
          <w:lang w:eastAsia="es-EC"/>
        </w:rPr>
      </w:pPr>
    </w:p>
    <w:p w14:paraId="3EC588DE" w14:textId="77777777" w:rsidR="00437FB2" w:rsidRDefault="00437FB2" w:rsidP="00437FB2">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7DF303" wp14:editId="35E0BDE4">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B206F69" w14:textId="77777777" w:rsidR="00437FB2" w:rsidRDefault="00437FB2" w:rsidP="00437FB2">
      <w:pPr>
        <w:spacing w:after="0" w:line="600" w:lineRule="auto"/>
        <w:jc w:val="center"/>
        <w:rPr>
          <w:rFonts w:ascii="Times New Roman" w:eastAsia="Times New Roman" w:hAnsi="Times New Roman" w:cs="Times New Roman"/>
          <w:b/>
          <w:bCs/>
          <w:color w:val="000000"/>
          <w:sz w:val="24"/>
          <w:szCs w:val="24"/>
          <w:lang w:eastAsia="es-EC"/>
        </w:rPr>
      </w:pPr>
    </w:p>
    <w:p w14:paraId="665EE2EA" w14:textId="77777777" w:rsidR="00437FB2" w:rsidRDefault="00437FB2" w:rsidP="00437FB2">
      <w:pPr>
        <w:spacing w:after="0" w:line="600" w:lineRule="auto"/>
        <w:jc w:val="center"/>
        <w:rPr>
          <w:rFonts w:ascii="Times New Roman" w:eastAsia="Times New Roman" w:hAnsi="Times New Roman" w:cs="Times New Roman"/>
          <w:b/>
          <w:bCs/>
          <w:color w:val="000000"/>
          <w:sz w:val="24"/>
          <w:szCs w:val="24"/>
          <w:lang w:eastAsia="es-EC"/>
        </w:rPr>
      </w:pPr>
    </w:p>
    <w:p w14:paraId="613407B1" w14:textId="77777777" w:rsidR="00437FB2" w:rsidRPr="00ED6422" w:rsidRDefault="00437FB2" w:rsidP="00437FB2">
      <w:pPr>
        <w:spacing w:after="0" w:line="600" w:lineRule="auto"/>
        <w:jc w:val="center"/>
        <w:rPr>
          <w:rFonts w:ascii="Century Gothic" w:eastAsia="Times New Roman" w:hAnsi="Century Gothic" w:cs="Times New Roman"/>
          <w:b/>
          <w:bCs/>
          <w:color w:val="000000"/>
          <w:sz w:val="24"/>
          <w:szCs w:val="24"/>
          <w:lang w:eastAsia="es-EC"/>
        </w:rPr>
      </w:pPr>
    </w:p>
    <w:p w14:paraId="24180597" w14:textId="77777777" w:rsidR="00437FB2" w:rsidRPr="00ED6422" w:rsidRDefault="00437FB2" w:rsidP="00437FB2">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489B4819" w14:textId="77777777" w:rsidR="00437FB2" w:rsidRPr="00ED6422" w:rsidRDefault="00437FB2" w:rsidP="00437FB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0829C38C" w14:textId="77777777" w:rsidR="00437FB2" w:rsidRPr="00ED6422" w:rsidRDefault="00437FB2" w:rsidP="00437FB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453F8AE1" w14:textId="77777777" w:rsidR="00437FB2" w:rsidRPr="00ED6422" w:rsidRDefault="00437FB2" w:rsidP="00437FB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31BFBC58" w14:textId="77777777" w:rsidR="00437FB2" w:rsidRPr="00ED6422" w:rsidRDefault="00437FB2" w:rsidP="00437FB2">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23A9574F" w14:textId="77777777" w:rsidR="00437FB2" w:rsidRPr="00ED6422" w:rsidRDefault="00437FB2" w:rsidP="00437FB2">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Páez Bolaños Freddy Jaír</w:t>
      </w:r>
    </w:p>
    <w:p w14:paraId="32873549" w14:textId="77777777" w:rsidR="00437FB2" w:rsidRPr="00ED6422" w:rsidRDefault="00437FB2" w:rsidP="00437FB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08140538" w14:textId="1E2005C7" w:rsidR="00437FB2" w:rsidRDefault="00CE06E8" w:rsidP="00437FB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Cuadro sobre el PIB en los últimos 5 años.</w:t>
      </w:r>
    </w:p>
    <w:p w14:paraId="0318E4B4" w14:textId="77777777" w:rsidR="00437FB2" w:rsidRDefault="00437FB2" w:rsidP="00437FB2">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6D0A7912" w14:textId="77777777" w:rsidR="00437FB2" w:rsidRPr="007A1948" w:rsidRDefault="00437FB2" w:rsidP="00437FB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45D3A3C6" w14:textId="77777777" w:rsidR="00437FB2" w:rsidRPr="007A1948" w:rsidRDefault="00437FB2" w:rsidP="00437FB2">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633EB3A0" w14:textId="179AD31E" w:rsidR="00437FB2" w:rsidRDefault="00437FB2" w:rsidP="00437FB2">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29A1F626" w14:textId="456CD7E3" w:rsidR="00437FB2" w:rsidRDefault="00437FB2" w:rsidP="00437FB2">
      <w:pPr>
        <w:jc w:val="center"/>
        <w:rPr>
          <w:rFonts w:ascii="Century Gothic" w:eastAsia="Times New Roman" w:hAnsi="Century Gothic" w:cs="Times New Roman"/>
          <w:color w:val="000000"/>
          <w:sz w:val="24"/>
          <w:szCs w:val="24"/>
          <w:lang w:eastAsia="es-EC"/>
        </w:rPr>
      </w:pPr>
    </w:p>
    <w:p w14:paraId="7BA2EF43" w14:textId="34C1C857" w:rsidR="00437FB2" w:rsidRDefault="00437FB2" w:rsidP="00437FB2">
      <w:pPr>
        <w:jc w:val="center"/>
        <w:rPr>
          <w:rFonts w:ascii="Century Gothic" w:eastAsia="Times New Roman" w:hAnsi="Century Gothic" w:cs="Times New Roman"/>
          <w:color w:val="000000"/>
          <w:sz w:val="24"/>
          <w:szCs w:val="24"/>
          <w:lang w:eastAsia="es-EC"/>
        </w:rPr>
      </w:pPr>
    </w:p>
    <w:p w14:paraId="69F90C09" w14:textId="124F9901" w:rsidR="00437FB2" w:rsidRDefault="00437FB2" w:rsidP="00437FB2">
      <w:pPr>
        <w:jc w:val="center"/>
        <w:rPr>
          <w:rFonts w:ascii="Century Gothic" w:eastAsia="Times New Roman" w:hAnsi="Century Gothic" w:cs="Times New Roman"/>
          <w:color w:val="000000"/>
          <w:sz w:val="24"/>
          <w:szCs w:val="24"/>
          <w:lang w:eastAsia="es-EC"/>
        </w:rPr>
      </w:pPr>
    </w:p>
    <w:p w14:paraId="12AD65C7" w14:textId="77777777" w:rsidR="00437FB2" w:rsidRDefault="00437FB2" w:rsidP="00437FB2">
      <w:pPr>
        <w:jc w:val="center"/>
        <w:rPr>
          <w:rFonts w:ascii="Century Gothic" w:eastAsia="Times New Roman" w:hAnsi="Century Gothic" w:cs="Times New Roman"/>
          <w:color w:val="000000"/>
          <w:sz w:val="24"/>
          <w:szCs w:val="24"/>
          <w:lang w:eastAsia="es-EC"/>
        </w:rPr>
      </w:pPr>
    </w:p>
    <w:tbl>
      <w:tblPr>
        <w:tblStyle w:val="Tablaconcuadrcula"/>
        <w:tblW w:w="0" w:type="auto"/>
        <w:tblLook w:val="04A0" w:firstRow="1" w:lastRow="0" w:firstColumn="1" w:lastColumn="0" w:noHBand="0" w:noVBand="1"/>
      </w:tblPr>
      <w:tblGrid>
        <w:gridCol w:w="2281"/>
        <w:gridCol w:w="1881"/>
        <w:gridCol w:w="2215"/>
        <w:gridCol w:w="2639"/>
      </w:tblGrid>
      <w:tr w:rsidR="00437FB2" w:rsidRPr="00437FB2" w14:paraId="05486A9D" w14:textId="77777777" w:rsidTr="00437FB2">
        <w:tc>
          <w:tcPr>
            <w:tcW w:w="2281" w:type="dxa"/>
            <w:shd w:val="clear" w:color="auto" w:fill="B4C6E7" w:themeFill="accent1" w:themeFillTint="66"/>
          </w:tcPr>
          <w:p w14:paraId="2FEFF626" w14:textId="4FE54B98" w:rsidR="00437FB2" w:rsidRPr="00437FB2" w:rsidRDefault="00A0325F" w:rsidP="00437FB2">
            <w:pPr>
              <w:jc w:val="center"/>
              <w:rPr>
                <w:rFonts w:ascii="Century Gothic" w:hAnsi="Century Gothic"/>
                <w:sz w:val="28"/>
                <w:szCs w:val="28"/>
              </w:rPr>
            </w:pPr>
            <w:r>
              <w:rPr>
                <w:rFonts w:ascii="Century Gothic" w:hAnsi="Century Gothic"/>
                <w:sz w:val="28"/>
                <w:szCs w:val="28"/>
              </w:rPr>
              <w:lastRenderedPageBreak/>
              <w:t xml:space="preserve">PERÍODO / </w:t>
            </w:r>
            <w:r w:rsidR="00437FB2" w:rsidRPr="00437FB2">
              <w:rPr>
                <w:rFonts w:ascii="Century Gothic" w:hAnsi="Century Gothic"/>
                <w:sz w:val="28"/>
                <w:szCs w:val="28"/>
              </w:rPr>
              <w:t>AÑO</w:t>
            </w:r>
          </w:p>
        </w:tc>
        <w:tc>
          <w:tcPr>
            <w:tcW w:w="1881" w:type="dxa"/>
            <w:shd w:val="clear" w:color="auto" w:fill="FFE599" w:themeFill="accent4" w:themeFillTint="66"/>
          </w:tcPr>
          <w:p w14:paraId="25B5B8A1" w14:textId="4C3FF9EE" w:rsidR="00437FB2" w:rsidRPr="00437FB2" w:rsidRDefault="00437FB2" w:rsidP="00437FB2">
            <w:pPr>
              <w:jc w:val="center"/>
              <w:rPr>
                <w:rFonts w:ascii="Century Gothic" w:hAnsi="Century Gothic"/>
                <w:sz w:val="28"/>
                <w:szCs w:val="28"/>
              </w:rPr>
            </w:pPr>
            <w:r w:rsidRPr="00437FB2">
              <w:rPr>
                <w:sz w:val="28"/>
                <w:szCs w:val="28"/>
              </w:rPr>
              <w:t>TOTAL,</w:t>
            </w:r>
            <w:r w:rsidRPr="00437FB2">
              <w:rPr>
                <w:sz w:val="28"/>
                <w:szCs w:val="28"/>
              </w:rPr>
              <w:t xml:space="preserve"> VALOR AGREGADO BRUTO</w:t>
            </w:r>
          </w:p>
        </w:tc>
        <w:tc>
          <w:tcPr>
            <w:tcW w:w="2215" w:type="dxa"/>
            <w:shd w:val="clear" w:color="auto" w:fill="C5E0B3" w:themeFill="accent6" w:themeFillTint="66"/>
          </w:tcPr>
          <w:p w14:paraId="77997181" w14:textId="677788CB" w:rsidR="00437FB2" w:rsidRPr="00437FB2" w:rsidRDefault="00437FB2" w:rsidP="00437FB2">
            <w:pPr>
              <w:jc w:val="center"/>
              <w:rPr>
                <w:rFonts w:ascii="Century Gothic" w:hAnsi="Century Gothic"/>
                <w:sz w:val="28"/>
                <w:szCs w:val="28"/>
              </w:rPr>
            </w:pPr>
            <w:r w:rsidRPr="00437FB2">
              <w:rPr>
                <w:sz w:val="28"/>
                <w:szCs w:val="28"/>
              </w:rPr>
              <w:t>OTROS ELEMENTOS DEL PIB</w:t>
            </w:r>
          </w:p>
        </w:tc>
        <w:tc>
          <w:tcPr>
            <w:tcW w:w="2639" w:type="dxa"/>
            <w:shd w:val="clear" w:color="auto" w:fill="F7CAAC" w:themeFill="accent2" w:themeFillTint="66"/>
          </w:tcPr>
          <w:p w14:paraId="3BD14F4E" w14:textId="77777777" w:rsidR="00437FB2" w:rsidRDefault="00437FB2" w:rsidP="00437FB2">
            <w:pPr>
              <w:jc w:val="center"/>
              <w:rPr>
                <w:rFonts w:ascii="Century Gothic" w:hAnsi="Century Gothic"/>
                <w:sz w:val="28"/>
                <w:szCs w:val="28"/>
              </w:rPr>
            </w:pPr>
            <w:r w:rsidRPr="00437FB2">
              <w:rPr>
                <w:rFonts w:ascii="Century Gothic" w:hAnsi="Century Gothic"/>
                <w:sz w:val="28"/>
                <w:szCs w:val="28"/>
              </w:rPr>
              <w:t>VALOR DEL PIB ANUAL</w:t>
            </w:r>
          </w:p>
          <w:p w14:paraId="23C2DA96" w14:textId="52C793CC" w:rsidR="00A0325F" w:rsidRPr="00437FB2" w:rsidRDefault="00A0325F" w:rsidP="00437FB2">
            <w:pPr>
              <w:jc w:val="center"/>
              <w:rPr>
                <w:rFonts w:ascii="Century Gothic" w:hAnsi="Century Gothic"/>
                <w:sz w:val="28"/>
                <w:szCs w:val="28"/>
              </w:rPr>
            </w:pPr>
            <w:r>
              <w:rPr>
                <w:rFonts w:ascii="Century Gothic" w:hAnsi="Century Gothic"/>
                <w:sz w:val="28"/>
                <w:szCs w:val="28"/>
              </w:rPr>
              <w:t>MILLONES USD*</w:t>
            </w:r>
          </w:p>
        </w:tc>
      </w:tr>
      <w:tr w:rsidR="00437FB2" w:rsidRPr="00437FB2" w14:paraId="094D583E" w14:textId="77777777" w:rsidTr="00437FB2">
        <w:tc>
          <w:tcPr>
            <w:tcW w:w="2281" w:type="dxa"/>
            <w:shd w:val="clear" w:color="auto" w:fill="B4C6E7" w:themeFill="accent1" w:themeFillTint="66"/>
          </w:tcPr>
          <w:p w14:paraId="462EAC67" w14:textId="77777777"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2014</w:t>
            </w:r>
          </w:p>
        </w:tc>
        <w:tc>
          <w:tcPr>
            <w:tcW w:w="1881" w:type="dxa"/>
            <w:shd w:val="clear" w:color="auto" w:fill="FFE599" w:themeFill="accent4" w:themeFillTint="66"/>
          </w:tcPr>
          <w:p w14:paraId="7EBFADFD" w14:textId="6E5DB446" w:rsidR="00437FB2" w:rsidRPr="00437FB2" w:rsidRDefault="00437FB2" w:rsidP="00437FB2">
            <w:pPr>
              <w:jc w:val="center"/>
              <w:rPr>
                <w:rFonts w:ascii="Century Gothic" w:hAnsi="Century Gothic"/>
                <w:sz w:val="28"/>
                <w:szCs w:val="28"/>
              </w:rPr>
            </w:pPr>
            <w:r w:rsidRPr="00437FB2">
              <w:rPr>
                <w:sz w:val="28"/>
                <w:szCs w:val="28"/>
              </w:rPr>
              <w:t>96.894,7</w:t>
            </w:r>
          </w:p>
        </w:tc>
        <w:tc>
          <w:tcPr>
            <w:tcW w:w="2215" w:type="dxa"/>
            <w:shd w:val="clear" w:color="auto" w:fill="C5E0B3" w:themeFill="accent6" w:themeFillTint="66"/>
          </w:tcPr>
          <w:p w14:paraId="3F928C19" w14:textId="1BD9E3F5" w:rsidR="00437FB2" w:rsidRPr="00437FB2" w:rsidRDefault="00437FB2" w:rsidP="00437FB2">
            <w:pPr>
              <w:jc w:val="center"/>
              <w:rPr>
                <w:rFonts w:ascii="Century Gothic" w:hAnsi="Century Gothic"/>
                <w:sz w:val="28"/>
                <w:szCs w:val="28"/>
              </w:rPr>
            </w:pPr>
            <w:r w:rsidRPr="00437FB2">
              <w:rPr>
                <w:sz w:val="28"/>
                <w:szCs w:val="28"/>
              </w:rPr>
              <w:t>4.831,6</w:t>
            </w:r>
          </w:p>
        </w:tc>
        <w:tc>
          <w:tcPr>
            <w:tcW w:w="2639" w:type="dxa"/>
            <w:shd w:val="clear" w:color="auto" w:fill="F7CAAC" w:themeFill="accent2" w:themeFillTint="66"/>
          </w:tcPr>
          <w:p w14:paraId="0798BB12" w14:textId="54A45660"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101.726,3</w:t>
            </w:r>
          </w:p>
        </w:tc>
      </w:tr>
      <w:tr w:rsidR="00437FB2" w:rsidRPr="00437FB2" w14:paraId="3F387D66" w14:textId="77777777" w:rsidTr="00437FB2">
        <w:tc>
          <w:tcPr>
            <w:tcW w:w="2281" w:type="dxa"/>
            <w:shd w:val="clear" w:color="auto" w:fill="B4C6E7" w:themeFill="accent1" w:themeFillTint="66"/>
          </w:tcPr>
          <w:p w14:paraId="773EE690" w14:textId="77777777"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2015</w:t>
            </w:r>
          </w:p>
        </w:tc>
        <w:tc>
          <w:tcPr>
            <w:tcW w:w="1881" w:type="dxa"/>
            <w:shd w:val="clear" w:color="auto" w:fill="FFE599" w:themeFill="accent4" w:themeFillTint="66"/>
          </w:tcPr>
          <w:p w14:paraId="25FF9BCC" w14:textId="110AF1AB" w:rsidR="00437FB2" w:rsidRPr="00437FB2" w:rsidRDefault="00437FB2" w:rsidP="00437FB2">
            <w:pPr>
              <w:jc w:val="center"/>
              <w:rPr>
                <w:rFonts w:ascii="Century Gothic" w:hAnsi="Century Gothic"/>
                <w:sz w:val="28"/>
                <w:szCs w:val="28"/>
              </w:rPr>
            </w:pPr>
            <w:r w:rsidRPr="00437FB2">
              <w:rPr>
                <w:sz w:val="28"/>
                <w:szCs w:val="28"/>
              </w:rPr>
              <w:t>92.042,5</w:t>
            </w:r>
          </w:p>
        </w:tc>
        <w:tc>
          <w:tcPr>
            <w:tcW w:w="2215" w:type="dxa"/>
            <w:shd w:val="clear" w:color="auto" w:fill="C5E0B3" w:themeFill="accent6" w:themeFillTint="66"/>
          </w:tcPr>
          <w:p w14:paraId="75C8F830" w14:textId="6BE5E16B" w:rsidR="00437FB2" w:rsidRPr="00437FB2" w:rsidRDefault="00437FB2" w:rsidP="00437FB2">
            <w:pPr>
              <w:jc w:val="center"/>
              <w:rPr>
                <w:rFonts w:ascii="Century Gothic" w:hAnsi="Century Gothic"/>
                <w:sz w:val="28"/>
                <w:szCs w:val="28"/>
              </w:rPr>
            </w:pPr>
            <w:r w:rsidRPr="00437FB2">
              <w:rPr>
                <w:sz w:val="28"/>
                <w:szCs w:val="28"/>
              </w:rPr>
              <w:t>7.247,9</w:t>
            </w:r>
          </w:p>
        </w:tc>
        <w:tc>
          <w:tcPr>
            <w:tcW w:w="2639" w:type="dxa"/>
            <w:shd w:val="clear" w:color="auto" w:fill="F7CAAC" w:themeFill="accent2" w:themeFillTint="66"/>
          </w:tcPr>
          <w:p w14:paraId="43200A50" w14:textId="74157225"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99.290,4</w:t>
            </w:r>
          </w:p>
        </w:tc>
      </w:tr>
      <w:tr w:rsidR="00437FB2" w:rsidRPr="00437FB2" w14:paraId="7103DC5A" w14:textId="77777777" w:rsidTr="00437FB2">
        <w:tc>
          <w:tcPr>
            <w:tcW w:w="2281" w:type="dxa"/>
            <w:shd w:val="clear" w:color="auto" w:fill="B4C6E7" w:themeFill="accent1" w:themeFillTint="66"/>
          </w:tcPr>
          <w:p w14:paraId="752F7FD4" w14:textId="77777777"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2016</w:t>
            </w:r>
          </w:p>
        </w:tc>
        <w:tc>
          <w:tcPr>
            <w:tcW w:w="1881" w:type="dxa"/>
            <w:shd w:val="clear" w:color="auto" w:fill="FFE599" w:themeFill="accent4" w:themeFillTint="66"/>
          </w:tcPr>
          <w:p w14:paraId="1A6EFFAB" w14:textId="6D05BDD4" w:rsidR="00437FB2" w:rsidRPr="00437FB2" w:rsidRDefault="00437FB2" w:rsidP="00437FB2">
            <w:pPr>
              <w:jc w:val="center"/>
              <w:rPr>
                <w:rFonts w:ascii="Century Gothic" w:hAnsi="Century Gothic"/>
                <w:sz w:val="28"/>
                <w:szCs w:val="28"/>
              </w:rPr>
            </w:pPr>
            <w:r w:rsidRPr="00437FB2">
              <w:rPr>
                <w:sz w:val="28"/>
                <w:szCs w:val="28"/>
              </w:rPr>
              <w:t>93.038,3</w:t>
            </w:r>
          </w:p>
        </w:tc>
        <w:tc>
          <w:tcPr>
            <w:tcW w:w="2215" w:type="dxa"/>
            <w:shd w:val="clear" w:color="auto" w:fill="C5E0B3" w:themeFill="accent6" w:themeFillTint="66"/>
          </w:tcPr>
          <w:p w14:paraId="52702CA7" w14:textId="105066E1" w:rsidR="00437FB2" w:rsidRPr="00437FB2" w:rsidRDefault="00437FB2" w:rsidP="00437FB2">
            <w:pPr>
              <w:jc w:val="center"/>
              <w:rPr>
                <w:rFonts w:ascii="Century Gothic" w:hAnsi="Century Gothic"/>
                <w:sz w:val="28"/>
                <w:szCs w:val="28"/>
              </w:rPr>
            </w:pPr>
            <w:r w:rsidRPr="00437FB2">
              <w:rPr>
                <w:sz w:val="28"/>
                <w:szCs w:val="28"/>
              </w:rPr>
              <w:t>6.899,4</w:t>
            </w:r>
          </w:p>
        </w:tc>
        <w:tc>
          <w:tcPr>
            <w:tcW w:w="2639" w:type="dxa"/>
            <w:shd w:val="clear" w:color="auto" w:fill="F7CAAC" w:themeFill="accent2" w:themeFillTint="66"/>
          </w:tcPr>
          <w:p w14:paraId="3A47D6AF" w14:textId="39E6484B"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99.937,7</w:t>
            </w:r>
          </w:p>
        </w:tc>
      </w:tr>
      <w:tr w:rsidR="00437FB2" w:rsidRPr="00437FB2" w14:paraId="7ABEE045" w14:textId="77777777" w:rsidTr="00437FB2">
        <w:tc>
          <w:tcPr>
            <w:tcW w:w="2281" w:type="dxa"/>
            <w:shd w:val="clear" w:color="auto" w:fill="B4C6E7" w:themeFill="accent1" w:themeFillTint="66"/>
          </w:tcPr>
          <w:p w14:paraId="3C294E4C" w14:textId="77777777"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2017</w:t>
            </w:r>
          </w:p>
        </w:tc>
        <w:tc>
          <w:tcPr>
            <w:tcW w:w="1881" w:type="dxa"/>
            <w:shd w:val="clear" w:color="auto" w:fill="FFE599" w:themeFill="accent4" w:themeFillTint="66"/>
          </w:tcPr>
          <w:p w14:paraId="20D8CE92" w14:textId="2330C56E" w:rsidR="00437FB2" w:rsidRPr="00437FB2" w:rsidRDefault="00437FB2" w:rsidP="00437FB2">
            <w:pPr>
              <w:jc w:val="center"/>
              <w:rPr>
                <w:rFonts w:ascii="Century Gothic" w:hAnsi="Century Gothic"/>
                <w:sz w:val="28"/>
                <w:szCs w:val="28"/>
              </w:rPr>
            </w:pPr>
            <w:r w:rsidRPr="00437FB2">
              <w:rPr>
                <w:sz w:val="28"/>
                <w:szCs w:val="28"/>
              </w:rPr>
              <w:t>97.082,7</w:t>
            </w:r>
          </w:p>
        </w:tc>
        <w:tc>
          <w:tcPr>
            <w:tcW w:w="2215" w:type="dxa"/>
            <w:shd w:val="clear" w:color="auto" w:fill="C5E0B3" w:themeFill="accent6" w:themeFillTint="66"/>
          </w:tcPr>
          <w:p w14:paraId="7649920B" w14:textId="6B10B075" w:rsidR="00437FB2" w:rsidRPr="00437FB2" w:rsidRDefault="00437FB2" w:rsidP="00437FB2">
            <w:pPr>
              <w:jc w:val="center"/>
              <w:rPr>
                <w:rFonts w:ascii="Century Gothic" w:hAnsi="Century Gothic"/>
                <w:sz w:val="28"/>
                <w:szCs w:val="28"/>
              </w:rPr>
            </w:pPr>
            <w:r w:rsidRPr="00437FB2">
              <w:rPr>
                <w:sz w:val="28"/>
                <w:szCs w:val="28"/>
              </w:rPr>
              <w:t>7.213,1</w:t>
            </w:r>
          </w:p>
        </w:tc>
        <w:tc>
          <w:tcPr>
            <w:tcW w:w="2639" w:type="dxa"/>
            <w:shd w:val="clear" w:color="auto" w:fill="F7CAAC" w:themeFill="accent2" w:themeFillTint="66"/>
          </w:tcPr>
          <w:p w14:paraId="17AD9F24" w14:textId="346DE07B"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104.295,9</w:t>
            </w:r>
          </w:p>
        </w:tc>
      </w:tr>
      <w:tr w:rsidR="00437FB2" w:rsidRPr="00437FB2" w14:paraId="45431205" w14:textId="77777777" w:rsidTr="00437FB2">
        <w:tc>
          <w:tcPr>
            <w:tcW w:w="2281" w:type="dxa"/>
            <w:shd w:val="clear" w:color="auto" w:fill="B4C6E7" w:themeFill="accent1" w:themeFillTint="66"/>
          </w:tcPr>
          <w:p w14:paraId="07AEC01D" w14:textId="77777777"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2018</w:t>
            </w:r>
          </w:p>
        </w:tc>
        <w:tc>
          <w:tcPr>
            <w:tcW w:w="1881" w:type="dxa"/>
            <w:shd w:val="clear" w:color="auto" w:fill="FFE599" w:themeFill="accent4" w:themeFillTint="66"/>
          </w:tcPr>
          <w:p w14:paraId="262BADCA" w14:textId="2AC7FF8F" w:rsidR="00437FB2" w:rsidRPr="00437FB2" w:rsidRDefault="00437FB2" w:rsidP="00437FB2">
            <w:pPr>
              <w:jc w:val="center"/>
              <w:rPr>
                <w:rFonts w:ascii="Century Gothic" w:hAnsi="Century Gothic"/>
                <w:sz w:val="28"/>
                <w:szCs w:val="28"/>
              </w:rPr>
            </w:pPr>
            <w:r w:rsidRPr="00437FB2">
              <w:rPr>
                <w:sz w:val="28"/>
                <w:szCs w:val="28"/>
              </w:rPr>
              <w:t>99.956,0</w:t>
            </w:r>
          </w:p>
        </w:tc>
        <w:tc>
          <w:tcPr>
            <w:tcW w:w="2215" w:type="dxa"/>
            <w:shd w:val="clear" w:color="auto" w:fill="C5E0B3" w:themeFill="accent6" w:themeFillTint="66"/>
          </w:tcPr>
          <w:p w14:paraId="368AB509" w14:textId="0CE05425" w:rsidR="00437FB2" w:rsidRPr="00437FB2" w:rsidRDefault="00437FB2" w:rsidP="00437FB2">
            <w:pPr>
              <w:jc w:val="center"/>
              <w:rPr>
                <w:rFonts w:ascii="Century Gothic" w:hAnsi="Century Gothic"/>
                <w:sz w:val="28"/>
                <w:szCs w:val="28"/>
              </w:rPr>
            </w:pPr>
            <w:r w:rsidRPr="00437FB2">
              <w:rPr>
                <w:sz w:val="28"/>
                <w:szCs w:val="28"/>
              </w:rPr>
              <w:t>7.606,1</w:t>
            </w:r>
          </w:p>
        </w:tc>
        <w:tc>
          <w:tcPr>
            <w:tcW w:w="2639" w:type="dxa"/>
            <w:shd w:val="clear" w:color="auto" w:fill="F7CAAC" w:themeFill="accent2" w:themeFillTint="66"/>
          </w:tcPr>
          <w:p w14:paraId="560CD48D" w14:textId="7F749525"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107.562,0</w:t>
            </w:r>
          </w:p>
        </w:tc>
      </w:tr>
      <w:tr w:rsidR="00437FB2" w:rsidRPr="00437FB2" w14:paraId="445BFA36" w14:textId="77777777" w:rsidTr="00437FB2">
        <w:tc>
          <w:tcPr>
            <w:tcW w:w="2281" w:type="dxa"/>
            <w:shd w:val="clear" w:color="auto" w:fill="B4C6E7" w:themeFill="accent1" w:themeFillTint="66"/>
          </w:tcPr>
          <w:p w14:paraId="391719C4" w14:textId="77777777"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2019</w:t>
            </w:r>
          </w:p>
        </w:tc>
        <w:tc>
          <w:tcPr>
            <w:tcW w:w="1881" w:type="dxa"/>
            <w:shd w:val="clear" w:color="auto" w:fill="FFE599" w:themeFill="accent4" w:themeFillTint="66"/>
          </w:tcPr>
          <w:p w14:paraId="2774F5E0" w14:textId="0BA08941" w:rsidR="00437FB2" w:rsidRPr="00437FB2" w:rsidRDefault="00437FB2" w:rsidP="00437FB2">
            <w:pPr>
              <w:jc w:val="center"/>
              <w:rPr>
                <w:rFonts w:ascii="Century Gothic" w:hAnsi="Century Gothic"/>
                <w:sz w:val="28"/>
                <w:szCs w:val="28"/>
              </w:rPr>
            </w:pPr>
            <w:r w:rsidRPr="00437FB2">
              <w:rPr>
                <w:sz w:val="28"/>
                <w:szCs w:val="28"/>
              </w:rPr>
              <w:t>100.871,6</w:t>
            </w:r>
          </w:p>
        </w:tc>
        <w:tc>
          <w:tcPr>
            <w:tcW w:w="2215" w:type="dxa"/>
            <w:shd w:val="clear" w:color="auto" w:fill="C5E0B3" w:themeFill="accent6" w:themeFillTint="66"/>
          </w:tcPr>
          <w:p w14:paraId="51181F0D" w14:textId="25029876" w:rsidR="00437FB2" w:rsidRPr="00437FB2" w:rsidRDefault="00437FB2" w:rsidP="00437FB2">
            <w:pPr>
              <w:jc w:val="center"/>
              <w:rPr>
                <w:rFonts w:ascii="Century Gothic" w:hAnsi="Century Gothic"/>
                <w:sz w:val="28"/>
                <w:szCs w:val="28"/>
              </w:rPr>
            </w:pPr>
            <w:r w:rsidRPr="00437FB2">
              <w:rPr>
                <w:sz w:val="28"/>
                <w:szCs w:val="28"/>
              </w:rPr>
              <w:t>7.236,4</w:t>
            </w:r>
          </w:p>
        </w:tc>
        <w:tc>
          <w:tcPr>
            <w:tcW w:w="2639" w:type="dxa"/>
            <w:shd w:val="clear" w:color="auto" w:fill="F7CAAC" w:themeFill="accent2" w:themeFillTint="66"/>
          </w:tcPr>
          <w:p w14:paraId="464446C6" w14:textId="024FF935" w:rsidR="00437FB2" w:rsidRPr="00437FB2" w:rsidRDefault="00437FB2" w:rsidP="00437FB2">
            <w:pPr>
              <w:jc w:val="center"/>
              <w:rPr>
                <w:rFonts w:ascii="Century Gothic" w:hAnsi="Century Gothic"/>
                <w:sz w:val="28"/>
                <w:szCs w:val="28"/>
              </w:rPr>
            </w:pPr>
            <w:r w:rsidRPr="00437FB2">
              <w:rPr>
                <w:rFonts w:ascii="Century Gothic" w:hAnsi="Century Gothic"/>
                <w:sz w:val="28"/>
                <w:szCs w:val="28"/>
              </w:rPr>
              <w:t>108.108,0</w:t>
            </w:r>
          </w:p>
        </w:tc>
      </w:tr>
    </w:tbl>
    <w:p w14:paraId="3881B764" w14:textId="2E77677A" w:rsidR="00437FB2" w:rsidRDefault="00437FB2"/>
    <w:p w14:paraId="35C971BD" w14:textId="17F39D88" w:rsidR="00437FB2" w:rsidRDefault="00437FB2">
      <w:pPr>
        <w:rPr>
          <w:rFonts w:ascii="Century Gothic" w:hAnsi="Century Gothic"/>
        </w:rPr>
      </w:pPr>
      <w:r w:rsidRPr="00437FB2">
        <w:rPr>
          <w:rFonts w:ascii="Century Gothic" w:hAnsi="Century Gothic"/>
        </w:rPr>
        <w:t>Obtenido de:</w:t>
      </w:r>
      <w:r>
        <w:rPr>
          <w:rFonts w:ascii="Century Gothic" w:hAnsi="Century Gothic"/>
        </w:rPr>
        <w:t xml:space="preserve"> </w:t>
      </w:r>
      <w:hyperlink r:id="rId8" w:history="1">
        <w:r w:rsidR="00555672" w:rsidRPr="002902CE">
          <w:rPr>
            <w:rStyle w:val="Hipervnculo"/>
            <w:rFonts w:ascii="Century Gothic" w:hAnsi="Century Gothic"/>
          </w:rPr>
          <w:t>https://contenido.bce.fin.ec/home1/estadisticas/bolmensual/IEMensual.jsp</w:t>
        </w:r>
      </w:hyperlink>
    </w:p>
    <w:p w14:paraId="3D1345AB" w14:textId="2055CE33" w:rsidR="00A0325F" w:rsidRDefault="00A0325F" w:rsidP="00CE06E8">
      <w:pPr>
        <w:jc w:val="both"/>
        <w:rPr>
          <w:rFonts w:ascii="Century Gothic" w:hAnsi="Century Gothic"/>
        </w:rPr>
      </w:pPr>
      <w:r>
        <w:rPr>
          <w:rFonts w:ascii="Century Gothic" w:hAnsi="Century Gothic"/>
        </w:rPr>
        <w:t xml:space="preserve">En el Ecuador el Producto Interno Bruto ha tenido diferentes cambios y variaciones dentro de un período de 5 años, </w:t>
      </w:r>
      <w:r w:rsidR="0022189F">
        <w:rPr>
          <w:rFonts w:ascii="Century Gothic" w:hAnsi="Century Gothic"/>
        </w:rPr>
        <w:t>(2014 – 2019) pues los ingresos que se han generado analizando desde el año 2014 fue relativamente bajo comparado con los años siguientes. Pero este bajo ingreso económico no solo se dio en este año para el siguiente año, se pudo evidenciar un descenso notorio pues bajo aproximadamente mil millones de dólares como ingresos para el país, haciendo que la economía del país tambalee, entonces la producción total de los bienes y servicios de nuestro país se verían afectados por dicho decaimiento. Como consecuencia de esta causa el efecto que se ha podido ver en años futuros ha sido que el país se ve obligado a no gastar excesivamente pues aumentaría más la inestabilidad económica que un país está presentando. Pero eso no se da en los casos de los años siguientes pues a medida que avanzaba los años el valor total del PIB fue aumentando conforme los años pasaban, claro esta en el año 2017 pues la diferencia fue muy notoria aumento 5 mil millones de ingresos al país, hecho que ayudo a mejorar la estabilidad económica de un país y así permitiéndole realizar gastos que ayuden a la mejora del bienestar y desarrollo del país</w:t>
      </w:r>
      <w:r w:rsidR="00CE06E8">
        <w:rPr>
          <w:rFonts w:ascii="Century Gothic" w:hAnsi="Century Gothic"/>
        </w:rPr>
        <w:t>.</w:t>
      </w:r>
    </w:p>
    <w:p w14:paraId="16D44A54" w14:textId="635667BD" w:rsidR="00CE06E8" w:rsidRDefault="00CE06E8" w:rsidP="00CE06E8">
      <w:pPr>
        <w:jc w:val="both"/>
        <w:rPr>
          <w:rFonts w:ascii="Century Gothic" w:hAnsi="Century Gothic"/>
        </w:rPr>
      </w:pPr>
      <w:r>
        <w:rPr>
          <w:rFonts w:ascii="Century Gothic" w:hAnsi="Century Gothic"/>
        </w:rPr>
        <w:t>Según análisis de especialistas mencionan que:</w:t>
      </w:r>
    </w:p>
    <w:p w14:paraId="2E87B42D" w14:textId="6B87FB66" w:rsidR="00555672" w:rsidRDefault="00555672" w:rsidP="00CE06E8">
      <w:pPr>
        <w:jc w:val="both"/>
        <w:rPr>
          <w:rFonts w:ascii="Century Gothic" w:hAnsi="Century Gothic"/>
        </w:rPr>
      </w:pPr>
      <w:r w:rsidRPr="00555672">
        <w:rPr>
          <w:rFonts w:ascii="Century Gothic" w:hAnsi="Century Gothic"/>
        </w:rPr>
        <w:t>A un mes de que termin</w:t>
      </w:r>
      <w:r w:rsidR="00CE06E8">
        <w:rPr>
          <w:rFonts w:ascii="Century Gothic" w:hAnsi="Century Gothic"/>
        </w:rPr>
        <w:t>ara</w:t>
      </w:r>
      <w:r w:rsidRPr="00555672">
        <w:rPr>
          <w:rFonts w:ascii="Century Gothic" w:hAnsi="Century Gothic"/>
        </w:rPr>
        <w:t xml:space="preserve"> el 2020, el Banco Central del Ecuador ajustó las</w:t>
      </w:r>
      <w:r w:rsidR="0022189F">
        <w:rPr>
          <w:rFonts w:ascii="Century Gothic" w:hAnsi="Century Gothic"/>
        </w:rPr>
        <w:t xml:space="preserve">- </w:t>
      </w:r>
      <w:r w:rsidRPr="00555672">
        <w:rPr>
          <w:rFonts w:ascii="Century Gothic" w:hAnsi="Century Gothic"/>
        </w:rPr>
        <w:t xml:space="preserve"> proyecciones para el Producto Interno Bruto (PIB) del país. Según el Central, la economía decrecerá 8,9% en el 2020, pero crecerá un 3,1% en el 2021. En junio pasado, el Banco Central ya había proyectado tres posibles escenarios de contracción para la economía del país en el 2020: 7,3%, 8,1% y 9,6%. Según el Central, el consumo de los hogares, las importaciones y la inversión pública y privada (formación bruta de capital fijo) serán los rubros que más se contraerán este año. Este último rubro, por ejemplo, se contraería un 19,4% en el 2020. Las importaciones, en cambio, caerían un 10,5% este año. Los sectores con las caídas más fuertes este año, según el BCE, serán el alojamiento y servicios de comida, transporte y almacenamiento, el servicio doméstico, la construcción y las actividades de manufactura. Sin embargo, para el 2021 el ente estima que todas las actividades tendrán crecimiento, a excepción del rubro de la construcción y las actividades relacionadas a la administración pública. En el año más difícil para la economía del </w:t>
      </w:r>
      <w:r w:rsidRPr="00555672">
        <w:rPr>
          <w:rFonts w:ascii="Century Gothic" w:hAnsi="Century Gothic"/>
        </w:rPr>
        <w:lastRenderedPageBreak/>
        <w:t>país, el BCE proyecta que el sector que tendrá mejor desempeño será la explotación de minas, que crecería un 12% en el 2020 y un 16,4% en el 2021. El Banco Central del país no es el único que mejora las previsiones para Ecuador a medida que se acerca el fin del año. El Fondo Monetario Internacional (FMI) también estimó recientemente que la economía del país decrecerá menos de lo esperado inicialmente. En julio pasado, Gita Gopinath, economista jefe del multilateral, había indicado que el PIB del Ecuador decrecería 11%, en el contexto de la pandemia. Pero el pasado 23 de noviembre del 2020, el multilateral informó que la proyección se ajustó y ahora estima que el decrecimiento del PIB ecuatoriano será de 9,5%.</w:t>
      </w:r>
    </w:p>
    <w:p w14:paraId="626B6942" w14:textId="666CC9BC" w:rsidR="00CE06E8" w:rsidRDefault="00CE06E8" w:rsidP="00CE06E8">
      <w:pPr>
        <w:pStyle w:val="Prrafodelista"/>
        <w:numPr>
          <w:ilvl w:val="0"/>
          <w:numId w:val="1"/>
        </w:numPr>
        <w:jc w:val="both"/>
        <w:rPr>
          <w:rFonts w:ascii="Century Gothic" w:hAnsi="Century Gothic"/>
        </w:rPr>
      </w:pPr>
      <w:r>
        <w:rPr>
          <w:rFonts w:ascii="Century Gothic" w:hAnsi="Century Gothic"/>
        </w:rPr>
        <w:t xml:space="preserve">Información Recuperada de: </w:t>
      </w:r>
      <w:hyperlink r:id="rId9" w:history="1">
        <w:r w:rsidRPr="002902CE">
          <w:rPr>
            <w:rStyle w:val="Hipervnculo"/>
            <w:rFonts w:ascii="Century Gothic" w:hAnsi="Century Gothic"/>
          </w:rPr>
          <w:t>https://contenido.bce.fin.ec/home1/estadisticas/bolmensual/IEMensual.jsp</w:t>
        </w:r>
      </w:hyperlink>
    </w:p>
    <w:p w14:paraId="571C2F12" w14:textId="477C8662" w:rsidR="00CE06E8" w:rsidRDefault="00CE06E8" w:rsidP="00CE06E8">
      <w:pPr>
        <w:pStyle w:val="Prrafodelista"/>
        <w:numPr>
          <w:ilvl w:val="0"/>
          <w:numId w:val="1"/>
        </w:numPr>
        <w:jc w:val="both"/>
        <w:rPr>
          <w:rFonts w:ascii="Century Gothic" w:hAnsi="Century Gothic"/>
        </w:rPr>
      </w:pPr>
      <w:hyperlink r:id="rId10" w:history="1">
        <w:r w:rsidRPr="002902CE">
          <w:rPr>
            <w:rStyle w:val="Hipervnculo"/>
            <w:rFonts w:ascii="Century Gothic" w:hAnsi="Century Gothic"/>
          </w:rPr>
          <w:t>https://economipedia.com/definiciones/producto-interior-bruto-pib.html</w:t>
        </w:r>
      </w:hyperlink>
    </w:p>
    <w:p w14:paraId="55150AEB" w14:textId="77777777" w:rsidR="00CE06E8" w:rsidRPr="00CE06E8" w:rsidRDefault="00CE06E8" w:rsidP="00CE06E8">
      <w:pPr>
        <w:jc w:val="both"/>
        <w:rPr>
          <w:rFonts w:ascii="Century Gothic" w:hAnsi="Century Gothic"/>
        </w:rPr>
      </w:pPr>
    </w:p>
    <w:sectPr w:rsidR="00CE06E8" w:rsidRPr="00CE06E8" w:rsidSect="00CE06E8">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3EFBA" w14:textId="77777777" w:rsidR="006D6C71" w:rsidRDefault="006D6C71" w:rsidP="00437FB2">
      <w:pPr>
        <w:spacing w:after="0" w:line="240" w:lineRule="auto"/>
      </w:pPr>
      <w:r>
        <w:separator/>
      </w:r>
    </w:p>
  </w:endnote>
  <w:endnote w:type="continuationSeparator" w:id="0">
    <w:p w14:paraId="5D0685DD" w14:textId="77777777" w:rsidR="006D6C71" w:rsidRDefault="006D6C71" w:rsidP="0043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70C05" w14:textId="77777777" w:rsidR="006D6C71" w:rsidRDefault="006D6C71" w:rsidP="00437FB2">
      <w:pPr>
        <w:spacing w:after="0" w:line="240" w:lineRule="auto"/>
      </w:pPr>
      <w:r>
        <w:separator/>
      </w:r>
    </w:p>
  </w:footnote>
  <w:footnote w:type="continuationSeparator" w:id="0">
    <w:p w14:paraId="0246C3C6" w14:textId="77777777" w:rsidR="006D6C71" w:rsidRDefault="006D6C71" w:rsidP="00437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13E9B"/>
    <w:multiLevelType w:val="hybridMultilevel"/>
    <w:tmpl w:val="FAE258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B2"/>
    <w:rsid w:val="0022189F"/>
    <w:rsid w:val="00437FB2"/>
    <w:rsid w:val="00555672"/>
    <w:rsid w:val="006D6C71"/>
    <w:rsid w:val="00A0325F"/>
    <w:rsid w:val="00BB75EF"/>
    <w:rsid w:val="00CE06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A836"/>
  <w15:chartTrackingRefBased/>
  <w15:docId w15:val="{F497EE9A-3978-4606-95C6-EE2661A1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37FB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7FB2"/>
  </w:style>
  <w:style w:type="paragraph" w:styleId="Piedepgina">
    <w:name w:val="footer"/>
    <w:basedOn w:val="Normal"/>
    <w:link w:val="PiedepginaCar"/>
    <w:uiPriority w:val="99"/>
    <w:unhideWhenUsed/>
    <w:rsid w:val="00437FB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7FB2"/>
  </w:style>
  <w:style w:type="character" w:styleId="Hipervnculo">
    <w:name w:val="Hyperlink"/>
    <w:basedOn w:val="Fuentedeprrafopredeter"/>
    <w:uiPriority w:val="99"/>
    <w:unhideWhenUsed/>
    <w:rsid w:val="00555672"/>
    <w:rPr>
      <w:color w:val="0563C1" w:themeColor="hyperlink"/>
      <w:u w:val="single"/>
    </w:rPr>
  </w:style>
  <w:style w:type="character" w:styleId="Mencinsinresolver">
    <w:name w:val="Unresolved Mention"/>
    <w:basedOn w:val="Fuentedeprrafopredeter"/>
    <w:uiPriority w:val="99"/>
    <w:semiHidden/>
    <w:unhideWhenUsed/>
    <w:rsid w:val="00555672"/>
    <w:rPr>
      <w:color w:val="605E5C"/>
      <w:shd w:val="clear" w:color="auto" w:fill="E1DFDD"/>
    </w:rPr>
  </w:style>
  <w:style w:type="paragraph" w:styleId="Prrafodelista">
    <w:name w:val="List Paragraph"/>
    <w:basedOn w:val="Normal"/>
    <w:uiPriority w:val="34"/>
    <w:qFormat/>
    <w:rsid w:val="00CE0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09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ido.bce.fin.ec/home1/estadisticas/bolmensual/IEMensual.j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conomipedia.com/definiciones/producto-interior-bruto-pib.html" TargetMode="External"/><Relationship Id="rId4" Type="http://schemas.openxmlformats.org/officeDocument/2006/relationships/webSettings" Target="webSettings.xml"/><Relationship Id="rId9" Type="http://schemas.openxmlformats.org/officeDocument/2006/relationships/hyperlink" Target="https://contenido.bce.fin.ec/home1/estadisticas/bolmensual/IEMensual.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2</cp:revision>
  <dcterms:created xsi:type="dcterms:W3CDTF">2021-02-04T16:40:00Z</dcterms:created>
  <dcterms:modified xsi:type="dcterms:W3CDTF">2021-02-04T20:04:00Z</dcterms:modified>
</cp:coreProperties>
</file>