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DentalCare</w:t>
      </w:r>
      <w:r>
        <w:t xml:space="preserve"> </w:t>
      </w:r>
      <w:r>
        <w:t xml:space="preserve">Pro</w:t>
      </w:r>
      <w:r>
        <w:t xml:space="preserve"> </w:t>
      </w:r>
      <w:r>
        <w:t xml:space="preserve">—</w:t>
      </w:r>
      <w:r>
        <w:t xml:space="preserve"> </w:t>
      </w:r>
      <w:r>
        <w:t xml:space="preserve">Guida</w:t>
      </w:r>
      <w:r>
        <w:t xml:space="preserve"> </w:t>
      </w:r>
      <w:r>
        <w:t xml:space="preserve">approfondita</w:t>
      </w:r>
      <w:r>
        <w:t xml:space="preserve"> </w:t>
      </w:r>
      <w:r>
        <w:t xml:space="preserve">alla</w:t>
      </w:r>
      <w:r>
        <w:t xml:space="preserve"> </w:t>
      </w:r>
      <w:r>
        <w:t xml:space="preserve">digitalizzazione</w:t>
      </w:r>
      <w:r>
        <w:t xml:space="preserve"> </w:t>
      </w:r>
      <w:r>
        <w:t xml:space="preserve">della</w:t>
      </w:r>
      <w:r>
        <w:t xml:space="preserve"> </w:t>
      </w:r>
      <w:r>
        <w:t xml:space="preserve">cartella</w:t>
      </w:r>
      <w:r>
        <w:t xml:space="preserve"> </w:t>
      </w:r>
      <w:r>
        <w:t xml:space="preserve">clinica</w:t>
      </w:r>
      <w:r>
        <w:t xml:space="preserve"> </w:t>
      </w:r>
      <w:r>
        <w:t xml:space="preserve">del</w:t>
      </w:r>
      <w:r>
        <w:t xml:space="preserve"> </w:t>
      </w:r>
      <w:r>
        <w:t xml:space="preserve">paziente</w:t>
      </w:r>
      <w:r>
        <w:t xml:space="preserve"> </w:t>
      </w:r>
      <w:r>
        <w:t xml:space="preserve">dentale</w:t>
      </w:r>
    </w:p>
    <w:p>
      <w:pPr>
        <w:pStyle w:val="Author"/>
      </w:pPr>
      <w:r>
        <w:t xml:space="preserve">Documento</w:t>
      </w:r>
      <w:r>
        <w:t xml:space="preserve"> </w:t>
      </w:r>
      <w:r>
        <w:t xml:space="preserve">operativo</w:t>
      </w:r>
      <w:r>
        <w:t xml:space="preserve"> </w:t>
      </w:r>
      <w:r>
        <w:t xml:space="preserve">e</w:t>
      </w:r>
      <w:r>
        <w:t xml:space="preserve"> </w:t>
      </w:r>
      <w:r>
        <w:t xml:space="preserve">architetturale</w:t>
      </w:r>
    </w:p>
    <w:p>
      <w:pPr>
        <w:pStyle w:val="Date"/>
      </w:pPr>
      <w:r>
        <w:t xml:space="preserve">16</w:t>
      </w:r>
      <w:r>
        <w:t xml:space="preserve"> </w:t>
      </w:r>
      <w:r>
        <w:t xml:space="preserve">luglio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Indice dei contenuti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remessa"/>
    <w:p>
      <w:pPr>
        <w:pStyle w:val="Heading1"/>
      </w:pPr>
      <w:r>
        <w:t xml:space="preserve">Premessa</w:t>
      </w:r>
    </w:p>
    <w:p>
      <w:pPr>
        <w:pStyle w:val="FirstParagraph"/>
      </w:pPr>
      <w:r>
        <w:t xml:space="preserve">La digitalizzazione della cartella clinica odontoiatrica non consiste nel trasferire moduli cartacei in PDF o nel sostituire una penna con una schermata. Consiste nel riprogettare l'intero ciclo di vita dell'informazione clinica affinché ogni dato sia</w:t>
      </w:r>
      <w:r>
        <w:t xml:space="preserve"> </w:t>
      </w:r>
      <w:r>
        <w:rPr>
          <w:b/>
          <w:bCs/>
        </w:rPr>
        <w:t xml:space="preserve">corretto, attribuibile, aggiornato, consultabile, protetto, interoperabile e conservato nel tempo</w:t>
      </w:r>
      <w:r>
        <w:t xml:space="preserve">.</w:t>
      </w:r>
    </w:p>
    <w:p>
      <w:pPr>
        <w:pStyle w:val="BodyText"/>
      </w:pPr>
      <w:r>
        <w:t xml:space="preserve">Per DentalCare Pro la cartella clinica digitale deve diventare il nucleo clinico della piattaforma, separato ma integrato con agenda, segreteria, documenti, immagini, pagamenti, assistente virtuale e moduli di intelligenza artificiale. Il sistema deve aiutare l'odontoiatra a documentare la cura senza trasformarsi in un ostacolo operativo e deve impedire che utenti amministrativi, fornitori o altri tenant accedano a informazioni cliniche non necessarie.</w:t>
      </w:r>
    </w:p>
    <w:p>
      <w:pPr>
        <w:pStyle w:val="BodyText"/>
      </w:pPr>
      <w:r>
        <w:t xml:space="preserve">Questa guida è pensata per:</w:t>
      </w:r>
    </w:p>
    <w:p>
      <w:pPr>
        <w:pStyle w:val="Compact"/>
        <w:numPr>
          <w:ilvl w:val="0"/>
          <w:numId w:val="1001"/>
        </w:numPr>
      </w:pPr>
      <w:r>
        <w:t xml:space="preserve">studi odontoiatrici singoli e associati;</w:t>
      </w:r>
    </w:p>
    <w:p>
      <w:pPr>
        <w:pStyle w:val="Compact"/>
        <w:numPr>
          <w:ilvl w:val="0"/>
          <w:numId w:val="1001"/>
        </w:numPr>
      </w:pPr>
      <w:r>
        <w:t xml:space="preserve">poliambulatori e reti di cliniche;</w:t>
      </w:r>
    </w:p>
    <w:p>
      <w:pPr>
        <w:pStyle w:val="Compact"/>
        <w:numPr>
          <w:ilvl w:val="0"/>
          <w:numId w:val="1001"/>
        </w:numPr>
      </w:pPr>
      <w:r>
        <w:t xml:space="preserve">strutture sanitarie private accreditate;</w:t>
      </w:r>
    </w:p>
    <w:p>
      <w:pPr>
        <w:pStyle w:val="Compact"/>
        <w:numPr>
          <w:ilvl w:val="0"/>
          <w:numId w:val="1001"/>
        </w:numPr>
      </w:pPr>
      <w:r>
        <w:t xml:space="preserve">responsabili clinici, DPO, responsabili qualità e sicurezza;</w:t>
      </w:r>
    </w:p>
    <w:p>
      <w:pPr>
        <w:pStyle w:val="Compact"/>
        <w:numPr>
          <w:ilvl w:val="0"/>
          <w:numId w:val="1001"/>
        </w:numPr>
      </w:pPr>
      <w:r>
        <w:t xml:space="preserve">product manager, analisti, sviluppatori e tester di DentalCare Pro.</w:t>
      </w:r>
    </w:p>
    <w:p>
      <w:pPr>
        <w:pStyle w:val="FirstParagraph"/>
      </w:pPr>
      <w:r>
        <w:t xml:space="preserve">Il documento propone un modello implementativo italiano ed europeo, coerente con GDPR, Codice dell'amministrazione digitale, linee guida AgID sui documenti informatici, disciplina FSE 2.0, standard DICOM e HL7 FHIR. Le indicazioni normative devono essere verificate sul caso concreto con DPO e consulente legale, soprattutto per conservazione, firma, integrazione regionale, ricerca e riuso dei dati.</w:t>
      </w:r>
    </w:p>
    <w:bookmarkStart w:id="20" w:name="risultato-atteso"/>
    <w:p>
      <w:pPr>
        <w:pStyle w:val="Heading2"/>
      </w:pPr>
      <w:r>
        <w:t xml:space="preserve">Risultato atteso</w:t>
      </w:r>
    </w:p>
    <w:p>
      <w:pPr>
        <w:pStyle w:val="FirstParagraph"/>
      </w:pPr>
      <w:r>
        <w:t xml:space="preserve">Al termine del progetto, DentalCare dovrà consentire di:</w:t>
      </w:r>
    </w:p>
    <w:p>
      <w:pPr>
        <w:pStyle w:val="Compact"/>
        <w:numPr>
          <w:ilvl w:val="0"/>
          <w:numId w:val="1002"/>
        </w:numPr>
      </w:pPr>
      <w:r>
        <w:t xml:space="preserve">identificare con certezza paziente, professionista, struttura e episodio di cura;</w:t>
      </w:r>
    </w:p>
    <w:p>
      <w:pPr>
        <w:pStyle w:val="Compact"/>
        <w:numPr>
          <w:ilvl w:val="0"/>
          <w:numId w:val="1002"/>
        </w:numPr>
      </w:pPr>
      <w:r>
        <w:t xml:space="preserve">raccogliere anamnesi, esame obiettivo, odontogramma, diagnosi, piano di trattamento, procedure e follow-up in forma strutturata;</w:t>
      </w:r>
    </w:p>
    <w:p>
      <w:pPr>
        <w:pStyle w:val="Compact"/>
        <w:numPr>
          <w:ilvl w:val="0"/>
          <w:numId w:val="1002"/>
        </w:numPr>
      </w:pPr>
      <w:r>
        <w:t xml:space="preserve">collegare fotografie, radiografie, DICOM, referti, consensi e prescrizioni al corretto episodio clinico;</w:t>
      </w:r>
    </w:p>
    <w:p>
      <w:pPr>
        <w:pStyle w:val="Compact"/>
        <w:numPr>
          <w:ilvl w:val="0"/>
          <w:numId w:val="1002"/>
        </w:numPr>
      </w:pPr>
      <w:r>
        <w:t xml:space="preserve">mantenere la storia completa delle modifiche senza sovrascrivere il passato;</w:t>
      </w:r>
    </w:p>
    <w:p>
      <w:pPr>
        <w:pStyle w:val="Compact"/>
        <w:numPr>
          <w:ilvl w:val="0"/>
          <w:numId w:val="1002"/>
        </w:numPr>
      </w:pPr>
      <w:r>
        <w:t xml:space="preserve">applicare firme, validazioni e conservazione dove necessario;</w:t>
      </w:r>
    </w:p>
    <w:p>
      <w:pPr>
        <w:pStyle w:val="Compact"/>
        <w:numPr>
          <w:ilvl w:val="0"/>
          <w:numId w:val="1002"/>
        </w:numPr>
      </w:pPr>
      <w:r>
        <w:t xml:space="preserve">consentire accessi per ruolo, contesto e relazione di cura;</w:t>
      </w:r>
    </w:p>
    <w:p>
      <w:pPr>
        <w:pStyle w:val="Compact"/>
        <w:numPr>
          <w:ilvl w:val="0"/>
          <w:numId w:val="1002"/>
        </w:numPr>
      </w:pPr>
      <w:r>
        <w:t xml:space="preserve">produrre documenti leggibili dal paziente e dati interoperabili con altri sistemi;</w:t>
      </w:r>
    </w:p>
    <w:p>
      <w:pPr>
        <w:pStyle w:val="Compact"/>
        <w:numPr>
          <w:ilvl w:val="0"/>
          <w:numId w:val="1002"/>
        </w:numPr>
      </w:pPr>
      <w:r>
        <w:t xml:space="preserve">integrare moduli AI senza confondere l'output algoritmico con la decisione clinica;</w:t>
      </w:r>
    </w:p>
    <w:p>
      <w:pPr>
        <w:pStyle w:val="Compact"/>
        <w:numPr>
          <w:ilvl w:val="0"/>
          <w:numId w:val="1002"/>
        </w:numPr>
      </w:pPr>
      <w:r>
        <w:t xml:space="preserve">dimostrare a un controllo chi ha visto o modificato cosa, quando e perché;</w:t>
      </w:r>
    </w:p>
    <w:p>
      <w:pPr>
        <w:pStyle w:val="Compact"/>
        <w:numPr>
          <w:ilvl w:val="0"/>
          <w:numId w:val="1002"/>
        </w:numPr>
      </w:pPr>
      <w:r>
        <w:t xml:space="preserve">migrare dal cartaceo senza perdita di informazione o interruzione dell'attività.</w:t>
      </w:r>
    </w:p>
    <w:bookmarkEnd w:id="20"/>
    <w:bookmarkEnd w:id="21"/>
    <w:bookmarkStart w:id="26" w:name="X1e8177f74530e8dac9aa6c6f69b4bc08ddbd7db"/>
    <w:p>
      <w:pPr>
        <w:pStyle w:val="Heading1"/>
      </w:pPr>
      <w:r>
        <w:t xml:space="preserve">1. Concetti da non confondere</w:t>
      </w:r>
    </w:p>
    <w:bookmarkStart w:id="22" w:name="Xe8f2b4cdd031c1069872b0b364ef5dfb5e5efd0"/>
    <w:p>
      <w:pPr>
        <w:pStyle w:val="Heading2"/>
      </w:pPr>
      <w:r>
        <w:t xml:space="preserve">1.1 Cartella clinica odontoiatrica</w:t>
      </w:r>
    </w:p>
    <w:p>
      <w:pPr>
        <w:pStyle w:val="FirstParagraph"/>
      </w:pPr>
      <w:r>
        <w:t xml:space="preserve">È l'insieme organizzato delle informazioni generate e utilizzate per la cura del singolo paziente: anamnesi, riscontri clinici, diagnosi, piani, procedure, prescrizioni, consensi, immagini, referti, follow-up e comunicazioni clinicamente rilevanti.</w:t>
      </w:r>
    </w:p>
    <w:p>
      <w:pPr>
        <w:pStyle w:val="BodyText"/>
      </w:pPr>
      <w:r>
        <w:t xml:space="preserve">In DentalCare la cartella non deve essere un unico file. Deve essere un</w:t>
      </w:r>
      <w:r>
        <w:t xml:space="preserve"> </w:t>
      </w:r>
      <w:r>
        <w:rPr>
          <w:b/>
          <w:bCs/>
        </w:rPr>
        <w:t xml:space="preserve">insieme coerente di eventi e documenti</w:t>
      </w:r>
      <w:r>
        <w:t xml:space="preserve">, collegati fra loro e ricostruibili nel tempo.</w:t>
      </w:r>
    </w:p>
    <w:bookmarkEnd w:id="22"/>
    <w:bookmarkStart w:id="23" w:name="X410364c565f051e730b744bd90c04802c2873f1"/>
    <w:p>
      <w:pPr>
        <w:pStyle w:val="Heading2"/>
      </w:pPr>
      <w:r>
        <w:t xml:space="preserve">1.2 Dossier sanitario</w:t>
      </w:r>
    </w:p>
    <w:p>
      <w:pPr>
        <w:pStyle w:val="FirstParagraph"/>
      </w:pPr>
      <w:r>
        <w:t xml:space="preserve">Il dossier sanitario è un trattamento longitudinale effettuato all'interno di un organismo sanitario per rendere disponibili a più professionisti informazioni provenienti da eventi clinici differenti. Non coincide automaticamente con la cartella del singolo episodio e non deve essere creato implicitamente unendo dati di studi o strutture diverse. Il Garante ha più volte sottolineato la specificità del dossier e la necessità di controlli sugli accessi [R2][R3].</w:t>
      </w:r>
    </w:p>
    <w:p>
      <w:pPr>
        <w:pStyle w:val="BodyText"/>
      </w:pPr>
      <w:r>
        <w:t xml:space="preserve">Per DentalCare significa che:</w:t>
      </w:r>
    </w:p>
    <w:p>
      <w:pPr>
        <w:pStyle w:val="Compact"/>
        <w:numPr>
          <w:ilvl w:val="0"/>
          <w:numId w:val="1003"/>
        </w:numPr>
      </w:pPr>
      <w:r>
        <w:t xml:space="preserve">ogni tenant deve essere isolato;</w:t>
      </w:r>
    </w:p>
    <w:p>
      <w:pPr>
        <w:pStyle w:val="Compact"/>
        <w:numPr>
          <w:ilvl w:val="0"/>
          <w:numId w:val="1003"/>
        </w:numPr>
      </w:pPr>
      <w:r>
        <w:t xml:space="preserve">la condivisione tra sedi della stessa organizzazione deve essere configurata e documentata;</w:t>
      </w:r>
    </w:p>
    <w:p>
      <w:pPr>
        <w:pStyle w:val="Compact"/>
        <w:numPr>
          <w:ilvl w:val="0"/>
          <w:numId w:val="1003"/>
        </w:numPr>
      </w:pPr>
      <w:r>
        <w:t xml:space="preserve">la condivisione tra organizzazioni distinte richiede un fondamento giuridico e un modello di responsabilità specifico;</w:t>
      </w:r>
    </w:p>
    <w:p>
      <w:pPr>
        <w:pStyle w:val="Compact"/>
        <w:numPr>
          <w:ilvl w:val="0"/>
          <w:numId w:val="1003"/>
        </w:numPr>
      </w:pPr>
      <w:r>
        <w:t xml:space="preserve">il paziente deve poter ottenere, nei casi previsti, informazioni sugli accessi effettuati al proprio dossier.</w:t>
      </w:r>
    </w:p>
    <w:bookmarkEnd w:id="23"/>
    <w:bookmarkStart w:id="24" w:name="Xd822508b80ec374e2bcb199d8bd3110120ad71e"/>
    <w:p>
      <w:pPr>
        <w:pStyle w:val="Heading2"/>
      </w:pPr>
      <w:r>
        <w:t xml:space="preserve">1.3 Fascicolo Sanitario Elettronico</w:t>
      </w:r>
    </w:p>
    <w:p>
      <w:pPr>
        <w:pStyle w:val="FirstParagraph"/>
      </w:pPr>
      <w:r>
        <w:t xml:space="preserve">Il FSE è l'infrastruttura pubblica nazionale e regionale che raccoglie dati e documenti sanitari generati da eventi clinici presenti e trascorsi. È distinto dalla cartella interna dello studio. Il decreto FSE 2.0 del 7 settembre 2023, successivamente modificato, disciplina il quadro nazionale [R5].</w:t>
      </w:r>
    </w:p>
    <w:p>
      <w:pPr>
        <w:pStyle w:val="BodyText"/>
      </w:pPr>
      <w:r>
        <w:t xml:space="preserve">La progettazione corretta è quindi:</w:t>
      </w:r>
    </w:p>
    <w:p>
      <w:pPr>
        <w:pStyle w:val="SourceCode"/>
      </w:pPr>
      <w:r>
        <w:rPr>
          <w:rStyle w:val="VerbatimChar"/>
        </w:rPr>
        <w:t xml:space="preserve">Cartella DentalCare (sorgente clinica interna)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| genera documenti clinici validati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Modulo di interoperabilità / connettore regionale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| CDA2 + PDF/PAdES + metadati + API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Gateway e infrastrutture FSE 2.0</w:t>
      </w:r>
    </w:p>
    <w:p>
      <w:pPr>
        <w:pStyle w:val="FirstParagraph"/>
      </w:pPr>
      <w:r>
        <w:t xml:space="preserve">Non si deve modellare tutta la cartella come se fosse un documento FSE. La cartella interna deve rimanere più ricca e strutturata; solo i documenti previsti e appropriati vengono prodotti e trasmessi verso l'esterno.</w:t>
      </w:r>
    </w:p>
    <w:bookmarkEnd w:id="24"/>
    <w:bookmarkStart w:id="25" w:name="Xc992a833e6608764b6fe0c8cbc770ef7ffd46d0"/>
    <w:p>
      <w:pPr>
        <w:pStyle w:val="Heading2"/>
      </w:pPr>
      <w:r>
        <w:t xml:space="preserve">1.4 Archivio documentale e conservazione digitale</w:t>
      </w:r>
    </w:p>
    <w:p>
      <w:pPr>
        <w:pStyle w:val="FirstParagraph"/>
      </w:pPr>
      <w:r>
        <w:t xml:space="preserve">Un archivio di file o un bucket MinIO non equivale a un sistema di conservazione a norma. Il backup serve a ripristinare dati dopo un guasto; la conservazione digitale serve a mantenere nel tempo autenticità, integrità, leggibilità, reperibilità e valore probatorio dei documenti informatici secondo il quadro applicabile [R7][R8][R9].</w:t>
      </w:r>
    </w:p>
    <w:p>
      <w:pPr>
        <w:pStyle w:val="BodyText"/>
      </w:pPr>
      <w:r>
        <w:t xml:space="preserve">DentalCare deve quindi distinguere: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 operativo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object storage clinico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backup e disaster recovery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archivio dei documenti finalizzati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servizio di conservazione</w:t>
      </w:r>
      <w:r>
        <w:t xml:space="preserve">, quando richiesto dalla politica documentale e dalla natura del documento.</w:t>
      </w:r>
    </w:p>
    <w:bookmarkEnd w:id="25"/>
    <w:bookmarkEnd w:id="26"/>
    <w:bookmarkStart w:id="33" w:name="Xec6d0e9d92ebb61ee7d54798d5612c5882d2be9"/>
    <w:p>
      <w:pPr>
        <w:pStyle w:val="Heading1"/>
      </w:pPr>
      <w:r>
        <w:t xml:space="preserve">2. Principi progettuali</w:t>
      </w:r>
    </w:p>
    <w:bookmarkStart w:id="27" w:name="X1274df2326d13d17cf3a28fbc0ef591ca12f964"/>
    <w:p>
      <w:pPr>
        <w:pStyle w:val="Heading2"/>
      </w:pPr>
      <w:r>
        <w:t xml:space="preserve">2.1 Clinical first</w:t>
      </w:r>
    </w:p>
    <w:p>
      <w:pPr>
        <w:pStyle w:val="FirstParagraph"/>
      </w:pPr>
      <w:r>
        <w:t xml:space="preserve">La struttura della cartella deve seguire il ragionamento clinico, non l'organigramma del software. Ogni schermata deve rispondere a una domanda reale:</w:t>
      </w:r>
    </w:p>
    <w:p>
      <w:pPr>
        <w:pStyle w:val="Compact"/>
        <w:numPr>
          <w:ilvl w:val="0"/>
          <w:numId w:val="1005"/>
        </w:numPr>
      </w:pPr>
      <w:r>
        <w:t xml:space="preserve">chi è il paziente e qual è il contesto di cura?</w:t>
      </w:r>
    </w:p>
    <w:p>
      <w:pPr>
        <w:pStyle w:val="Compact"/>
        <w:numPr>
          <w:ilvl w:val="0"/>
          <w:numId w:val="1005"/>
        </w:numPr>
      </w:pPr>
      <w:r>
        <w:t xml:space="preserve">quali rischi devo conoscere prima di intervenire?</w:t>
      </w:r>
    </w:p>
    <w:p>
      <w:pPr>
        <w:pStyle w:val="Compact"/>
        <w:numPr>
          <w:ilvl w:val="0"/>
          <w:numId w:val="1005"/>
        </w:numPr>
      </w:pPr>
      <w:r>
        <w:t xml:space="preserve">che cosa ho osservato?</w:t>
      </w:r>
    </w:p>
    <w:p>
      <w:pPr>
        <w:pStyle w:val="Compact"/>
        <w:numPr>
          <w:ilvl w:val="0"/>
          <w:numId w:val="1005"/>
        </w:numPr>
      </w:pPr>
      <w:r>
        <w:t xml:space="preserve">quale problema ho identificato?</w:t>
      </w:r>
    </w:p>
    <w:p>
      <w:pPr>
        <w:pStyle w:val="Compact"/>
        <w:numPr>
          <w:ilvl w:val="0"/>
          <w:numId w:val="1005"/>
        </w:numPr>
      </w:pPr>
      <w:r>
        <w:t xml:space="preserve">quali alternative ho discusso?</w:t>
      </w:r>
    </w:p>
    <w:p>
      <w:pPr>
        <w:pStyle w:val="Compact"/>
        <w:numPr>
          <w:ilvl w:val="0"/>
          <w:numId w:val="1005"/>
        </w:numPr>
      </w:pPr>
      <w:r>
        <w:t xml:space="preserve">quale trattamento è stato pianificato e quale eseguito?</w:t>
      </w:r>
    </w:p>
    <w:p>
      <w:pPr>
        <w:pStyle w:val="Compact"/>
        <w:numPr>
          <w:ilvl w:val="0"/>
          <w:numId w:val="1005"/>
        </w:numPr>
      </w:pPr>
      <w:r>
        <w:t xml:space="preserve">come è cambiata la situazione nel tempo?</w:t>
      </w:r>
    </w:p>
    <w:bookmarkEnd w:id="27"/>
    <w:bookmarkStart w:id="28" w:name="Xc1530d64010b7a59c0887dca1c3fdc0630b5c29"/>
    <w:p>
      <w:pPr>
        <w:pStyle w:val="Heading2"/>
      </w:pPr>
      <w:r>
        <w:t xml:space="preserve">2.2 Dato strutturato più documento leggibile</w:t>
      </w:r>
    </w:p>
    <w:p>
      <w:pPr>
        <w:pStyle w:val="FirstParagraph"/>
      </w:pPr>
      <w:r>
        <w:t xml:space="preserve">Occorrono entrambe le rappresentazioni:</w:t>
      </w:r>
    </w:p>
    <w:p>
      <w:pPr>
        <w:pStyle w:val="Compact"/>
        <w:numPr>
          <w:ilvl w:val="0"/>
          <w:numId w:val="1006"/>
        </w:numPr>
      </w:pPr>
      <w:r>
        <w:t xml:space="preserve">dati strutturati per ricerca, alert, interoperabilità, analisi e AI;</w:t>
      </w:r>
    </w:p>
    <w:p>
      <w:pPr>
        <w:pStyle w:val="Compact"/>
        <w:numPr>
          <w:ilvl w:val="0"/>
          <w:numId w:val="1006"/>
        </w:numPr>
      </w:pPr>
      <w:r>
        <w:t xml:space="preserve">documenti leggibili per comunicazione, firma, consegna e conservazione.</w:t>
      </w:r>
    </w:p>
    <w:p>
      <w:pPr>
        <w:pStyle w:val="FirstParagraph"/>
      </w:pPr>
      <w:r>
        <w:t xml:space="preserve">Un PDF senza struttura non consente una buona continuità clinica; un database senza documento finalizzato può essere difficile da consegnare, firmare e conservare.</w:t>
      </w:r>
    </w:p>
    <w:bookmarkEnd w:id="28"/>
    <w:bookmarkStart w:id="29" w:name="X7a9dcc04c260220934948eb44eee2f883201b45"/>
    <w:p>
      <w:pPr>
        <w:pStyle w:val="Heading2"/>
      </w:pPr>
      <w:r>
        <w:t xml:space="preserve">2.3 Immutabilità logica</w:t>
      </w:r>
    </w:p>
    <w:p>
      <w:pPr>
        <w:pStyle w:val="FirstParagraph"/>
      </w:pPr>
      <w:r>
        <w:t xml:space="preserve">Una nota clinica finalizzata non va modificata silenziosamente. La correzione deve avvenire tramite:</w:t>
      </w:r>
    </w:p>
    <w:p>
      <w:pPr>
        <w:pStyle w:val="Compact"/>
        <w:numPr>
          <w:ilvl w:val="0"/>
          <w:numId w:val="1007"/>
        </w:numPr>
      </w:pPr>
      <w:r>
        <w:t xml:space="preserve">addendum;</w:t>
      </w:r>
    </w:p>
    <w:p>
      <w:pPr>
        <w:pStyle w:val="Compact"/>
        <w:numPr>
          <w:ilvl w:val="0"/>
          <w:numId w:val="1007"/>
        </w:numPr>
      </w:pPr>
      <w:r>
        <w:t xml:space="preserve">rettifica motivata;</w:t>
      </w:r>
    </w:p>
    <w:p>
      <w:pPr>
        <w:pStyle w:val="Compact"/>
        <w:numPr>
          <w:ilvl w:val="0"/>
          <w:numId w:val="1007"/>
        </w:numPr>
      </w:pPr>
      <w:r>
        <w:t xml:space="preserve">annullamento logico con conservazione dell'originale;</w:t>
      </w:r>
    </w:p>
    <w:p>
      <w:pPr>
        <w:pStyle w:val="Compact"/>
        <w:numPr>
          <w:ilvl w:val="0"/>
          <w:numId w:val="1007"/>
        </w:numPr>
      </w:pPr>
      <w:r>
        <w:t xml:space="preserve">nuova versione collegata alla precedente.</w:t>
      </w:r>
    </w:p>
    <w:p>
      <w:pPr>
        <w:pStyle w:val="FirstParagraph"/>
      </w:pPr>
      <w:r>
        <w:t xml:space="preserve">Il sistema deve mostrare chiaramente quale versione è clinicamente valida senza eliminare la storia.</w:t>
      </w:r>
    </w:p>
    <w:bookmarkEnd w:id="29"/>
    <w:bookmarkStart w:id="30" w:name="X75ba1a318fef174b37370c4b658270c1bb484b4"/>
    <w:p>
      <w:pPr>
        <w:pStyle w:val="Heading2"/>
      </w:pPr>
      <w:r>
        <w:t xml:space="preserve">2.4 Minimo privilegio e relazione di cura</w:t>
      </w:r>
    </w:p>
    <w:p>
      <w:pPr>
        <w:pStyle w:val="FirstParagraph"/>
      </w:pPr>
      <w:r>
        <w:t xml:space="preserve">La segreteria deve vedere dati anagrafici, contatti, appuntamenti e informazioni amministrative necessarie, ma non l'intera anamnesi o le note cliniche. L'odontoiatra deve accedere ai pazienti assegnati o per i quali esiste una relazione di cura. Gli amministratori tecnici non devono avere accesso ordinario ai contenuti clinici in chiaro.</w:t>
      </w:r>
    </w:p>
    <w:bookmarkEnd w:id="30"/>
    <w:bookmarkStart w:id="31" w:name="X7eb19f98aeaacf88773159bdc009568804a59ce"/>
    <w:p>
      <w:pPr>
        <w:pStyle w:val="Heading2"/>
      </w:pPr>
      <w:r>
        <w:t xml:space="preserve">2.5 Interoperabilità by design</w:t>
      </w:r>
    </w:p>
    <w:p>
      <w:pPr>
        <w:pStyle w:val="FirstParagraph"/>
      </w:pPr>
      <w:r>
        <w:t xml:space="preserve">I concetti clinici devono avere identificatori, codici e versioni. L'integrazione non va aggiunta al termine del progetto. Bisogna modellare fin dall'inizio:</w:t>
      </w:r>
    </w:p>
    <w:p>
      <w:pPr>
        <w:pStyle w:val="Compact"/>
        <w:numPr>
          <w:ilvl w:val="0"/>
          <w:numId w:val="1008"/>
        </w:numPr>
      </w:pPr>
      <w:r>
        <w:t xml:space="preserve">paziente;</w:t>
      </w:r>
    </w:p>
    <w:p>
      <w:pPr>
        <w:pStyle w:val="Compact"/>
        <w:numPr>
          <w:ilvl w:val="0"/>
          <w:numId w:val="1008"/>
        </w:numPr>
      </w:pPr>
      <w:r>
        <w:t xml:space="preserve">professionista e ruolo;</w:t>
      </w:r>
    </w:p>
    <w:p>
      <w:pPr>
        <w:pStyle w:val="Compact"/>
        <w:numPr>
          <w:ilvl w:val="0"/>
          <w:numId w:val="1008"/>
        </w:numPr>
      </w:pPr>
      <w:r>
        <w:t xml:space="preserve">organizzazione e sede;</w:t>
      </w:r>
    </w:p>
    <w:p>
      <w:pPr>
        <w:pStyle w:val="Compact"/>
        <w:numPr>
          <w:ilvl w:val="0"/>
          <w:numId w:val="1008"/>
        </w:numPr>
      </w:pPr>
      <w:r>
        <w:t xml:space="preserve">episodio/encounter;</w:t>
      </w:r>
    </w:p>
    <w:p>
      <w:pPr>
        <w:pStyle w:val="Compact"/>
        <w:numPr>
          <w:ilvl w:val="0"/>
          <w:numId w:val="1008"/>
        </w:numPr>
      </w:pPr>
      <w:r>
        <w:t xml:space="preserve">problema/diagnosi;</w:t>
      </w:r>
    </w:p>
    <w:p>
      <w:pPr>
        <w:pStyle w:val="Compact"/>
        <w:numPr>
          <w:ilvl w:val="0"/>
          <w:numId w:val="1008"/>
        </w:numPr>
      </w:pPr>
      <w:r>
        <w:t xml:space="preserve">osservazione;</w:t>
      </w:r>
    </w:p>
    <w:p>
      <w:pPr>
        <w:pStyle w:val="Compact"/>
        <w:numPr>
          <w:ilvl w:val="0"/>
          <w:numId w:val="1008"/>
        </w:numPr>
      </w:pPr>
      <w:r>
        <w:t xml:space="preserve">procedura;</w:t>
      </w:r>
    </w:p>
    <w:p>
      <w:pPr>
        <w:pStyle w:val="Compact"/>
        <w:numPr>
          <w:ilvl w:val="0"/>
          <w:numId w:val="1008"/>
        </w:numPr>
      </w:pPr>
      <w:r>
        <w:t xml:space="preserve">piano di cura;</w:t>
      </w:r>
    </w:p>
    <w:p>
      <w:pPr>
        <w:pStyle w:val="Compact"/>
        <w:numPr>
          <w:ilvl w:val="0"/>
          <w:numId w:val="1008"/>
        </w:numPr>
      </w:pPr>
      <w:r>
        <w:t xml:space="preserve">immagine e referto;</w:t>
      </w:r>
    </w:p>
    <w:p>
      <w:pPr>
        <w:pStyle w:val="Compact"/>
        <w:numPr>
          <w:ilvl w:val="0"/>
          <w:numId w:val="1008"/>
        </w:numPr>
      </w:pPr>
      <w:r>
        <w:t xml:space="preserve">consenso;</w:t>
      </w:r>
    </w:p>
    <w:p>
      <w:pPr>
        <w:pStyle w:val="Compact"/>
        <w:numPr>
          <w:ilvl w:val="0"/>
          <w:numId w:val="1008"/>
        </w:numPr>
      </w:pPr>
      <w:r>
        <w:t xml:space="preserve">provenienza e audit.</w:t>
      </w:r>
    </w:p>
    <w:p>
      <w:pPr>
        <w:pStyle w:val="FirstParagraph"/>
      </w:pPr>
      <w:r>
        <w:t xml:space="preserve">FHIR è uno standard per lo scambio elettronico di informazioni sanitarie [R11]; DICOM è lo standard internazionale per immagini mediche e informazioni correlate [R12]. Le specifiche nazionali FSE 2.0 utilizzano documenti CDA2 validati sintatticamente, semanticamente e terminologicamente, con processi di accreditamento e firma PAdES documentati dal Ministero della salute [R6].</w:t>
      </w:r>
    </w:p>
    <w:bookmarkEnd w:id="31"/>
    <w:bookmarkStart w:id="32" w:name="X76d2ebdadeca569149ad7973acf1313b4ecd4c9"/>
    <w:p>
      <w:pPr>
        <w:pStyle w:val="Heading2"/>
      </w:pPr>
      <w:r>
        <w:t xml:space="preserve">2.6 Privacy e sicurezza per impostazione predefinita</w:t>
      </w:r>
    </w:p>
    <w:p>
      <w:pPr>
        <w:pStyle w:val="FirstParagraph"/>
      </w:pPr>
      <w:r>
        <w:t xml:space="preserve">La protezione dei dati sanitari deve essere incorporata nell'architettura, come richiesto dal GDPR [R1]. Non è sufficiente aggiungere un'informativa privacy dopo lo sviluppo.</w:t>
      </w:r>
    </w:p>
    <w:bookmarkEnd w:id="32"/>
    <w:bookmarkEnd w:id="33"/>
    <w:bookmarkStart w:id="37" w:name="X231251866c2f05f8d76974d972010f9abecd917"/>
    <w:p>
      <w:pPr>
        <w:pStyle w:val="Heading1"/>
      </w:pPr>
      <w:r>
        <w:t xml:space="preserve">3. Governance del progetto</w:t>
      </w:r>
    </w:p>
    <w:bookmarkStart w:id="34" w:name="Xbae4e468d17c698a08b983c0941c3855d881726"/>
    <w:p>
      <w:pPr>
        <w:pStyle w:val="Heading2"/>
      </w:pPr>
      <w:r>
        <w:t xml:space="preserve">3.1 Gruppo di lavoro minimo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Ruolo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Responsabilità principale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Sponsor/CEO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approva perimetro, risorse e rischio residuo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Responsabile clinico odontoiatrico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definisce contenuti, workflow e criteri di qualità clinica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Product owner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traduce bisogni in requisiti e priorità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DPO/Privacy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basi giuridiche, DPIA, informative, diritti, fornitori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Security officer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architettura, IAM, logging, incidenti, test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Responsabile qualità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procedure, evidenze, change control, audit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Architect/CTO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modello dati, integrazioni, scalabilità, segregazione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UX specialist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usabilità clinica e prevenzione degli errori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Data steward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terminologie, qualità, metadati, migrazione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Referente FSE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profili CDA, accreditamento, integrazione regionale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Referente AI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governance dei modelli e tracciabilità degli output</w:t>
            </w:r>
          </w:p>
        </w:tc>
      </w:tr>
    </w:tbl>
    <w:bookmarkEnd w:id="34"/>
    <w:bookmarkStart w:id="35" w:name="X6a23631d0a6da463cdbaaa534f1c82512a847f6"/>
    <w:p>
      <w:pPr>
        <w:pStyle w:val="Heading2"/>
      </w:pPr>
      <w:r>
        <w:t xml:space="preserve">3.2 Decisioni da formalizzare prima dello sviluppo</w:t>
      </w:r>
    </w:p>
    <w:p>
      <w:pPr>
        <w:pStyle w:val="Compact"/>
        <w:numPr>
          <w:ilvl w:val="0"/>
          <w:numId w:val="1009"/>
        </w:numPr>
      </w:pPr>
      <w:r>
        <w:t xml:space="preserve">perimetro esatto della cartella;</w:t>
      </w:r>
    </w:p>
    <w:p>
      <w:pPr>
        <w:pStyle w:val="Compact"/>
        <w:numPr>
          <w:ilvl w:val="0"/>
          <w:numId w:val="1009"/>
        </w:numPr>
      </w:pPr>
      <w:r>
        <w:t xml:space="preserve">tipologie di struttura servite;</w:t>
      </w:r>
    </w:p>
    <w:p>
      <w:pPr>
        <w:pStyle w:val="Compact"/>
        <w:numPr>
          <w:ilvl w:val="0"/>
          <w:numId w:val="1009"/>
        </w:numPr>
      </w:pPr>
      <w:r>
        <w:t xml:space="preserve">responsabilità di titolare e responsabile del trattamento;</w:t>
      </w:r>
    </w:p>
    <w:p>
      <w:pPr>
        <w:pStyle w:val="Compact"/>
        <w:numPr>
          <w:ilvl w:val="0"/>
          <w:numId w:val="1009"/>
        </w:numPr>
      </w:pPr>
      <w:r>
        <w:t xml:space="preserve">separazione tra funzioni amministrative e cliniche;</w:t>
      </w:r>
    </w:p>
    <w:p>
      <w:pPr>
        <w:pStyle w:val="Compact"/>
        <w:numPr>
          <w:ilvl w:val="0"/>
          <w:numId w:val="1009"/>
        </w:numPr>
      </w:pPr>
      <w:r>
        <w:t xml:space="preserve">modello di accesso per medico, segreteria, igienista, assistente, amministratore;</w:t>
      </w:r>
    </w:p>
    <w:p>
      <w:pPr>
        <w:pStyle w:val="Compact"/>
        <w:numPr>
          <w:ilvl w:val="0"/>
          <w:numId w:val="1009"/>
        </w:numPr>
      </w:pPr>
      <w:r>
        <w:t xml:space="preserve">politica di finalizzazione e firma;</w:t>
      </w:r>
    </w:p>
    <w:p>
      <w:pPr>
        <w:pStyle w:val="Compact"/>
        <w:numPr>
          <w:ilvl w:val="0"/>
          <w:numId w:val="1009"/>
        </w:numPr>
      </w:pPr>
      <w:r>
        <w:t xml:space="preserve">politica di conservazione per categoria documentale;</w:t>
      </w:r>
    </w:p>
    <w:p>
      <w:pPr>
        <w:pStyle w:val="Compact"/>
        <w:numPr>
          <w:ilvl w:val="0"/>
          <w:numId w:val="1009"/>
        </w:numPr>
      </w:pPr>
      <w:r>
        <w:t xml:space="preserve">modello multi-sede e multi-tenant;</w:t>
      </w:r>
    </w:p>
    <w:p>
      <w:pPr>
        <w:pStyle w:val="Compact"/>
        <w:numPr>
          <w:ilvl w:val="0"/>
          <w:numId w:val="1009"/>
        </w:numPr>
      </w:pPr>
      <w:r>
        <w:t xml:space="preserve">integrazioni obbligatorie;</w:t>
      </w:r>
    </w:p>
    <w:p>
      <w:pPr>
        <w:pStyle w:val="Compact"/>
        <w:numPr>
          <w:ilvl w:val="0"/>
          <w:numId w:val="1009"/>
        </w:numPr>
      </w:pPr>
      <w:r>
        <w:t xml:space="preserve">uso o esclusione dei dati per ricerca e training AI;</w:t>
      </w:r>
    </w:p>
    <w:p>
      <w:pPr>
        <w:pStyle w:val="Compact"/>
        <w:numPr>
          <w:ilvl w:val="0"/>
          <w:numId w:val="1009"/>
        </w:numPr>
      </w:pPr>
      <w:r>
        <w:t xml:space="preserve">criteri per la migrazione del pregresso;</w:t>
      </w:r>
    </w:p>
    <w:p>
      <w:pPr>
        <w:pStyle w:val="Compact"/>
        <w:numPr>
          <w:ilvl w:val="0"/>
          <w:numId w:val="1009"/>
        </w:numPr>
      </w:pPr>
      <w:r>
        <w:t xml:space="preserve">RPO, RTO e disponibilità attesa.</w:t>
      </w:r>
    </w:p>
    <w:bookmarkEnd w:id="35"/>
    <w:bookmarkStart w:id="36" w:name="X0c506bfd90b88bd3e9eede3f09a95c3eeaacd39"/>
    <w:p>
      <w:pPr>
        <w:pStyle w:val="Heading2"/>
      </w:pPr>
      <w:r>
        <w:t xml:space="preserve">3.3 Registro delle decisioni architetturali</w:t>
      </w:r>
    </w:p>
    <w:p>
      <w:pPr>
        <w:pStyle w:val="FirstParagraph"/>
      </w:pPr>
      <w:r>
        <w:t xml:space="preserve">Ogni scelta significativa deve essere registrata in un Architecture Decision Record, ad esempio:</w:t>
      </w:r>
    </w:p>
    <w:p>
      <w:pPr>
        <w:pStyle w:val="SourceCode"/>
      </w:pPr>
      <w:r>
        <w:rPr>
          <w:rStyle w:val="VerbatimChar"/>
        </w:rPr>
        <w:t xml:space="preserve">ADR-012 — Le note cliniche finalizzate sono append-only</w:t>
      </w:r>
      <w:r>
        <w:br/>
      </w:r>
      <w:r>
        <w:rPr>
          <w:rStyle w:val="VerbatimChar"/>
        </w:rPr>
        <w:t xml:space="preserve">Stato: approvato</w:t>
      </w:r>
      <w:r>
        <w:br/>
      </w:r>
      <w:r>
        <w:rPr>
          <w:rStyle w:val="VerbatimChar"/>
        </w:rPr>
        <w:t xml:space="preserve">Decisione: dopo la firma/validazione non è consentito UPDATE del contenuto.</w:t>
      </w:r>
      <w:r>
        <w:br/>
      </w:r>
      <w:r>
        <w:rPr>
          <w:rStyle w:val="VerbatimChar"/>
        </w:rPr>
        <w:t xml:space="preserve">Correzione: addendum collegato alla nota originaria.</w:t>
      </w:r>
      <w:r>
        <w:br/>
      </w:r>
      <w:r>
        <w:rPr>
          <w:rStyle w:val="VerbatimChar"/>
        </w:rPr>
        <w:t xml:space="preserve">Motivazione: integrità, tracciabilità, valore probatorio.</w:t>
      </w:r>
      <w:r>
        <w:br/>
      </w:r>
      <w:r>
        <w:rPr>
          <w:rStyle w:val="VerbatimChar"/>
        </w:rPr>
        <w:t xml:space="preserve">Conseguenze: necessità di UI per rettifica e versioni.</w:t>
      </w:r>
    </w:p>
    <w:bookmarkEnd w:id="36"/>
    <w:bookmarkEnd w:id="37"/>
    <w:bookmarkStart w:id="41" w:name="X83f7f471c79730b5411a92dc4b75f54ab161782"/>
    <w:p>
      <w:pPr>
        <w:pStyle w:val="Heading1"/>
      </w:pPr>
      <w:r>
        <w:t xml:space="preserve">4. Analisi dello stato iniziale</w:t>
      </w:r>
    </w:p>
    <w:p>
      <w:pPr>
        <w:pStyle w:val="FirstParagraph"/>
      </w:pPr>
      <w:r>
        <w:t xml:space="preserve">Prima di configurare il software occorre effettuare un censimento reale dello studio.</w:t>
      </w:r>
    </w:p>
    <w:bookmarkStart w:id="38" w:name="Xc455487b556f1adfa580277e2009fa5cf0c4cb5"/>
    <w:p>
      <w:pPr>
        <w:pStyle w:val="Heading2"/>
      </w:pPr>
      <w:r>
        <w:t xml:space="preserve">4.1 Inventario delle fonti</w:t>
      </w:r>
    </w:p>
    <w:p>
      <w:pPr>
        <w:pStyle w:val="Compact"/>
        <w:numPr>
          <w:ilvl w:val="0"/>
          <w:numId w:val="1010"/>
        </w:numPr>
      </w:pPr>
      <w:r>
        <w:t xml:space="preserve">cartelle cartacee;</w:t>
      </w:r>
    </w:p>
    <w:p>
      <w:pPr>
        <w:pStyle w:val="Compact"/>
        <w:numPr>
          <w:ilvl w:val="0"/>
          <w:numId w:val="1010"/>
        </w:numPr>
      </w:pPr>
      <w:r>
        <w:t xml:space="preserve">gestionali precedenti;</w:t>
      </w:r>
    </w:p>
    <w:p>
      <w:pPr>
        <w:pStyle w:val="Compact"/>
        <w:numPr>
          <w:ilvl w:val="0"/>
          <w:numId w:val="1010"/>
        </w:numPr>
      </w:pPr>
      <w:r>
        <w:t xml:space="preserve">fogli Excel;</w:t>
      </w:r>
    </w:p>
    <w:p>
      <w:pPr>
        <w:pStyle w:val="Compact"/>
        <w:numPr>
          <w:ilvl w:val="0"/>
          <w:numId w:val="1010"/>
        </w:numPr>
      </w:pPr>
      <w:r>
        <w:t xml:space="preserve">software radiologico;</w:t>
      </w:r>
    </w:p>
    <w:p>
      <w:pPr>
        <w:pStyle w:val="Compact"/>
        <w:numPr>
          <w:ilvl w:val="0"/>
          <w:numId w:val="1010"/>
        </w:numPr>
      </w:pPr>
      <w:r>
        <w:t xml:space="preserve">PACS o repository immagini;</w:t>
      </w:r>
    </w:p>
    <w:p>
      <w:pPr>
        <w:pStyle w:val="Compact"/>
        <w:numPr>
          <w:ilvl w:val="0"/>
          <w:numId w:val="1010"/>
        </w:numPr>
      </w:pPr>
      <w:r>
        <w:t xml:space="preserve">e-mail e PEC;</w:t>
      </w:r>
    </w:p>
    <w:p>
      <w:pPr>
        <w:pStyle w:val="Compact"/>
        <w:numPr>
          <w:ilvl w:val="0"/>
          <w:numId w:val="1010"/>
        </w:numPr>
      </w:pPr>
      <w:r>
        <w:t xml:space="preserve">messaggistica istantanea;</w:t>
      </w:r>
    </w:p>
    <w:p>
      <w:pPr>
        <w:pStyle w:val="Compact"/>
        <w:numPr>
          <w:ilvl w:val="0"/>
          <w:numId w:val="1010"/>
        </w:numPr>
      </w:pPr>
      <w:r>
        <w:t xml:space="preserve">moduli di consenso;</w:t>
      </w:r>
    </w:p>
    <w:p>
      <w:pPr>
        <w:pStyle w:val="Compact"/>
        <w:numPr>
          <w:ilvl w:val="0"/>
          <w:numId w:val="1010"/>
        </w:numPr>
      </w:pPr>
      <w:r>
        <w:t xml:space="preserve">preventivi;</w:t>
      </w:r>
    </w:p>
    <w:p>
      <w:pPr>
        <w:pStyle w:val="Compact"/>
        <w:numPr>
          <w:ilvl w:val="0"/>
          <w:numId w:val="1010"/>
        </w:numPr>
      </w:pPr>
      <w:r>
        <w:t xml:space="preserve">agenda;</w:t>
      </w:r>
    </w:p>
    <w:p>
      <w:pPr>
        <w:pStyle w:val="Compact"/>
        <w:numPr>
          <w:ilvl w:val="0"/>
          <w:numId w:val="1010"/>
        </w:numPr>
      </w:pPr>
      <w:r>
        <w:t xml:space="preserve">prescrizioni;</w:t>
      </w:r>
    </w:p>
    <w:p>
      <w:pPr>
        <w:pStyle w:val="Compact"/>
        <w:numPr>
          <w:ilvl w:val="0"/>
          <w:numId w:val="1010"/>
        </w:numPr>
      </w:pPr>
      <w:r>
        <w:t xml:space="preserve">referti di laboratorio;</w:t>
      </w:r>
    </w:p>
    <w:p>
      <w:pPr>
        <w:pStyle w:val="Compact"/>
        <w:numPr>
          <w:ilvl w:val="0"/>
          <w:numId w:val="1010"/>
        </w:numPr>
      </w:pPr>
      <w:r>
        <w:t xml:space="preserve">fotografie su PC o dispositivi mobili;</w:t>
      </w:r>
    </w:p>
    <w:p>
      <w:pPr>
        <w:pStyle w:val="Compact"/>
        <w:numPr>
          <w:ilvl w:val="0"/>
          <w:numId w:val="1010"/>
        </w:numPr>
      </w:pPr>
      <w:r>
        <w:t xml:space="preserve">modelli Word;</w:t>
      </w:r>
    </w:p>
    <w:p>
      <w:pPr>
        <w:pStyle w:val="Compact"/>
        <w:numPr>
          <w:ilvl w:val="0"/>
          <w:numId w:val="1010"/>
        </w:numPr>
      </w:pPr>
      <w:r>
        <w:t xml:space="preserve">archivi esterni;</w:t>
      </w:r>
    </w:p>
    <w:p>
      <w:pPr>
        <w:pStyle w:val="Compact"/>
        <w:numPr>
          <w:ilvl w:val="0"/>
          <w:numId w:val="1010"/>
        </w:numPr>
      </w:pPr>
      <w:r>
        <w:t xml:space="preserve">documenti già presenti nel FSE.</w:t>
      </w:r>
    </w:p>
    <w:bookmarkEnd w:id="38"/>
    <w:bookmarkStart w:id="39" w:name="Xa58921429044093b35386c1350777f87e229441"/>
    <w:p>
      <w:pPr>
        <w:pStyle w:val="Heading2"/>
      </w:pPr>
      <w:r>
        <w:t xml:space="preserve">4.2 Mappa dei processi</w:t>
      </w:r>
    </w:p>
    <w:p>
      <w:pPr>
        <w:pStyle w:val="FirstParagraph"/>
      </w:pPr>
      <w:r>
        <w:t xml:space="preserve">Per ogni processo rilevare:</w:t>
      </w:r>
    </w:p>
    <w:p>
      <w:pPr>
        <w:pStyle w:val="Compact"/>
        <w:numPr>
          <w:ilvl w:val="0"/>
          <w:numId w:val="1011"/>
        </w:numPr>
      </w:pPr>
      <w:r>
        <w:t xml:space="preserve">attore;</w:t>
      </w:r>
    </w:p>
    <w:p>
      <w:pPr>
        <w:pStyle w:val="Compact"/>
        <w:numPr>
          <w:ilvl w:val="0"/>
          <w:numId w:val="1011"/>
        </w:numPr>
      </w:pPr>
      <w:r>
        <w:t xml:space="preserve">input;</w:t>
      </w:r>
    </w:p>
    <w:p>
      <w:pPr>
        <w:pStyle w:val="Compact"/>
        <w:numPr>
          <w:ilvl w:val="0"/>
          <w:numId w:val="1011"/>
        </w:numPr>
      </w:pPr>
      <w:r>
        <w:t xml:space="preserve">attività;</w:t>
      </w:r>
    </w:p>
    <w:p>
      <w:pPr>
        <w:pStyle w:val="Compact"/>
        <w:numPr>
          <w:ilvl w:val="0"/>
          <w:numId w:val="1011"/>
        </w:numPr>
      </w:pPr>
      <w:r>
        <w:t xml:space="preserve">dato creato;</w:t>
      </w:r>
    </w:p>
    <w:p>
      <w:pPr>
        <w:pStyle w:val="Compact"/>
        <w:numPr>
          <w:ilvl w:val="0"/>
          <w:numId w:val="1011"/>
        </w:numPr>
      </w:pPr>
      <w:r>
        <w:t xml:space="preserve">documento prodotto;</w:t>
      </w:r>
    </w:p>
    <w:p>
      <w:pPr>
        <w:pStyle w:val="Compact"/>
        <w:numPr>
          <w:ilvl w:val="0"/>
          <w:numId w:val="1011"/>
        </w:numPr>
      </w:pPr>
      <w:r>
        <w:t xml:space="preserve">approvazione;</w:t>
      </w:r>
    </w:p>
    <w:p>
      <w:pPr>
        <w:pStyle w:val="Compact"/>
        <w:numPr>
          <w:ilvl w:val="0"/>
          <w:numId w:val="1011"/>
        </w:numPr>
      </w:pPr>
      <w:r>
        <w:t xml:space="preserve">consegna al paziente;</w:t>
      </w:r>
    </w:p>
    <w:p>
      <w:pPr>
        <w:pStyle w:val="Compact"/>
        <w:numPr>
          <w:ilvl w:val="0"/>
          <w:numId w:val="1011"/>
        </w:numPr>
      </w:pPr>
      <w:r>
        <w:t xml:space="preserve">conservazione;</w:t>
      </w:r>
    </w:p>
    <w:p>
      <w:pPr>
        <w:pStyle w:val="Compact"/>
        <w:numPr>
          <w:ilvl w:val="0"/>
          <w:numId w:val="1011"/>
        </w:numPr>
      </w:pPr>
      <w:r>
        <w:t xml:space="preserve">eccezioni;</w:t>
      </w:r>
    </w:p>
    <w:p>
      <w:pPr>
        <w:pStyle w:val="Compact"/>
        <w:numPr>
          <w:ilvl w:val="0"/>
          <w:numId w:val="1011"/>
        </w:numPr>
      </w:pPr>
      <w:r>
        <w:t xml:space="preserve">strumenti utilizzati;</w:t>
      </w:r>
    </w:p>
    <w:p>
      <w:pPr>
        <w:pStyle w:val="Compact"/>
        <w:numPr>
          <w:ilvl w:val="0"/>
          <w:numId w:val="1011"/>
        </w:numPr>
      </w:pPr>
      <w:r>
        <w:t xml:space="preserve">rischio di errore.</w:t>
      </w:r>
    </w:p>
    <w:bookmarkEnd w:id="39"/>
    <w:bookmarkStart w:id="40" w:name="Xb995ce736cc3abf7d5b5243d3e02af3922394ba"/>
    <w:p>
      <w:pPr>
        <w:pStyle w:val="Heading2"/>
      </w:pPr>
      <w:r>
        <w:t xml:space="preserve">4.3 Gap analysis</w:t>
      </w:r>
    </w:p>
    <w:p>
      <w:pPr>
        <w:pStyle w:val="FirstParagraph"/>
      </w:pPr>
      <w:r>
        <w:t xml:space="preserve">Classificare ogni lacuna: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Esempio di gap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Rischio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Identità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duplicati dello stesso paziente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associazione dati alla persona errata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Anamnesi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modulo non aggiornato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mancata conoscenza di terapia o allergia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Odontogramma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solo immagine statica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impossibilità di ricostruire evoluzione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Procedure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note libere incomplete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scarsa tracciabilità clinica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Immagini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file con nomi manuali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errore paziente/esame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Accessi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account condivisi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impossibilità di attribuire le azioni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Correzioni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sovrascrittura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perdita della storia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Backup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copia sullo stesso server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indisponibilità o perdita definitiva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Consensi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moduli non versionati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impossibilità di provare cosa è stato accettato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Integrazioni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esportazione manuale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errori e duplicazioni</w:t>
            </w:r>
          </w:p>
        </w:tc>
      </w:tr>
    </w:tbl>
    <w:bookmarkEnd w:id="40"/>
    <w:bookmarkEnd w:id="41"/>
    <w:bookmarkStart w:id="55" w:name="X00a9d519a766a4d363b986d2b52bc8e055f146f"/>
    <w:p>
      <w:pPr>
        <w:pStyle w:val="Heading1"/>
      </w:pPr>
      <w:r>
        <w:t xml:space="preserve">5. Modello clinico minimo della cartella dentale</w:t>
      </w:r>
    </w:p>
    <w:bookmarkStart w:id="42" w:name="Xa0dfee8aabb99bda2f77430b2095992ad38531b"/>
    <w:p>
      <w:pPr>
        <w:pStyle w:val="Heading2"/>
      </w:pPr>
      <w:r>
        <w:t xml:space="preserve">5.1 Identificazione del paziente</w:t>
      </w:r>
    </w:p>
    <w:p>
      <w:pPr>
        <w:pStyle w:val="FirstParagraph"/>
      </w:pPr>
      <w:r>
        <w:t xml:space="preserve">Campi raccomandati:</w:t>
      </w:r>
    </w:p>
    <w:p>
      <w:pPr>
        <w:pStyle w:val="Compact"/>
        <w:numPr>
          <w:ilvl w:val="0"/>
          <w:numId w:val="1012"/>
        </w:numPr>
      </w:pPr>
      <w:r>
        <w:t xml:space="preserve">identificatore interno UUID;</w:t>
      </w:r>
    </w:p>
    <w:p>
      <w:pPr>
        <w:pStyle w:val="Compact"/>
        <w:numPr>
          <w:ilvl w:val="0"/>
          <w:numId w:val="1012"/>
        </w:numPr>
      </w:pPr>
      <w:r>
        <w:t xml:space="preserve">codice fiscale, quando disponibile e pertinente;</w:t>
      </w:r>
    </w:p>
    <w:p>
      <w:pPr>
        <w:pStyle w:val="Compact"/>
        <w:numPr>
          <w:ilvl w:val="0"/>
          <w:numId w:val="1012"/>
        </w:numPr>
      </w:pPr>
      <w:r>
        <w:t xml:space="preserve">nome, cognome, data e luogo di nascita;</w:t>
      </w:r>
    </w:p>
    <w:p>
      <w:pPr>
        <w:pStyle w:val="Compact"/>
        <w:numPr>
          <w:ilvl w:val="0"/>
          <w:numId w:val="1012"/>
        </w:numPr>
      </w:pPr>
      <w:r>
        <w:t xml:space="preserve">sesso amministrativo e informazioni clinicamente rilevanti separate;</w:t>
      </w:r>
    </w:p>
    <w:p>
      <w:pPr>
        <w:pStyle w:val="Compact"/>
        <w:numPr>
          <w:ilvl w:val="0"/>
          <w:numId w:val="1012"/>
        </w:numPr>
      </w:pPr>
      <w:r>
        <w:t xml:space="preserve">indirizzo e contatti;</w:t>
      </w:r>
    </w:p>
    <w:p>
      <w:pPr>
        <w:pStyle w:val="Compact"/>
        <w:numPr>
          <w:ilvl w:val="0"/>
          <w:numId w:val="1012"/>
        </w:numPr>
      </w:pPr>
      <w:r>
        <w:t xml:space="preserve">medico curante, se comunicato;</w:t>
      </w:r>
    </w:p>
    <w:p>
      <w:pPr>
        <w:pStyle w:val="Compact"/>
        <w:numPr>
          <w:ilvl w:val="0"/>
          <w:numId w:val="1012"/>
        </w:numPr>
      </w:pPr>
      <w:r>
        <w:t xml:space="preserve">referente o tutore;</w:t>
      </w:r>
    </w:p>
    <w:p>
      <w:pPr>
        <w:pStyle w:val="Compact"/>
        <w:numPr>
          <w:ilvl w:val="0"/>
          <w:numId w:val="1012"/>
        </w:numPr>
      </w:pPr>
      <w:r>
        <w:t xml:space="preserve">preferenze linguistiche e di comunicazione;</w:t>
      </w:r>
    </w:p>
    <w:p>
      <w:pPr>
        <w:pStyle w:val="Compact"/>
        <w:numPr>
          <w:ilvl w:val="0"/>
          <w:numId w:val="1012"/>
        </w:numPr>
      </w:pPr>
      <w:r>
        <w:t xml:space="preserve">identificativi esterni e regionali;</w:t>
      </w:r>
    </w:p>
    <w:p>
      <w:pPr>
        <w:pStyle w:val="Compact"/>
        <w:numPr>
          <w:ilvl w:val="0"/>
          <w:numId w:val="1012"/>
        </w:numPr>
      </w:pPr>
      <w:r>
        <w:t xml:space="preserve">stato del record: attivo, deceduto, duplicato, archiviato;</w:t>
      </w:r>
    </w:p>
    <w:p>
      <w:pPr>
        <w:pStyle w:val="Compact"/>
        <w:numPr>
          <w:ilvl w:val="0"/>
          <w:numId w:val="1012"/>
        </w:numPr>
      </w:pPr>
      <w:r>
        <w:t xml:space="preserve">collegamento a eventuale record unificato.</w:t>
      </w:r>
    </w:p>
    <w:p>
      <w:pPr>
        <w:pStyle w:val="FirstParagraph"/>
      </w:pPr>
      <w:r>
        <w:t xml:space="preserve">Il codice fiscale non deve essere la chiave primaria tecnica: può mancare, cambiare o essere inserito in modo errato. Il sistema deve avere una procedura di merge dei duplicati con approvazione e audit.</w:t>
      </w:r>
    </w:p>
    <w:bookmarkEnd w:id="42"/>
    <w:bookmarkStart w:id="43" w:name="Xcca715002b342f0829e62ca884c1f566d7899eb"/>
    <w:p>
      <w:pPr>
        <w:pStyle w:val="Heading2"/>
      </w:pPr>
      <w:r>
        <w:t xml:space="preserve">5.2 Anamnesi generale</w:t>
      </w:r>
    </w:p>
    <w:p>
      <w:pPr>
        <w:pStyle w:val="FirstParagraph"/>
      </w:pPr>
      <w:r>
        <w:t xml:space="preserve">La raccolta deve includere, ove pertinente:</w:t>
      </w:r>
    </w:p>
    <w:p>
      <w:pPr>
        <w:pStyle w:val="Compact"/>
        <w:numPr>
          <w:ilvl w:val="0"/>
          <w:numId w:val="1013"/>
        </w:numPr>
      </w:pPr>
      <w:r>
        <w:t xml:space="preserve">patologie attuali e pregresse;</w:t>
      </w:r>
    </w:p>
    <w:p>
      <w:pPr>
        <w:pStyle w:val="Compact"/>
        <w:numPr>
          <w:ilvl w:val="0"/>
          <w:numId w:val="1013"/>
        </w:numPr>
      </w:pPr>
      <w:r>
        <w:t xml:space="preserve">ricoveri e interventi;</w:t>
      </w:r>
    </w:p>
    <w:p>
      <w:pPr>
        <w:pStyle w:val="Compact"/>
        <w:numPr>
          <w:ilvl w:val="0"/>
          <w:numId w:val="1013"/>
        </w:numPr>
      </w:pPr>
      <w:r>
        <w:t xml:space="preserve">allergie e reazioni avverse;</w:t>
      </w:r>
    </w:p>
    <w:p>
      <w:pPr>
        <w:pStyle w:val="Compact"/>
        <w:numPr>
          <w:ilvl w:val="0"/>
          <w:numId w:val="1013"/>
        </w:numPr>
      </w:pPr>
      <w:r>
        <w:t xml:space="preserve">farmaci e integratori;</w:t>
      </w:r>
    </w:p>
    <w:p>
      <w:pPr>
        <w:pStyle w:val="Compact"/>
        <w:numPr>
          <w:ilvl w:val="0"/>
          <w:numId w:val="1013"/>
        </w:numPr>
      </w:pPr>
      <w:r>
        <w:t xml:space="preserve">terapia anticoagulante/antiaggregante;</w:t>
      </w:r>
    </w:p>
    <w:p>
      <w:pPr>
        <w:pStyle w:val="Compact"/>
        <w:numPr>
          <w:ilvl w:val="0"/>
          <w:numId w:val="1013"/>
        </w:numPr>
      </w:pPr>
      <w:r>
        <w:t xml:space="preserve">diabete;</w:t>
      </w:r>
    </w:p>
    <w:p>
      <w:pPr>
        <w:pStyle w:val="Compact"/>
        <w:numPr>
          <w:ilvl w:val="0"/>
          <w:numId w:val="1013"/>
        </w:numPr>
      </w:pPr>
      <w:r>
        <w:t xml:space="preserve">cardiopatie e rischio infettivo;</w:t>
      </w:r>
    </w:p>
    <w:p>
      <w:pPr>
        <w:pStyle w:val="Compact"/>
        <w:numPr>
          <w:ilvl w:val="0"/>
          <w:numId w:val="1013"/>
        </w:numPr>
      </w:pPr>
      <w:r>
        <w:t xml:space="preserve">ipertensione;</w:t>
      </w:r>
    </w:p>
    <w:p>
      <w:pPr>
        <w:pStyle w:val="Compact"/>
        <w:numPr>
          <w:ilvl w:val="0"/>
          <w:numId w:val="1013"/>
        </w:numPr>
      </w:pPr>
      <w:r>
        <w:t xml:space="preserve">immunodepressione;</w:t>
      </w:r>
    </w:p>
    <w:p>
      <w:pPr>
        <w:pStyle w:val="Compact"/>
        <w:numPr>
          <w:ilvl w:val="0"/>
          <w:numId w:val="1013"/>
        </w:numPr>
      </w:pPr>
      <w:r>
        <w:t xml:space="preserve">patologie emorragiche;</w:t>
      </w:r>
    </w:p>
    <w:p>
      <w:pPr>
        <w:pStyle w:val="Compact"/>
        <w:numPr>
          <w:ilvl w:val="0"/>
          <w:numId w:val="1013"/>
        </w:numPr>
      </w:pPr>
      <w:r>
        <w:t xml:space="preserve">gravidanza/allattamento;</w:t>
      </w:r>
    </w:p>
    <w:p>
      <w:pPr>
        <w:pStyle w:val="Compact"/>
        <w:numPr>
          <w:ilvl w:val="0"/>
          <w:numId w:val="1013"/>
        </w:numPr>
      </w:pPr>
      <w:r>
        <w:t xml:space="preserve">abitudini rilevanti, fumo e alcol;</w:t>
      </w:r>
    </w:p>
    <w:p>
      <w:pPr>
        <w:pStyle w:val="Compact"/>
        <w:numPr>
          <w:ilvl w:val="0"/>
          <w:numId w:val="1013"/>
        </w:numPr>
      </w:pPr>
      <w:r>
        <w:t xml:space="preserve">precedenti reazioni ad anestetici;</w:t>
      </w:r>
    </w:p>
    <w:p>
      <w:pPr>
        <w:pStyle w:val="Compact"/>
        <w:numPr>
          <w:ilvl w:val="0"/>
          <w:numId w:val="1013"/>
        </w:numPr>
      </w:pPr>
      <w:r>
        <w:t xml:space="preserve">condizioni neurologiche o cognitive;</w:t>
      </w:r>
    </w:p>
    <w:p>
      <w:pPr>
        <w:pStyle w:val="Compact"/>
        <w:numPr>
          <w:ilvl w:val="0"/>
          <w:numId w:val="1013"/>
        </w:numPr>
      </w:pPr>
      <w:r>
        <w:t xml:space="preserve">dispositivi impiantati;</w:t>
      </w:r>
    </w:p>
    <w:p>
      <w:pPr>
        <w:pStyle w:val="Compact"/>
        <w:numPr>
          <w:ilvl w:val="0"/>
          <w:numId w:val="1013"/>
        </w:numPr>
      </w:pPr>
      <w:r>
        <w:t xml:space="preserve">informazioni richieste da protocolli clinici specifici.</w:t>
      </w:r>
    </w:p>
    <w:p>
      <w:pPr>
        <w:pStyle w:val="FirstParagraph"/>
      </w:pPr>
      <w:r>
        <w:t xml:space="preserve">Ogni voce deve avere:</w:t>
      </w:r>
    </w:p>
    <w:p>
      <w:pPr>
        <w:pStyle w:val="Compact"/>
        <w:numPr>
          <w:ilvl w:val="0"/>
          <w:numId w:val="1014"/>
        </w:numPr>
      </w:pPr>
      <w:r>
        <w:t xml:space="preserve">stato: presente, assente, non noto;</w:t>
      </w:r>
    </w:p>
    <w:p>
      <w:pPr>
        <w:pStyle w:val="Compact"/>
        <w:numPr>
          <w:ilvl w:val="0"/>
          <w:numId w:val="1014"/>
        </w:numPr>
      </w:pPr>
      <w:r>
        <w:t xml:space="preserve">data di rilevazione;</w:t>
      </w:r>
    </w:p>
    <w:p>
      <w:pPr>
        <w:pStyle w:val="Compact"/>
        <w:numPr>
          <w:ilvl w:val="0"/>
          <w:numId w:val="1014"/>
        </w:numPr>
      </w:pPr>
      <w:r>
        <w:t xml:space="preserve">fonte: paziente, caregiver, documento, professionista;</w:t>
      </w:r>
    </w:p>
    <w:p>
      <w:pPr>
        <w:pStyle w:val="Compact"/>
        <w:numPr>
          <w:ilvl w:val="0"/>
          <w:numId w:val="1014"/>
        </w:numPr>
      </w:pPr>
      <w:r>
        <w:t xml:space="preserve">autore;</w:t>
      </w:r>
    </w:p>
    <w:p>
      <w:pPr>
        <w:pStyle w:val="Compact"/>
        <w:numPr>
          <w:ilvl w:val="0"/>
          <w:numId w:val="1014"/>
        </w:numPr>
      </w:pPr>
      <w:r>
        <w:t xml:space="preserve">eventuale data di risoluzione;</w:t>
      </w:r>
    </w:p>
    <w:p>
      <w:pPr>
        <w:pStyle w:val="Compact"/>
        <w:numPr>
          <w:ilvl w:val="0"/>
          <w:numId w:val="1014"/>
        </w:numPr>
      </w:pPr>
      <w:r>
        <w:t xml:space="preserve">nota e allegato probatorio;</w:t>
      </w:r>
    </w:p>
    <w:p>
      <w:pPr>
        <w:pStyle w:val="Compact"/>
        <w:numPr>
          <w:ilvl w:val="0"/>
          <w:numId w:val="1014"/>
        </w:numPr>
      </w:pPr>
      <w:r>
        <w:t xml:space="preserve">livello di verifica.</w:t>
      </w:r>
    </w:p>
    <w:p>
      <w:pPr>
        <w:pStyle w:val="FirstParagraph"/>
      </w:pPr>
      <w:r>
        <w:t xml:space="preserve">Non usare una sola casella “nessuna patologia”: bisogna distinguere “negato dal paziente”, “non indagato” e “dato non disponibile”.</w:t>
      </w:r>
    </w:p>
    <w:bookmarkEnd w:id="43"/>
    <w:bookmarkStart w:id="44" w:name="X29dc692ea50c957ab4e2d8cf2d5988d3bb06941"/>
    <w:p>
      <w:pPr>
        <w:pStyle w:val="Heading2"/>
      </w:pPr>
      <w:r>
        <w:t xml:space="preserve">5.3 Anamnesi odontoiatrica</w:t>
      </w:r>
    </w:p>
    <w:p>
      <w:pPr>
        <w:pStyle w:val="Compact"/>
        <w:numPr>
          <w:ilvl w:val="0"/>
          <w:numId w:val="1015"/>
        </w:numPr>
      </w:pPr>
      <w:r>
        <w:t xml:space="preserve">precedenti trattamenti;</w:t>
      </w:r>
    </w:p>
    <w:p>
      <w:pPr>
        <w:pStyle w:val="Compact"/>
        <w:numPr>
          <w:ilvl w:val="0"/>
          <w:numId w:val="1015"/>
        </w:numPr>
      </w:pPr>
      <w:r>
        <w:t xml:space="preserve">dolore, sensibilità, sanguinamento;</w:t>
      </w:r>
    </w:p>
    <w:p>
      <w:pPr>
        <w:pStyle w:val="Compact"/>
        <w:numPr>
          <w:ilvl w:val="0"/>
          <w:numId w:val="1015"/>
        </w:numPr>
      </w:pPr>
      <w:r>
        <w:t xml:space="preserve">parafunzioni e bruxismo;</w:t>
      </w:r>
    </w:p>
    <w:p>
      <w:pPr>
        <w:pStyle w:val="Compact"/>
        <w:numPr>
          <w:ilvl w:val="0"/>
          <w:numId w:val="1015"/>
        </w:numPr>
      </w:pPr>
      <w:r>
        <w:t xml:space="preserve">igiene orale;</w:t>
      </w:r>
    </w:p>
    <w:p>
      <w:pPr>
        <w:pStyle w:val="Compact"/>
        <w:numPr>
          <w:ilvl w:val="0"/>
          <w:numId w:val="1015"/>
        </w:numPr>
      </w:pPr>
      <w:r>
        <w:t xml:space="preserve">frequenza delle visite;</w:t>
      </w:r>
    </w:p>
    <w:p>
      <w:pPr>
        <w:pStyle w:val="Compact"/>
        <w:numPr>
          <w:ilvl w:val="0"/>
          <w:numId w:val="1015"/>
        </w:numPr>
      </w:pPr>
      <w:r>
        <w:t xml:space="preserve">precedenti complicanze;</w:t>
      </w:r>
    </w:p>
    <w:p>
      <w:pPr>
        <w:pStyle w:val="Compact"/>
        <w:numPr>
          <w:ilvl w:val="0"/>
          <w:numId w:val="1015"/>
        </w:numPr>
      </w:pPr>
      <w:r>
        <w:t xml:space="preserve">esperienza con protesi o impianti;</w:t>
      </w:r>
    </w:p>
    <w:p>
      <w:pPr>
        <w:pStyle w:val="Compact"/>
        <w:numPr>
          <w:ilvl w:val="0"/>
          <w:numId w:val="1015"/>
        </w:numPr>
      </w:pPr>
      <w:r>
        <w:t xml:space="preserve">aspettative estetiche e funzionali;</w:t>
      </w:r>
    </w:p>
    <w:p>
      <w:pPr>
        <w:pStyle w:val="Compact"/>
        <w:numPr>
          <w:ilvl w:val="0"/>
          <w:numId w:val="1015"/>
        </w:numPr>
      </w:pPr>
      <w:r>
        <w:t xml:space="preserve">ansia odontoiatrica;</w:t>
      </w:r>
    </w:p>
    <w:p>
      <w:pPr>
        <w:pStyle w:val="Compact"/>
        <w:numPr>
          <w:ilvl w:val="0"/>
          <w:numId w:val="1015"/>
        </w:numPr>
      </w:pPr>
      <w:r>
        <w:t xml:space="preserve">abitudini alimentari rilevanti;</w:t>
      </w:r>
    </w:p>
    <w:p>
      <w:pPr>
        <w:pStyle w:val="Compact"/>
        <w:numPr>
          <w:ilvl w:val="0"/>
          <w:numId w:val="1015"/>
        </w:numPr>
      </w:pPr>
      <w:r>
        <w:t xml:space="preserve">storia traumatica;</w:t>
      </w:r>
    </w:p>
    <w:p>
      <w:pPr>
        <w:pStyle w:val="Compact"/>
        <w:numPr>
          <w:ilvl w:val="0"/>
          <w:numId w:val="1015"/>
        </w:numPr>
      </w:pPr>
      <w:r>
        <w:t xml:space="preserve">precedenti radiografie e data.</w:t>
      </w:r>
    </w:p>
    <w:bookmarkEnd w:id="44"/>
    <w:bookmarkStart w:id="45" w:name="X2e4cbfe495100433da6683d6eaa03edaf390d54"/>
    <w:p>
      <w:pPr>
        <w:pStyle w:val="Heading2"/>
      </w:pPr>
      <w:r>
        <w:t xml:space="preserve">5.4 Esame obiettivo</w:t>
      </w:r>
    </w:p>
    <w:p>
      <w:pPr>
        <w:pStyle w:val="FirstParagraph"/>
      </w:pPr>
      <w:r>
        <w:t xml:space="preserve">La cartella deve supportare:</w:t>
      </w:r>
    </w:p>
    <w:p>
      <w:pPr>
        <w:pStyle w:val="Compact"/>
        <w:numPr>
          <w:ilvl w:val="0"/>
          <w:numId w:val="1016"/>
        </w:numPr>
      </w:pPr>
      <w:r>
        <w:t xml:space="preserve">esame extraorale;</w:t>
      </w:r>
    </w:p>
    <w:p>
      <w:pPr>
        <w:pStyle w:val="Compact"/>
        <w:numPr>
          <w:ilvl w:val="0"/>
          <w:numId w:val="1016"/>
        </w:numPr>
      </w:pPr>
      <w:r>
        <w:t xml:space="preserve">mucose e tessuti molli;</w:t>
      </w:r>
    </w:p>
    <w:p>
      <w:pPr>
        <w:pStyle w:val="Compact"/>
        <w:numPr>
          <w:ilvl w:val="0"/>
          <w:numId w:val="1016"/>
        </w:numPr>
      </w:pPr>
      <w:r>
        <w:t xml:space="preserve">articolazione temporo-mandibolare;</w:t>
      </w:r>
    </w:p>
    <w:p>
      <w:pPr>
        <w:pStyle w:val="Compact"/>
        <w:numPr>
          <w:ilvl w:val="0"/>
          <w:numId w:val="1016"/>
        </w:numPr>
      </w:pPr>
      <w:r>
        <w:t xml:space="preserve">occlusione;</w:t>
      </w:r>
    </w:p>
    <w:p>
      <w:pPr>
        <w:pStyle w:val="Compact"/>
        <w:numPr>
          <w:ilvl w:val="0"/>
          <w:numId w:val="1016"/>
        </w:numPr>
      </w:pPr>
      <w:r>
        <w:t xml:space="preserve">stato parodontale;</w:t>
      </w:r>
    </w:p>
    <w:p>
      <w:pPr>
        <w:pStyle w:val="Compact"/>
        <w:numPr>
          <w:ilvl w:val="0"/>
          <w:numId w:val="1016"/>
        </w:numPr>
      </w:pPr>
      <w:r>
        <w:t xml:space="preserve">mobilità;</w:t>
      </w:r>
    </w:p>
    <w:p>
      <w:pPr>
        <w:pStyle w:val="Compact"/>
        <w:numPr>
          <w:ilvl w:val="0"/>
          <w:numId w:val="1016"/>
        </w:numPr>
      </w:pPr>
      <w:r>
        <w:t xml:space="preserve">recessioni;</w:t>
      </w:r>
    </w:p>
    <w:p>
      <w:pPr>
        <w:pStyle w:val="Compact"/>
        <w:numPr>
          <w:ilvl w:val="0"/>
          <w:numId w:val="1016"/>
        </w:numPr>
      </w:pPr>
      <w:r>
        <w:t xml:space="preserve">sondaggio;</w:t>
      </w:r>
    </w:p>
    <w:p>
      <w:pPr>
        <w:pStyle w:val="Compact"/>
        <w:numPr>
          <w:ilvl w:val="0"/>
          <w:numId w:val="1016"/>
        </w:numPr>
      </w:pPr>
      <w:r>
        <w:t xml:space="preserve">placca e sanguinamento;</w:t>
      </w:r>
    </w:p>
    <w:p>
      <w:pPr>
        <w:pStyle w:val="Compact"/>
        <w:numPr>
          <w:ilvl w:val="0"/>
          <w:numId w:val="1016"/>
        </w:numPr>
      </w:pPr>
      <w:r>
        <w:t xml:space="preserve">lesioni;</w:t>
      </w:r>
    </w:p>
    <w:p>
      <w:pPr>
        <w:pStyle w:val="Compact"/>
        <w:numPr>
          <w:ilvl w:val="0"/>
          <w:numId w:val="1016"/>
        </w:numPr>
      </w:pPr>
      <w:r>
        <w:t xml:space="preserve">stato endodontico;</w:t>
      </w:r>
    </w:p>
    <w:p>
      <w:pPr>
        <w:pStyle w:val="Compact"/>
        <w:numPr>
          <w:ilvl w:val="0"/>
          <w:numId w:val="1016"/>
        </w:numPr>
      </w:pPr>
      <w:r>
        <w:t xml:space="preserve">carie e restauri;</w:t>
      </w:r>
    </w:p>
    <w:p>
      <w:pPr>
        <w:pStyle w:val="Compact"/>
        <w:numPr>
          <w:ilvl w:val="0"/>
          <w:numId w:val="1016"/>
        </w:numPr>
      </w:pPr>
      <w:r>
        <w:t xml:space="preserve">protesi;</w:t>
      </w:r>
    </w:p>
    <w:p>
      <w:pPr>
        <w:pStyle w:val="Compact"/>
        <w:numPr>
          <w:ilvl w:val="0"/>
          <w:numId w:val="1016"/>
        </w:numPr>
      </w:pPr>
      <w:r>
        <w:t xml:space="preserve">impianti;</w:t>
      </w:r>
    </w:p>
    <w:p>
      <w:pPr>
        <w:pStyle w:val="Compact"/>
        <w:numPr>
          <w:ilvl w:val="0"/>
          <w:numId w:val="1016"/>
        </w:numPr>
      </w:pPr>
      <w:r>
        <w:t xml:space="preserve">fotografie;</w:t>
      </w:r>
    </w:p>
    <w:p>
      <w:pPr>
        <w:pStyle w:val="Compact"/>
        <w:numPr>
          <w:ilvl w:val="0"/>
          <w:numId w:val="1016"/>
        </w:numPr>
      </w:pPr>
      <w:r>
        <w:t xml:space="preserve">misure e scale cliniche.</w:t>
      </w:r>
    </w:p>
    <w:p>
      <w:pPr>
        <w:pStyle w:val="FirstParagraph"/>
      </w:pPr>
      <w:r>
        <w:t xml:space="preserve">Ogni osservazione deve essere associabile a:</w:t>
      </w:r>
    </w:p>
    <w:p>
      <w:pPr>
        <w:pStyle w:val="Compact"/>
        <w:numPr>
          <w:ilvl w:val="0"/>
          <w:numId w:val="1017"/>
        </w:numPr>
      </w:pPr>
      <w:r>
        <w:t xml:space="preserve">dente;</w:t>
      </w:r>
    </w:p>
    <w:p>
      <w:pPr>
        <w:pStyle w:val="Compact"/>
        <w:numPr>
          <w:ilvl w:val="0"/>
          <w:numId w:val="1017"/>
        </w:numPr>
      </w:pPr>
      <w:r>
        <w:t xml:space="preserve">superficie;</w:t>
      </w:r>
    </w:p>
    <w:p>
      <w:pPr>
        <w:pStyle w:val="Compact"/>
        <w:numPr>
          <w:ilvl w:val="0"/>
          <w:numId w:val="1017"/>
        </w:numPr>
      </w:pPr>
      <w:r>
        <w:t xml:space="preserve">regione;</w:t>
      </w:r>
    </w:p>
    <w:p>
      <w:pPr>
        <w:pStyle w:val="Compact"/>
        <w:numPr>
          <w:ilvl w:val="0"/>
          <w:numId w:val="1017"/>
        </w:numPr>
      </w:pPr>
      <w:r>
        <w:t xml:space="preserve">lato;</w:t>
      </w:r>
    </w:p>
    <w:p>
      <w:pPr>
        <w:pStyle w:val="Compact"/>
        <w:numPr>
          <w:ilvl w:val="0"/>
          <w:numId w:val="1017"/>
        </w:numPr>
      </w:pPr>
      <w:r>
        <w:t xml:space="preserve">data;</w:t>
      </w:r>
    </w:p>
    <w:p>
      <w:pPr>
        <w:pStyle w:val="Compact"/>
        <w:numPr>
          <w:ilvl w:val="0"/>
          <w:numId w:val="1017"/>
        </w:numPr>
      </w:pPr>
      <w:r>
        <w:t xml:space="preserve">episodio;</w:t>
      </w:r>
    </w:p>
    <w:p>
      <w:pPr>
        <w:pStyle w:val="Compact"/>
        <w:numPr>
          <w:ilvl w:val="0"/>
          <w:numId w:val="1017"/>
        </w:numPr>
      </w:pPr>
      <w:r>
        <w:t xml:space="preserve">autore;</w:t>
      </w:r>
    </w:p>
    <w:p>
      <w:pPr>
        <w:pStyle w:val="Compact"/>
        <w:numPr>
          <w:ilvl w:val="0"/>
          <w:numId w:val="1017"/>
        </w:numPr>
      </w:pPr>
      <w:r>
        <w:t xml:space="preserve">metodo di rilevazione;</w:t>
      </w:r>
    </w:p>
    <w:p>
      <w:pPr>
        <w:pStyle w:val="Compact"/>
        <w:numPr>
          <w:ilvl w:val="0"/>
          <w:numId w:val="1017"/>
        </w:numPr>
      </w:pPr>
      <w:r>
        <w:t xml:space="preserve">stato di conferma.</w:t>
      </w:r>
    </w:p>
    <w:bookmarkEnd w:id="45"/>
    <w:bookmarkStart w:id="48" w:name="Xf28d7eebb01b9607f6edbb54d9fdd3fa7d5ee4e"/>
    <w:p>
      <w:pPr>
        <w:pStyle w:val="Heading2"/>
      </w:pPr>
      <w:r>
        <w:t xml:space="preserve">5.5 Odontogramma</w:t>
      </w:r>
    </w:p>
    <w:p>
      <w:pPr>
        <w:pStyle w:val="FirstParagraph"/>
      </w:pPr>
      <w:r>
        <w:t xml:space="preserve">L'odontogramma non deve essere un disegno sovrascritto. Deve essere una rappresentazione temporale di fatti clinici.</w:t>
      </w:r>
    </w:p>
    <w:bookmarkStart w:id="46" w:name="requisiti-funzionali"/>
    <w:p>
      <w:pPr>
        <w:pStyle w:val="Heading3"/>
      </w:pPr>
      <w:r>
        <w:t xml:space="preserve">Requisiti funzionali</w:t>
      </w:r>
    </w:p>
    <w:p>
      <w:pPr>
        <w:pStyle w:val="Compact"/>
        <w:numPr>
          <w:ilvl w:val="0"/>
          <w:numId w:val="1018"/>
        </w:numPr>
      </w:pPr>
      <w:r>
        <w:t xml:space="preserve">dentizione permanente e decidua;</w:t>
      </w:r>
    </w:p>
    <w:p>
      <w:pPr>
        <w:pStyle w:val="Compact"/>
        <w:numPr>
          <w:ilvl w:val="0"/>
          <w:numId w:val="1018"/>
        </w:numPr>
      </w:pPr>
      <w:r>
        <w:t xml:space="preserve">numerazione FDI;</w:t>
      </w:r>
    </w:p>
    <w:p>
      <w:pPr>
        <w:pStyle w:val="Compact"/>
        <w:numPr>
          <w:ilvl w:val="0"/>
          <w:numId w:val="1018"/>
        </w:numPr>
      </w:pPr>
      <w:r>
        <w:t xml:space="preserve">superfici dentali;</w:t>
      </w:r>
    </w:p>
    <w:p>
      <w:pPr>
        <w:pStyle w:val="Compact"/>
        <w:numPr>
          <w:ilvl w:val="0"/>
          <w:numId w:val="1018"/>
        </w:numPr>
      </w:pPr>
      <w:r>
        <w:t xml:space="preserve">dente assente, incluso, sovrannumerario o non erotto;</w:t>
      </w:r>
    </w:p>
    <w:p>
      <w:pPr>
        <w:pStyle w:val="Compact"/>
        <w:numPr>
          <w:ilvl w:val="0"/>
          <w:numId w:val="1018"/>
        </w:numPr>
      </w:pPr>
      <w:r>
        <w:t xml:space="preserve">carie sospetta/confermata/trattata;</w:t>
      </w:r>
    </w:p>
    <w:p>
      <w:pPr>
        <w:pStyle w:val="Compact"/>
        <w:numPr>
          <w:ilvl w:val="0"/>
          <w:numId w:val="1018"/>
        </w:numPr>
      </w:pPr>
      <w:r>
        <w:t xml:space="preserve">restauri e materiali;</w:t>
      </w:r>
    </w:p>
    <w:p>
      <w:pPr>
        <w:pStyle w:val="Compact"/>
        <w:numPr>
          <w:ilvl w:val="0"/>
          <w:numId w:val="1018"/>
        </w:numPr>
      </w:pPr>
      <w:r>
        <w:t xml:space="preserve">corone, ponti, protesi;</w:t>
      </w:r>
    </w:p>
    <w:p>
      <w:pPr>
        <w:pStyle w:val="Compact"/>
        <w:numPr>
          <w:ilvl w:val="0"/>
          <w:numId w:val="1018"/>
        </w:numPr>
      </w:pPr>
      <w:r>
        <w:t xml:space="preserve">trattamento endodontico;</w:t>
      </w:r>
    </w:p>
    <w:p>
      <w:pPr>
        <w:pStyle w:val="Compact"/>
        <w:numPr>
          <w:ilvl w:val="0"/>
          <w:numId w:val="1018"/>
        </w:numPr>
      </w:pPr>
      <w:r>
        <w:t xml:space="preserve">impianti;</w:t>
      </w:r>
    </w:p>
    <w:p>
      <w:pPr>
        <w:pStyle w:val="Compact"/>
        <w:numPr>
          <w:ilvl w:val="0"/>
          <w:numId w:val="1018"/>
        </w:numPr>
      </w:pPr>
      <w:r>
        <w:t xml:space="preserve">mobilità e parodontologia;</w:t>
      </w:r>
    </w:p>
    <w:p>
      <w:pPr>
        <w:pStyle w:val="Compact"/>
        <w:numPr>
          <w:ilvl w:val="0"/>
          <w:numId w:val="1018"/>
        </w:numPr>
      </w:pPr>
      <w:r>
        <w:t xml:space="preserve">lesioni periapicali;</w:t>
      </w:r>
    </w:p>
    <w:p>
      <w:pPr>
        <w:pStyle w:val="Compact"/>
        <w:numPr>
          <w:ilvl w:val="0"/>
          <w:numId w:val="1018"/>
        </w:numPr>
      </w:pPr>
      <w:r>
        <w:t xml:space="preserve">fratture;</w:t>
      </w:r>
    </w:p>
    <w:p>
      <w:pPr>
        <w:pStyle w:val="Compact"/>
        <w:numPr>
          <w:ilvl w:val="0"/>
          <w:numId w:val="1018"/>
        </w:numPr>
      </w:pPr>
      <w:r>
        <w:t xml:space="preserve">note e immagini collegate;</w:t>
      </w:r>
    </w:p>
    <w:p>
      <w:pPr>
        <w:pStyle w:val="Compact"/>
        <w:numPr>
          <w:ilvl w:val="0"/>
          <w:numId w:val="1018"/>
        </w:numPr>
      </w:pPr>
      <w:r>
        <w:t xml:space="preserve">confronto tra date;</w:t>
      </w:r>
    </w:p>
    <w:p>
      <w:pPr>
        <w:pStyle w:val="Compact"/>
        <w:numPr>
          <w:ilvl w:val="0"/>
          <w:numId w:val="1018"/>
        </w:numPr>
      </w:pPr>
      <w:r>
        <w:t xml:space="preserve">distinzione tra osservazione e procedura;</w:t>
      </w:r>
    </w:p>
    <w:p>
      <w:pPr>
        <w:pStyle w:val="Compact"/>
        <w:numPr>
          <w:ilvl w:val="0"/>
          <w:numId w:val="1018"/>
        </w:numPr>
      </w:pPr>
      <w:r>
        <w:t xml:space="preserve">indicazione della fonte: esame clinico, radiografia, importazione, AI.</w:t>
      </w:r>
    </w:p>
    <w:bookmarkEnd w:id="46"/>
    <w:bookmarkStart w:id="47" w:name="modello-dati-consigliato"/>
    <w:p>
      <w:pPr>
        <w:pStyle w:val="Heading3"/>
      </w:pPr>
      <w:r>
        <w:t xml:space="preserve">Modello dati consigliato</w:t>
      </w:r>
    </w:p>
    <w:p>
      <w:pPr>
        <w:pStyle w:val="SourceCode"/>
      </w:pPr>
      <w:r>
        <w:rPr>
          <w:rStyle w:val="VerbatimChar"/>
        </w:rPr>
        <w:t xml:space="preserve">DentalFinding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tenant_id</w:t>
      </w:r>
      <w:r>
        <w:br/>
      </w:r>
      <w:r>
        <w:rPr>
          <w:rStyle w:val="VerbatimChar"/>
        </w:rPr>
        <w:t xml:space="preserve">- patient_id</w:t>
      </w:r>
      <w:r>
        <w:br/>
      </w:r>
      <w:r>
        <w:rPr>
          <w:rStyle w:val="VerbatimChar"/>
        </w:rPr>
        <w:t xml:space="preserve">- encounter_id</w:t>
      </w:r>
      <w:r>
        <w:br/>
      </w:r>
      <w:r>
        <w:rPr>
          <w:rStyle w:val="VerbatimChar"/>
        </w:rPr>
        <w:t xml:space="preserve">- tooth_code</w:t>
      </w:r>
      <w:r>
        <w:br/>
      </w:r>
      <w:r>
        <w:rPr>
          <w:rStyle w:val="VerbatimChar"/>
        </w:rPr>
        <w:t xml:space="preserve">- surface_code</w:t>
      </w:r>
      <w:r>
        <w:br/>
      </w:r>
      <w:r>
        <w:rPr>
          <w:rStyle w:val="VerbatimChar"/>
        </w:rPr>
        <w:t xml:space="preserve">- finding_code</w:t>
      </w:r>
      <w:r>
        <w:br/>
      </w:r>
      <w:r>
        <w:rPr>
          <w:rStyle w:val="VerbatimChar"/>
        </w:rPr>
        <w:t xml:space="preserve">- status</w:t>
      </w:r>
      <w:r>
        <w:br/>
      </w:r>
      <w:r>
        <w:rPr>
          <w:rStyle w:val="VerbatimChar"/>
        </w:rPr>
        <w:t xml:space="preserve">- certainty</w:t>
      </w:r>
      <w:r>
        <w:br/>
      </w:r>
      <w:r>
        <w:rPr>
          <w:rStyle w:val="VerbatimChar"/>
        </w:rPr>
        <w:t xml:space="preserve">- onset_date</w:t>
      </w:r>
      <w:r>
        <w:br/>
      </w:r>
      <w:r>
        <w:rPr>
          <w:rStyle w:val="VerbatimChar"/>
        </w:rPr>
        <w:t xml:space="preserve">- recorded_at</w:t>
      </w:r>
      <w:r>
        <w:br/>
      </w:r>
      <w:r>
        <w:rPr>
          <w:rStyle w:val="VerbatimChar"/>
        </w:rPr>
        <w:t xml:space="preserve">- recorded_by</w:t>
      </w:r>
      <w:r>
        <w:br/>
      </w:r>
      <w:r>
        <w:rPr>
          <w:rStyle w:val="VerbatimChar"/>
        </w:rPr>
        <w:t xml:space="preserve">- source_type</w:t>
      </w:r>
      <w:r>
        <w:br/>
      </w:r>
      <w:r>
        <w:rPr>
          <w:rStyle w:val="VerbatimChar"/>
        </w:rPr>
        <w:t xml:space="preserve">- source_id</w:t>
      </w:r>
      <w:r>
        <w:br/>
      </w:r>
      <w:r>
        <w:rPr>
          <w:rStyle w:val="VerbatimChar"/>
        </w:rPr>
        <w:t xml:space="preserve">- supersedes_id</w:t>
      </w:r>
      <w:r>
        <w:br/>
      </w:r>
      <w:r>
        <w:rPr>
          <w:rStyle w:val="VerbatimChar"/>
        </w:rPr>
        <w:t xml:space="preserve">- void_reason</w:t>
      </w:r>
    </w:p>
    <w:p>
      <w:pPr>
        <w:pStyle w:val="FirstParagraph"/>
      </w:pPr>
      <w:r>
        <w:t xml:space="preserve">Il rendering grafico deve essere generato dai dati. L'immagine dell'odontogramma può essere prodotta come snapshot leggibile, ma non deve essere l'unica fonte.</w:t>
      </w:r>
    </w:p>
    <w:bookmarkEnd w:id="47"/>
    <w:bookmarkEnd w:id="48"/>
    <w:bookmarkStart w:id="49" w:name="Xf75cff3cf88d0b36e86d0ae2c433803a6ab15dc"/>
    <w:p>
      <w:pPr>
        <w:pStyle w:val="Heading2"/>
      </w:pPr>
      <w:r>
        <w:t xml:space="preserve">5.6 Lista dei problemi e diagnosi</w:t>
      </w:r>
    </w:p>
    <w:p>
      <w:pPr>
        <w:pStyle w:val="FirstParagraph"/>
      </w:pPr>
      <w:r>
        <w:t xml:space="preserve">La cartella deve mantenere una lista orientata per problemi:</w:t>
      </w:r>
    </w:p>
    <w:p>
      <w:pPr>
        <w:pStyle w:val="Compact"/>
        <w:numPr>
          <w:ilvl w:val="0"/>
          <w:numId w:val="1019"/>
        </w:numPr>
      </w:pPr>
      <w:r>
        <w:t xml:space="preserve">problema;</w:t>
      </w:r>
    </w:p>
    <w:p>
      <w:pPr>
        <w:pStyle w:val="Compact"/>
        <w:numPr>
          <w:ilvl w:val="0"/>
          <w:numId w:val="1019"/>
        </w:numPr>
      </w:pPr>
      <w:r>
        <w:t xml:space="preserve">sede/dente;</w:t>
      </w:r>
    </w:p>
    <w:p>
      <w:pPr>
        <w:pStyle w:val="Compact"/>
        <w:numPr>
          <w:ilvl w:val="0"/>
          <w:numId w:val="1019"/>
        </w:numPr>
      </w:pPr>
      <w:r>
        <w:t xml:space="preserve">stato: sospetto, confermato, risolto, escluso;</w:t>
      </w:r>
    </w:p>
    <w:p>
      <w:pPr>
        <w:pStyle w:val="Compact"/>
        <w:numPr>
          <w:ilvl w:val="0"/>
          <w:numId w:val="1019"/>
        </w:numPr>
      </w:pPr>
      <w:r>
        <w:t xml:space="preserve">severità;</w:t>
      </w:r>
    </w:p>
    <w:p>
      <w:pPr>
        <w:pStyle w:val="Compact"/>
        <w:numPr>
          <w:ilvl w:val="0"/>
          <w:numId w:val="1019"/>
        </w:numPr>
      </w:pPr>
      <w:r>
        <w:t xml:space="preserve">evidenze;</w:t>
      </w:r>
    </w:p>
    <w:p>
      <w:pPr>
        <w:pStyle w:val="Compact"/>
        <w:numPr>
          <w:ilvl w:val="0"/>
          <w:numId w:val="1019"/>
        </w:numPr>
      </w:pPr>
      <w:r>
        <w:t xml:space="preserve">data di insorgenza e diagnosi;</w:t>
      </w:r>
    </w:p>
    <w:p>
      <w:pPr>
        <w:pStyle w:val="Compact"/>
        <w:numPr>
          <w:ilvl w:val="0"/>
          <w:numId w:val="1019"/>
        </w:numPr>
      </w:pPr>
      <w:r>
        <w:t xml:space="preserve">professionista responsabile;</w:t>
      </w:r>
    </w:p>
    <w:p>
      <w:pPr>
        <w:pStyle w:val="Compact"/>
        <w:numPr>
          <w:ilvl w:val="0"/>
          <w:numId w:val="1019"/>
        </w:numPr>
      </w:pPr>
      <w:r>
        <w:t xml:space="preserve">collegamento al piano;</w:t>
      </w:r>
    </w:p>
    <w:p>
      <w:pPr>
        <w:pStyle w:val="Compact"/>
        <w:numPr>
          <w:ilvl w:val="0"/>
          <w:numId w:val="1019"/>
        </w:numPr>
      </w:pPr>
      <w:r>
        <w:t xml:space="preserve">terminologia e versione;</w:t>
      </w:r>
    </w:p>
    <w:p>
      <w:pPr>
        <w:pStyle w:val="Compact"/>
        <w:numPr>
          <w:ilvl w:val="0"/>
          <w:numId w:val="1019"/>
        </w:numPr>
      </w:pPr>
      <w:r>
        <w:t xml:space="preserve">note differenziali.</w:t>
      </w:r>
    </w:p>
    <w:p>
      <w:pPr>
        <w:pStyle w:val="FirstParagraph"/>
      </w:pPr>
      <w:r>
        <w:t xml:space="preserve">Non eliminare una diagnosi esclusa: registrare che è stata esclusa, da chi e sulla base di quale evidenza.</w:t>
      </w:r>
    </w:p>
    <w:bookmarkEnd w:id="49"/>
    <w:bookmarkStart w:id="50" w:name="X6dc0ed351ef07dab65b08cf8a11d501ca72b1e2"/>
    <w:p>
      <w:pPr>
        <w:pStyle w:val="Heading2"/>
      </w:pPr>
      <w:r>
        <w:t xml:space="preserve">5.7 Piano di trattamento</w:t>
      </w:r>
    </w:p>
    <w:p>
      <w:pPr>
        <w:pStyle w:val="FirstParagraph"/>
      </w:pPr>
      <w:r>
        <w:t xml:space="preserve">Il piano deve distinguere:</w:t>
      </w:r>
    </w:p>
    <w:p>
      <w:pPr>
        <w:pStyle w:val="Compact"/>
        <w:numPr>
          <w:ilvl w:val="0"/>
          <w:numId w:val="1020"/>
        </w:numPr>
      </w:pPr>
      <w:r>
        <w:t xml:space="preserve">bisogni e obiettivi;</w:t>
      </w:r>
    </w:p>
    <w:p>
      <w:pPr>
        <w:pStyle w:val="Compact"/>
        <w:numPr>
          <w:ilvl w:val="0"/>
          <w:numId w:val="1020"/>
        </w:numPr>
      </w:pPr>
      <w:r>
        <w:t xml:space="preserve">alternative;</w:t>
      </w:r>
    </w:p>
    <w:p>
      <w:pPr>
        <w:pStyle w:val="Compact"/>
        <w:numPr>
          <w:ilvl w:val="0"/>
          <w:numId w:val="1020"/>
        </w:numPr>
      </w:pPr>
      <w:r>
        <w:t xml:space="preserve">benefici e rischi;</w:t>
      </w:r>
    </w:p>
    <w:p>
      <w:pPr>
        <w:pStyle w:val="Compact"/>
        <w:numPr>
          <w:ilvl w:val="0"/>
          <w:numId w:val="1020"/>
        </w:numPr>
      </w:pPr>
      <w:r>
        <w:t xml:space="preserve">priorità;</w:t>
      </w:r>
    </w:p>
    <w:p>
      <w:pPr>
        <w:pStyle w:val="Compact"/>
        <w:numPr>
          <w:ilvl w:val="0"/>
          <w:numId w:val="1020"/>
        </w:numPr>
      </w:pPr>
      <w:r>
        <w:t xml:space="preserve">fasi;</w:t>
      </w:r>
    </w:p>
    <w:p>
      <w:pPr>
        <w:pStyle w:val="Compact"/>
        <w:numPr>
          <w:ilvl w:val="0"/>
          <w:numId w:val="1020"/>
        </w:numPr>
      </w:pPr>
      <w:r>
        <w:t xml:space="preserve">procedure;</w:t>
      </w:r>
    </w:p>
    <w:p>
      <w:pPr>
        <w:pStyle w:val="Compact"/>
        <w:numPr>
          <w:ilvl w:val="0"/>
          <w:numId w:val="1020"/>
        </w:numPr>
      </w:pPr>
      <w:r>
        <w:t xml:space="preserve">dipendenze;</w:t>
      </w:r>
    </w:p>
    <w:p>
      <w:pPr>
        <w:pStyle w:val="Compact"/>
        <w:numPr>
          <w:ilvl w:val="0"/>
          <w:numId w:val="1020"/>
        </w:numPr>
      </w:pPr>
      <w:r>
        <w:t xml:space="preserve">professionista previsto;</w:t>
      </w:r>
    </w:p>
    <w:p>
      <w:pPr>
        <w:pStyle w:val="Compact"/>
        <w:numPr>
          <w:ilvl w:val="0"/>
          <w:numId w:val="1020"/>
        </w:numPr>
      </w:pPr>
      <w:r>
        <w:t xml:space="preserve">tempi;</w:t>
      </w:r>
    </w:p>
    <w:p>
      <w:pPr>
        <w:pStyle w:val="Compact"/>
        <w:numPr>
          <w:ilvl w:val="0"/>
          <w:numId w:val="1020"/>
        </w:numPr>
      </w:pPr>
      <w:r>
        <w:t xml:space="preserve">costo stimato;</w:t>
      </w:r>
    </w:p>
    <w:p>
      <w:pPr>
        <w:pStyle w:val="Compact"/>
        <w:numPr>
          <w:ilvl w:val="0"/>
          <w:numId w:val="1020"/>
        </w:numPr>
      </w:pPr>
      <w:r>
        <w:t xml:space="preserve">stato di accettazione;</w:t>
      </w:r>
    </w:p>
    <w:p>
      <w:pPr>
        <w:pStyle w:val="Compact"/>
        <w:numPr>
          <w:ilvl w:val="0"/>
          <w:numId w:val="1020"/>
        </w:numPr>
      </w:pPr>
      <w:r>
        <w:t xml:space="preserve">consenso collegato;</w:t>
      </w:r>
    </w:p>
    <w:p>
      <w:pPr>
        <w:pStyle w:val="Compact"/>
        <w:numPr>
          <w:ilvl w:val="0"/>
          <w:numId w:val="1020"/>
        </w:numPr>
      </w:pPr>
      <w:r>
        <w:t xml:space="preserve">motivazione di variazioni e rinunce.</w:t>
      </w:r>
    </w:p>
    <w:p>
      <w:pPr>
        <w:pStyle w:val="FirstParagraph"/>
      </w:pPr>
      <w:r>
        <w:t xml:space="preserve">Il preventivo economico è un documento amministrativo collegato al piano, non deve sostituire la descrizione clinica.</w:t>
      </w:r>
    </w:p>
    <w:bookmarkEnd w:id="50"/>
    <w:bookmarkStart w:id="51" w:name="X2c91b1a44af839169aa5fb0f152cdf4f58ef928"/>
    <w:p>
      <w:pPr>
        <w:pStyle w:val="Heading2"/>
      </w:pPr>
      <w:r>
        <w:t xml:space="preserve">5.8 Nota della prestazione</w:t>
      </w:r>
    </w:p>
    <w:p>
      <w:pPr>
        <w:pStyle w:val="FirstParagraph"/>
      </w:pPr>
      <w:r>
        <w:t xml:space="preserve">Ogni prestazione dovrebbe registrare almeno:</w:t>
      </w:r>
    </w:p>
    <w:p>
      <w:pPr>
        <w:pStyle w:val="Compact"/>
        <w:numPr>
          <w:ilvl w:val="0"/>
          <w:numId w:val="1021"/>
        </w:numPr>
      </w:pPr>
      <w:r>
        <w:t xml:space="preserve">data, ora e sede;</w:t>
      </w:r>
    </w:p>
    <w:p>
      <w:pPr>
        <w:pStyle w:val="Compact"/>
        <w:numPr>
          <w:ilvl w:val="0"/>
          <w:numId w:val="1021"/>
        </w:numPr>
      </w:pPr>
      <w:r>
        <w:t xml:space="preserve">professionista e collaboratori;</w:t>
      </w:r>
    </w:p>
    <w:p>
      <w:pPr>
        <w:pStyle w:val="Compact"/>
        <w:numPr>
          <w:ilvl w:val="0"/>
          <w:numId w:val="1021"/>
        </w:numPr>
      </w:pPr>
      <w:r>
        <w:t xml:space="preserve">motivo della visita;</w:t>
      </w:r>
    </w:p>
    <w:p>
      <w:pPr>
        <w:pStyle w:val="Compact"/>
        <w:numPr>
          <w:ilvl w:val="0"/>
          <w:numId w:val="1021"/>
        </w:numPr>
      </w:pPr>
      <w:r>
        <w:t xml:space="preserve">valutazione pre-procedura;</w:t>
      </w:r>
    </w:p>
    <w:p>
      <w:pPr>
        <w:pStyle w:val="Compact"/>
        <w:numPr>
          <w:ilvl w:val="0"/>
          <w:numId w:val="1021"/>
        </w:numPr>
      </w:pPr>
      <w:r>
        <w:t xml:space="preserve">dente/sito;</w:t>
      </w:r>
    </w:p>
    <w:p>
      <w:pPr>
        <w:pStyle w:val="Compact"/>
        <w:numPr>
          <w:ilvl w:val="0"/>
          <w:numId w:val="1021"/>
        </w:numPr>
      </w:pPr>
      <w:r>
        <w:t xml:space="preserve">procedura eseguita;</w:t>
      </w:r>
    </w:p>
    <w:p>
      <w:pPr>
        <w:pStyle w:val="Compact"/>
        <w:numPr>
          <w:ilvl w:val="0"/>
          <w:numId w:val="1021"/>
        </w:numPr>
      </w:pPr>
      <w:r>
        <w:t xml:space="preserve">anestetico, dose e lotto quando rilevante;</w:t>
      </w:r>
    </w:p>
    <w:p>
      <w:pPr>
        <w:pStyle w:val="Compact"/>
        <w:numPr>
          <w:ilvl w:val="0"/>
          <w:numId w:val="1021"/>
        </w:numPr>
      </w:pPr>
      <w:r>
        <w:t xml:space="preserve">materiali e dispositivi;</w:t>
      </w:r>
    </w:p>
    <w:p>
      <w:pPr>
        <w:pStyle w:val="Compact"/>
        <w:numPr>
          <w:ilvl w:val="0"/>
          <w:numId w:val="1021"/>
        </w:numPr>
      </w:pPr>
      <w:r>
        <w:t xml:space="preserve">identificativi di impianti e componenti;</w:t>
      </w:r>
    </w:p>
    <w:p>
      <w:pPr>
        <w:pStyle w:val="Compact"/>
        <w:numPr>
          <w:ilvl w:val="0"/>
          <w:numId w:val="1021"/>
        </w:numPr>
      </w:pPr>
      <w:r>
        <w:t xml:space="preserve">esito;</w:t>
      </w:r>
    </w:p>
    <w:p>
      <w:pPr>
        <w:pStyle w:val="Compact"/>
        <w:numPr>
          <w:ilvl w:val="0"/>
          <w:numId w:val="1021"/>
        </w:numPr>
      </w:pPr>
      <w:r>
        <w:t xml:space="preserve">complicanze;</w:t>
      </w:r>
    </w:p>
    <w:p>
      <w:pPr>
        <w:pStyle w:val="Compact"/>
        <w:numPr>
          <w:ilvl w:val="0"/>
          <w:numId w:val="1021"/>
        </w:numPr>
      </w:pPr>
      <w:r>
        <w:t xml:space="preserve">istruzioni post-operatorie;</w:t>
      </w:r>
    </w:p>
    <w:p>
      <w:pPr>
        <w:pStyle w:val="Compact"/>
        <w:numPr>
          <w:ilvl w:val="0"/>
          <w:numId w:val="1021"/>
        </w:numPr>
      </w:pPr>
      <w:r>
        <w:t xml:space="preserve">prescrizioni;</w:t>
      </w:r>
    </w:p>
    <w:p>
      <w:pPr>
        <w:pStyle w:val="Compact"/>
        <w:numPr>
          <w:ilvl w:val="0"/>
          <w:numId w:val="1021"/>
        </w:numPr>
      </w:pPr>
      <w:r>
        <w:t xml:space="preserve">follow-up;</w:t>
      </w:r>
    </w:p>
    <w:p>
      <w:pPr>
        <w:pStyle w:val="Compact"/>
        <w:numPr>
          <w:ilvl w:val="0"/>
          <w:numId w:val="1021"/>
        </w:numPr>
      </w:pPr>
      <w:r>
        <w:t xml:space="preserve">allegati;</w:t>
      </w:r>
    </w:p>
    <w:p>
      <w:pPr>
        <w:pStyle w:val="Compact"/>
        <w:numPr>
          <w:ilvl w:val="0"/>
          <w:numId w:val="1021"/>
        </w:numPr>
      </w:pPr>
      <w:r>
        <w:t xml:space="preserve">firma/finalizzazione.</w:t>
      </w:r>
    </w:p>
    <w:p>
      <w:pPr>
        <w:pStyle w:val="FirstParagraph"/>
      </w:pPr>
      <w:r>
        <w:t xml:space="preserve">Le voci precompilate devono essere confermate consapevolmente e non generare note false per default.</w:t>
      </w:r>
    </w:p>
    <w:bookmarkEnd w:id="51"/>
    <w:bookmarkStart w:id="52" w:name="X655711817052ec4d907988196ed5ee88fba1b1f"/>
    <w:p>
      <w:pPr>
        <w:pStyle w:val="Heading2"/>
      </w:pPr>
      <w:r>
        <w:t xml:space="preserve">5.9 Consenso informato</w:t>
      </w:r>
    </w:p>
    <w:p>
      <w:pPr>
        <w:pStyle w:val="FirstParagraph"/>
      </w:pPr>
      <w:r>
        <w:t xml:space="preserve">Il consenso clinico non coincide con il consenso privacy. Il sistema deve gestire:</w:t>
      </w:r>
    </w:p>
    <w:p>
      <w:pPr>
        <w:pStyle w:val="Compact"/>
        <w:numPr>
          <w:ilvl w:val="0"/>
          <w:numId w:val="1022"/>
        </w:numPr>
      </w:pPr>
      <w:r>
        <w:t xml:space="preserve">template versionato;</w:t>
      </w:r>
    </w:p>
    <w:p>
      <w:pPr>
        <w:pStyle w:val="Compact"/>
        <w:numPr>
          <w:ilvl w:val="0"/>
          <w:numId w:val="1022"/>
        </w:numPr>
      </w:pPr>
      <w:r>
        <w:t xml:space="preserve">procedura o piano cui si riferisce;</w:t>
      </w:r>
    </w:p>
    <w:p>
      <w:pPr>
        <w:pStyle w:val="Compact"/>
        <w:numPr>
          <w:ilvl w:val="0"/>
          <w:numId w:val="1022"/>
        </w:numPr>
      </w:pPr>
      <w:r>
        <w:t xml:space="preserve">rischi e alternative presentati;</w:t>
      </w:r>
    </w:p>
    <w:p>
      <w:pPr>
        <w:pStyle w:val="Compact"/>
        <w:numPr>
          <w:ilvl w:val="0"/>
          <w:numId w:val="1022"/>
        </w:numPr>
      </w:pPr>
      <w:r>
        <w:t xml:space="preserve">lingua e modalità di comunicazione;</w:t>
      </w:r>
    </w:p>
    <w:p>
      <w:pPr>
        <w:pStyle w:val="Compact"/>
        <w:numPr>
          <w:ilvl w:val="0"/>
          <w:numId w:val="1022"/>
        </w:numPr>
      </w:pPr>
      <w:r>
        <w:t xml:space="preserve">soggetto firmatario e titolo;</w:t>
      </w:r>
    </w:p>
    <w:p>
      <w:pPr>
        <w:pStyle w:val="Compact"/>
        <w:numPr>
          <w:ilvl w:val="0"/>
          <w:numId w:val="1022"/>
        </w:numPr>
      </w:pPr>
      <w:r>
        <w:t xml:space="preserve">data e ora;</w:t>
      </w:r>
    </w:p>
    <w:p>
      <w:pPr>
        <w:pStyle w:val="Compact"/>
        <w:numPr>
          <w:ilvl w:val="0"/>
          <w:numId w:val="1022"/>
        </w:numPr>
      </w:pPr>
      <w:r>
        <w:t xml:space="preserve">professionista che ha informato;</w:t>
      </w:r>
    </w:p>
    <w:p>
      <w:pPr>
        <w:pStyle w:val="Compact"/>
        <w:numPr>
          <w:ilvl w:val="0"/>
          <w:numId w:val="1022"/>
        </w:numPr>
      </w:pPr>
      <w:r>
        <w:t xml:space="preserve">firma del paziente e del professionista, secondo la policy;</w:t>
      </w:r>
    </w:p>
    <w:p>
      <w:pPr>
        <w:pStyle w:val="Compact"/>
        <w:numPr>
          <w:ilvl w:val="0"/>
          <w:numId w:val="1022"/>
        </w:numPr>
      </w:pPr>
      <w:r>
        <w:t xml:space="preserve">revoca o limitazione;</w:t>
      </w:r>
    </w:p>
    <w:p>
      <w:pPr>
        <w:pStyle w:val="Compact"/>
        <w:numPr>
          <w:ilvl w:val="0"/>
          <w:numId w:val="1022"/>
        </w:numPr>
      </w:pPr>
      <w:r>
        <w:t xml:space="preserve">allegati e materiale informativo consegnato;</w:t>
      </w:r>
    </w:p>
    <w:p>
      <w:pPr>
        <w:pStyle w:val="Compact"/>
        <w:numPr>
          <w:ilvl w:val="0"/>
          <w:numId w:val="1022"/>
        </w:numPr>
      </w:pPr>
      <w:r>
        <w:t xml:space="preserve">eventuale interprete;</w:t>
      </w:r>
    </w:p>
    <w:p>
      <w:pPr>
        <w:pStyle w:val="Compact"/>
        <w:numPr>
          <w:ilvl w:val="0"/>
          <w:numId w:val="1022"/>
        </w:numPr>
      </w:pPr>
      <w:r>
        <w:t xml:space="preserve">capacità e rappresentanza per minori o soggetti fragili.</w:t>
      </w:r>
    </w:p>
    <w:p>
      <w:pPr>
        <w:pStyle w:val="FirstParagraph"/>
      </w:pPr>
      <w:r>
        <w:t xml:space="preserve">Dopo la firma, il modulo non deve essere modificato. Una nuova versione richiede un nuovo consenso o una integrazione esplicita.</w:t>
      </w:r>
    </w:p>
    <w:bookmarkEnd w:id="52"/>
    <w:bookmarkStart w:id="53" w:name="X6b64075735eb4e5ea31c1b9c1dd8c15f2dc0c21"/>
    <w:p>
      <w:pPr>
        <w:pStyle w:val="Heading2"/>
      </w:pPr>
      <w:r>
        <w:t xml:space="preserve">5.10 Prescrizioni, certificati e comunicazioni</w:t>
      </w:r>
    </w:p>
    <w:p>
      <w:pPr>
        <w:pStyle w:val="FirstParagraph"/>
      </w:pPr>
      <w:r>
        <w:t xml:space="preserve">Separare:</w:t>
      </w:r>
    </w:p>
    <w:p>
      <w:pPr>
        <w:pStyle w:val="Compact"/>
        <w:numPr>
          <w:ilvl w:val="0"/>
          <w:numId w:val="1023"/>
        </w:numPr>
      </w:pPr>
      <w:r>
        <w:t xml:space="preserve">prescrizione farmacologica;</w:t>
      </w:r>
    </w:p>
    <w:p>
      <w:pPr>
        <w:pStyle w:val="Compact"/>
        <w:numPr>
          <w:ilvl w:val="0"/>
          <w:numId w:val="1023"/>
        </w:numPr>
      </w:pPr>
      <w:r>
        <w:t xml:space="preserve">richiesta di esame;</w:t>
      </w:r>
    </w:p>
    <w:p>
      <w:pPr>
        <w:pStyle w:val="Compact"/>
        <w:numPr>
          <w:ilvl w:val="0"/>
          <w:numId w:val="1023"/>
        </w:numPr>
      </w:pPr>
      <w:r>
        <w:t xml:space="preserve">invio a specialista;</w:t>
      </w:r>
    </w:p>
    <w:p>
      <w:pPr>
        <w:pStyle w:val="Compact"/>
        <w:numPr>
          <w:ilvl w:val="0"/>
          <w:numId w:val="1023"/>
        </w:numPr>
      </w:pPr>
      <w:r>
        <w:t xml:space="preserve">certificazione;</w:t>
      </w:r>
    </w:p>
    <w:p>
      <w:pPr>
        <w:pStyle w:val="Compact"/>
        <w:numPr>
          <w:ilvl w:val="0"/>
          <w:numId w:val="1023"/>
        </w:numPr>
      </w:pPr>
      <w:r>
        <w:t xml:space="preserve">istruzioni al paziente;</w:t>
      </w:r>
    </w:p>
    <w:p>
      <w:pPr>
        <w:pStyle w:val="Compact"/>
        <w:numPr>
          <w:ilvl w:val="0"/>
          <w:numId w:val="1023"/>
        </w:numPr>
      </w:pPr>
      <w:r>
        <w:t xml:space="preserve">comunicazione amministrativa;</w:t>
      </w:r>
    </w:p>
    <w:p>
      <w:pPr>
        <w:pStyle w:val="Compact"/>
        <w:numPr>
          <w:ilvl w:val="0"/>
          <w:numId w:val="1023"/>
        </w:numPr>
      </w:pPr>
      <w:r>
        <w:t xml:space="preserve">comunicazione clinica.</w:t>
      </w:r>
    </w:p>
    <w:p>
      <w:pPr>
        <w:pStyle w:val="FirstParagraph"/>
      </w:pPr>
      <w:r>
        <w:t xml:space="preserve">Una e-mail o un messaggio che contiene una decisione clinica deve essere acquisito nella cartella con autore, destinatario, data e contesto.</w:t>
      </w:r>
    </w:p>
    <w:bookmarkEnd w:id="53"/>
    <w:bookmarkStart w:id="54" w:name="X362d2939943bbafc9f8b8af81b9aacd92d9bf42"/>
    <w:p>
      <w:pPr>
        <w:pStyle w:val="Heading2"/>
      </w:pPr>
      <w:r>
        <w:t xml:space="preserve">5.11 Immagini e documenti</w:t>
      </w:r>
    </w:p>
    <w:p>
      <w:pPr>
        <w:pStyle w:val="FirstParagraph"/>
      </w:pPr>
      <w:r>
        <w:t xml:space="preserve">Tipologie:</w:t>
      </w:r>
    </w:p>
    <w:p>
      <w:pPr>
        <w:pStyle w:val="Compact"/>
        <w:numPr>
          <w:ilvl w:val="0"/>
          <w:numId w:val="1024"/>
        </w:numPr>
      </w:pPr>
      <w:r>
        <w:t xml:space="preserve">ortopanoramiche;</w:t>
      </w:r>
    </w:p>
    <w:p>
      <w:pPr>
        <w:pStyle w:val="Compact"/>
        <w:numPr>
          <w:ilvl w:val="0"/>
          <w:numId w:val="1024"/>
        </w:numPr>
      </w:pPr>
      <w:r>
        <w:t xml:space="preserve">endorali;</w:t>
      </w:r>
    </w:p>
    <w:p>
      <w:pPr>
        <w:pStyle w:val="Compact"/>
        <w:numPr>
          <w:ilvl w:val="0"/>
          <w:numId w:val="1024"/>
        </w:numPr>
      </w:pPr>
      <w:r>
        <w:t xml:space="preserve">CBCT;</w:t>
      </w:r>
    </w:p>
    <w:p>
      <w:pPr>
        <w:pStyle w:val="Compact"/>
        <w:numPr>
          <w:ilvl w:val="0"/>
          <w:numId w:val="1024"/>
        </w:numPr>
      </w:pPr>
      <w:r>
        <w:t xml:space="preserve">fotografie intraorali/extraorali;</w:t>
      </w:r>
    </w:p>
    <w:p>
      <w:pPr>
        <w:pStyle w:val="Compact"/>
        <w:numPr>
          <w:ilvl w:val="0"/>
          <w:numId w:val="1024"/>
        </w:numPr>
      </w:pPr>
      <w:r>
        <w:t xml:space="preserve">scansioni;</w:t>
      </w:r>
    </w:p>
    <w:p>
      <w:pPr>
        <w:pStyle w:val="Compact"/>
        <w:numPr>
          <w:ilvl w:val="0"/>
          <w:numId w:val="1024"/>
        </w:numPr>
      </w:pPr>
      <w:r>
        <w:t xml:space="preserve">impronte digitali;</w:t>
      </w:r>
    </w:p>
    <w:p>
      <w:pPr>
        <w:pStyle w:val="Compact"/>
        <w:numPr>
          <w:ilvl w:val="0"/>
          <w:numId w:val="1024"/>
        </w:numPr>
      </w:pPr>
      <w:r>
        <w:t xml:space="preserve">file STL/PLY;</w:t>
      </w:r>
    </w:p>
    <w:p>
      <w:pPr>
        <w:pStyle w:val="Compact"/>
        <w:numPr>
          <w:ilvl w:val="0"/>
          <w:numId w:val="1024"/>
        </w:numPr>
      </w:pPr>
      <w:r>
        <w:t xml:space="preserve">referti radiologici;</w:t>
      </w:r>
    </w:p>
    <w:p>
      <w:pPr>
        <w:pStyle w:val="Compact"/>
        <w:numPr>
          <w:ilvl w:val="0"/>
          <w:numId w:val="1024"/>
        </w:numPr>
      </w:pPr>
      <w:r>
        <w:t xml:space="preserve">referti istologici;</w:t>
      </w:r>
    </w:p>
    <w:p>
      <w:pPr>
        <w:pStyle w:val="Compact"/>
        <w:numPr>
          <w:ilvl w:val="0"/>
          <w:numId w:val="1024"/>
        </w:numPr>
      </w:pPr>
      <w:r>
        <w:t xml:space="preserve">documenti di laboratorio;</w:t>
      </w:r>
    </w:p>
    <w:p>
      <w:pPr>
        <w:pStyle w:val="Compact"/>
        <w:numPr>
          <w:ilvl w:val="0"/>
          <w:numId w:val="1024"/>
        </w:numPr>
      </w:pPr>
      <w:r>
        <w:t xml:space="preserve">prescrizioni protesiche;</w:t>
      </w:r>
    </w:p>
    <w:p>
      <w:pPr>
        <w:pStyle w:val="Compact"/>
        <w:numPr>
          <w:ilvl w:val="0"/>
          <w:numId w:val="1024"/>
        </w:numPr>
      </w:pPr>
      <w:r>
        <w:t xml:space="preserve">consensi;</w:t>
      </w:r>
    </w:p>
    <w:p>
      <w:pPr>
        <w:pStyle w:val="Compact"/>
        <w:numPr>
          <w:ilvl w:val="0"/>
          <w:numId w:val="1024"/>
        </w:numPr>
      </w:pPr>
      <w:r>
        <w:t xml:space="preserve">lettere di dimissione o invio.</w:t>
      </w:r>
    </w:p>
    <w:p>
      <w:pPr>
        <w:pStyle w:val="FirstParagraph"/>
      </w:pPr>
      <w:r>
        <w:t xml:space="preserve">Ogni oggetto deve avere metadati clinici e non solo un nome file.</w:t>
      </w:r>
    </w:p>
    <w:bookmarkEnd w:id="54"/>
    <w:bookmarkEnd w:id="55"/>
    <w:bookmarkStart w:id="58" w:name="X2cd37b97b42130e560d258f40458541bdaece8c"/>
    <w:p>
      <w:pPr>
        <w:pStyle w:val="Heading1"/>
      </w:pPr>
      <w:r>
        <w:t xml:space="preserve">6. Ciclo di vita dell'informazione clinica</w:t>
      </w:r>
    </w:p>
    <w:p>
      <w:pPr>
        <w:pStyle w:val="SourceCode"/>
      </w:pPr>
      <w:r>
        <w:rPr>
          <w:rStyle w:val="VerbatimChar"/>
        </w:rPr>
        <w:t xml:space="preserve">Accettazione paziente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Identificazione e verifica anagrafica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Aggiornamento anamnesi e consensi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Encounter / visita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osservazioni e odontogramma</w:t>
      </w:r>
      <w:r>
        <w:br/>
      </w:r>
      <w:r>
        <w:rPr>
          <w:rStyle w:val="VerbatimChar"/>
        </w:rPr>
        <w:t xml:space="preserve">        +--&gt; immagini e referti</w:t>
      </w:r>
      <w:r>
        <w:br/>
      </w:r>
      <w:r>
        <w:rPr>
          <w:rStyle w:val="VerbatimChar"/>
        </w:rPr>
        <w:t xml:space="preserve">        +--&gt; diagnosi / lista problemi</w:t>
      </w:r>
      <w:r>
        <w:br/>
      </w:r>
      <w:r>
        <w:rPr>
          <w:rStyle w:val="VerbatimChar"/>
        </w:rPr>
        <w:t xml:space="preserve">        +--&gt; piano e consenso</w:t>
      </w:r>
      <w:r>
        <w:br/>
      </w:r>
      <w:r>
        <w:rPr>
          <w:rStyle w:val="VerbatimChar"/>
        </w:rPr>
        <w:t xml:space="preserve">        +--&gt; procedure e prescrizioni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Revisione del professionista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Finalizzazione / firma / snapshot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Consegna, eventuale FSE, conservazione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Follow-up, addendum, monitoraggio</w:t>
      </w:r>
    </w:p>
    <w:bookmarkStart w:id="56" w:name="X38ae4eb0bad8582281675b38db204d021b1c1b0"/>
    <w:p>
      <w:pPr>
        <w:pStyle w:val="Heading2"/>
      </w:pPr>
      <w:r>
        <w:t xml:space="preserve">6.1 Stati di una nota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Stato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Significato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Azioni consentite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Bozza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contenuto in compilazione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modifica, eliminazione controllata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Da revisionare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completata ma non finalizzata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revisione, ritorno in bozza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Finalizzata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approvata dal professionista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sola lettura, addendum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Rettificata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sostituita logicamente da una rettifica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consultazione con collegamento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Annullata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non valida ma conservata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consultazione e motivazione</w:t>
            </w:r>
          </w:p>
        </w:tc>
      </w:tr>
    </w:tbl>
    <w:bookmarkEnd w:id="56"/>
    <w:bookmarkStart w:id="57" w:name="X0e0c1f70ae425857d64a0efd01319cc6dc1e257"/>
    <w:p>
      <w:pPr>
        <w:pStyle w:val="Heading2"/>
      </w:pPr>
      <w:r>
        <w:t xml:space="preserve">6.2 Regola di correzione</w:t>
      </w:r>
    </w:p>
    <w:p>
      <w:pPr>
        <w:pStyle w:val="FirstParagraph"/>
      </w:pPr>
      <w:r>
        <w:t xml:space="preserve">Un addendum deve contenere:</w:t>
      </w:r>
    </w:p>
    <w:p>
      <w:pPr>
        <w:pStyle w:val="Compact"/>
        <w:numPr>
          <w:ilvl w:val="0"/>
          <w:numId w:val="1025"/>
        </w:numPr>
      </w:pPr>
      <w:r>
        <w:t xml:space="preserve">riferimento all'elemento originale;</w:t>
      </w:r>
    </w:p>
    <w:p>
      <w:pPr>
        <w:pStyle w:val="Compact"/>
        <w:numPr>
          <w:ilvl w:val="0"/>
          <w:numId w:val="1025"/>
        </w:numPr>
      </w:pPr>
      <w:r>
        <w:t xml:space="preserve">motivo;</w:t>
      </w:r>
    </w:p>
    <w:p>
      <w:pPr>
        <w:pStyle w:val="Compact"/>
        <w:numPr>
          <w:ilvl w:val="0"/>
          <w:numId w:val="1025"/>
        </w:numPr>
      </w:pPr>
      <w:r>
        <w:t xml:space="preserve">testo della correzione;</w:t>
      </w:r>
    </w:p>
    <w:p>
      <w:pPr>
        <w:pStyle w:val="Compact"/>
        <w:numPr>
          <w:ilvl w:val="0"/>
          <w:numId w:val="1025"/>
        </w:numPr>
      </w:pPr>
      <w:r>
        <w:t xml:space="preserve">autore;</w:t>
      </w:r>
    </w:p>
    <w:p>
      <w:pPr>
        <w:pStyle w:val="Compact"/>
        <w:numPr>
          <w:ilvl w:val="0"/>
          <w:numId w:val="1025"/>
        </w:numPr>
      </w:pPr>
      <w:r>
        <w:t xml:space="preserve">data e ora;</w:t>
      </w:r>
    </w:p>
    <w:p>
      <w:pPr>
        <w:pStyle w:val="Compact"/>
        <w:numPr>
          <w:ilvl w:val="0"/>
          <w:numId w:val="1025"/>
        </w:numPr>
      </w:pPr>
      <w:r>
        <w:t xml:space="preserve">eventuale impatto sul piano o sul paziente;</w:t>
      </w:r>
    </w:p>
    <w:p>
      <w:pPr>
        <w:pStyle w:val="Compact"/>
        <w:numPr>
          <w:ilvl w:val="0"/>
          <w:numId w:val="1025"/>
        </w:numPr>
      </w:pPr>
      <w:r>
        <w:t xml:space="preserve">notifica agli utenti interessati quando necessaria.</w:t>
      </w:r>
    </w:p>
    <w:bookmarkEnd w:id="57"/>
    <w:bookmarkEnd w:id="58"/>
    <w:bookmarkStart w:id="64" w:name="Xcd1d3ac5b3acdee04e1b65014e260c63162e121"/>
    <w:p>
      <w:pPr>
        <w:pStyle w:val="Heading1"/>
      </w:pPr>
      <w:r>
        <w:t xml:space="preserve">7. Architettura informativa</w:t>
      </w:r>
    </w:p>
    <w:bookmarkStart w:id="59" w:name="X764c6ba1a0fe68a2c687448cab12360f87c9dfb"/>
    <w:p>
      <w:pPr>
        <w:pStyle w:val="Heading2"/>
      </w:pPr>
      <w:r>
        <w:t xml:space="preserve">7.1 Separare eventi, dati e documenti</w:t>
      </w:r>
    </w:p>
    <w:p>
      <w:pPr>
        <w:pStyle w:val="FirstParagraph"/>
      </w:pPr>
      <w:r>
        <w:t xml:space="preserve">Modello raccomandato:</w:t>
      </w:r>
    </w:p>
    <w:p>
      <w:pPr>
        <w:pStyle w:val="SourceCode"/>
      </w:pPr>
      <w:r>
        <w:rPr>
          <w:rStyle w:val="VerbatimChar"/>
        </w:rPr>
        <w:t xml:space="preserve">Patient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Encounter ---------------------------+</w:t>
      </w:r>
      <w:r>
        <w:br/>
      </w:r>
      <w:r>
        <w:rPr>
          <w:rStyle w:val="VerbatimChar"/>
        </w:rPr>
        <w:t xml:space="preserve">  |      |                                 |</w:t>
      </w:r>
      <w:r>
        <w:br/>
      </w:r>
      <w:r>
        <w:rPr>
          <w:rStyle w:val="VerbatimChar"/>
        </w:rPr>
        <w:t xml:space="preserve">  |      +-- Observation                   |</w:t>
      </w:r>
      <w:r>
        <w:br/>
      </w:r>
      <w:r>
        <w:rPr>
          <w:rStyle w:val="VerbatimChar"/>
        </w:rPr>
        <w:t xml:space="preserve">  |      +-- Condition                     |</w:t>
      </w:r>
      <w:r>
        <w:br/>
      </w:r>
      <w:r>
        <w:rPr>
          <w:rStyle w:val="VerbatimChar"/>
        </w:rPr>
        <w:t xml:space="preserve">  |      +-- Procedure                     |</w:t>
      </w:r>
      <w:r>
        <w:br/>
      </w:r>
      <w:r>
        <w:rPr>
          <w:rStyle w:val="VerbatimChar"/>
        </w:rPr>
        <w:t xml:space="preserve">  |      +-- MedicationRequest             |</w:t>
      </w:r>
      <w:r>
        <w:br/>
      </w:r>
      <w:r>
        <w:rPr>
          <w:rStyle w:val="VerbatimChar"/>
        </w:rPr>
        <w:t xml:space="preserve">  |      +-- CarePlan                      |</w:t>
      </w:r>
      <w:r>
        <w:br/>
      </w:r>
      <w:r>
        <w:rPr>
          <w:rStyle w:val="VerbatimChar"/>
        </w:rPr>
        <w:t xml:space="preserve">  |                                        |</w:t>
      </w:r>
      <w:r>
        <w:br/>
      </w:r>
      <w:r>
        <w:rPr>
          <w:rStyle w:val="VerbatimChar"/>
        </w:rPr>
        <w:t xml:space="preserve">  +-- Consent                              |</w:t>
      </w:r>
      <w:r>
        <w:br/>
      </w:r>
      <w:r>
        <w:rPr>
          <w:rStyle w:val="VerbatimChar"/>
        </w:rPr>
        <w:t xml:space="preserve">  +-- Allergy / Medication / History       |</w:t>
      </w:r>
      <w:r>
        <w:br/>
      </w:r>
      <w:r>
        <w:rPr>
          <w:rStyle w:val="VerbatimChar"/>
        </w:rPr>
        <w:t xml:space="preserve">  +-- ImagingStudy ----&gt; DICOM/Object      |</w:t>
      </w:r>
      <w:r>
        <w:br/>
      </w:r>
      <w:r>
        <w:rPr>
          <w:rStyle w:val="VerbatimChar"/>
        </w:rPr>
        <w:t xml:space="preserve">  +-- DocumentReference -&gt; PDF/CDA/File    |</w:t>
      </w:r>
      <w:r>
        <w:br/>
      </w:r>
      <w:r>
        <w:rPr>
          <w:rStyle w:val="VerbatimChar"/>
        </w:rPr>
        <w:t xml:space="preserve">  +-- Provenance / AuditEvent &lt;------------+</w:t>
      </w:r>
    </w:p>
    <w:bookmarkEnd w:id="59"/>
    <w:bookmarkStart w:id="60" w:name="X5fb3e52741a2a92a3daa8d4af677fc78616eee2"/>
    <w:p>
      <w:pPr>
        <w:pStyle w:val="Heading2"/>
      </w:pPr>
      <w:r>
        <w:t xml:space="preserve">7.2 Entità principali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Entità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Funzione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Tenant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confine organizzativo e di sicurezza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Organization/Location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struttura e sede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Patient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anagrafica clinica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RelatedPerson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tutore, familiare, referente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Practitioner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professionista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PractitionerRole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ruolo presso una struttura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Appointment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pianificazione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Encounter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episodio clinico effettivo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Observation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misura o riscontro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Condition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problema o diagnosi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Procedure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atto eseguito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CarePlan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piano di trattamento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ServiceRequest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richiesta di esame/prestazione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MedicationRequest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prescrizione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AllergyIntolerance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allergia/reazione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Consent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consenso e direttive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ImagingStudy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studio di imaging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DiagnosticReport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referto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DocumentReference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documento e metadati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Provenance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origine e trasformazioni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AuditEvent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accessi e operazioni</w:t>
            </w:r>
          </w:p>
        </w:tc>
      </w:tr>
    </w:tbl>
    <w:bookmarkEnd w:id="60"/>
    <w:bookmarkStart w:id="61" w:name="X815da9258831a11b244757743c7cbfdc9390186"/>
    <w:p>
      <w:pPr>
        <w:pStyle w:val="Heading2"/>
      </w:pPr>
      <w:r>
        <w:t xml:space="preserve">7.3 Identificatori</w:t>
      </w:r>
    </w:p>
    <w:p>
      <w:pPr>
        <w:pStyle w:val="Compact"/>
        <w:numPr>
          <w:ilvl w:val="0"/>
          <w:numId w:val="1026"/>
        </w:numPr>
      </w:pPr>
      <w:r>
        <w:t xml:space="preserve">UUID interno non significativo;</w:t>
      </w:r>
    </w:p>
    <w:p>
      <w:pPr>
        <w:pStyle w:val="Compact"/>
        <w:numPr>
          <w:ilvl w:val="0"/>
          <w:numId w:val="1026"/>
        </w:numPr>
      </w:pPr>
      <w:r>
        <w:t xml:space="preserve">identificatori esterni con namespace;</w:t>
      </w:r>
    </w:p>
    <w:p>
      <w:pPr>
        <w:pStyle w:val="Compact"/>
        <w:numPr>
          <w:ilvl w:val="0"/>
          <w:numId w:val="1026"/>
        </w:numPr>
      </w:pPr>
      <w:r>
        <w:t xml:space="preserve">versione dei code system;</w:t>
      </w:r>
    </w:p>
    <w:p>
      <w:pPr>
        <w:pStyle w:val="Compact"/>
        <w:numPr>
          <w:ilvl w:val="0"/>
          <w:numId w:val="1026"/>
        </w:numPr>
      </w:pPr>
      <w:r>
        <w:t xml:space="preserve">identificativo univoco del documento;</w:t>
      </w:r>
    </w:p>
    <w:p>
      <w:pPr>
        <w:pStyle w:val="Compact"/>
        <w:numPr>
          <w:ilvl w:val="0"/>
          <w:numId w:val="1026"/>
        </w:numPr>
      </w:pPr>
      <w:r>
        <w:t xml:space="preserve">hash dell'oggetto;</w:t>
      </w:r>
    </w:p>
    <w:p>
      <w:pPr>
        <w:pStyle w:val="Compact"/>
        <w:numPr>
          <w:ilvl w:val="0"/>
          <w:numId w:val="1026"/>
        </w:numPr>
      </w:pPr>
      <w:r>
        <w:t xml:space="preserve">correlation ID per transazioni e integrazioni;</w:t>
      </w:r>
    </w:p>
    <w:p>
      <w:pPr>
        <w:pStyle w:val="Compact"/>
        <w:numPr>
          <w:ilvl w:val="0"/>
          <w:numId w:val="1026"/>
        </w:numPr>
      </w:pPr>
      <w:r>
        <w:t xml:space="preserve">identificatore del modello AI per output algoritmici.</w:t>
      </w:r>
    </w:p>
    <w:bookmarkEnd w:id="61"/>
    <w:bookmarkStart w:id="62" w:name="X41057ffaa710ac224d99cd8875b2e960de9c863"/>
    <w:p>
      <w:pPr>
        <w:pStyle w:val="Heading2"/>
      </w:pPr>
      <w:r>
        <w:t xml:space="preserve">7.4 Regole database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tenant_id</w:t>
      </w:r>
      <w:r>
        <w:t xml:space="preserve"> </w:t>
      </w:r>
      <w:r>
        <w:t xml:space="preserve">obbligatorio su tutte le entità cliniche;</w:t>
      </w:r>
    </w:p>
    <w:p>
      <w:pPr>
        <w:pStyle w:val="Compact"/>
        <w:numPr>
          <w:ilvl w:val="0"/>
          <w:numId w:val="1027"/>
        </w:numPr>
      </w:pPr>
      <w:r>
        <w:t xml:space="preserve">foreign key e vincoli di integrità;</w:t>
      </w:r>
    </w:p>
    <w:p>
      <w:pPr>
        <w:pStyle w:val="Compact"/>
        <w:numPr>
          <w:ilvl w:val="0"/>
          <w:numId w:val="1027"/>
        </w:numPr>
      </w:pPr>
      <w:r>
        <w:t xml:space="preserve">timestamp in UTC, visualizzazione nel fuso locale;</w:t>
      </w:r>
    </w:p>
    <w:p>
      <w:pPr>
        <w:pStyle w:val="Compact"/>
        <w:numPr>
          <w:ilvl w:val="0"/>
          <w:numId w:val="1027"/>
        </w:numPr>
      </w:pPr>
      <w:r>
        <w:t xml:space="preserve">autore e provenienza obbligatori;</w:t>
      </w:r>
    </w:p>
    <w:p>
      <w:pPr>
        <w:pStyle w:val="Compact"/>
        <w:numPr>
          <w:ilvl w:val="0"/>
          <w:numId w:val="1027"/>
        </w:numPr>
      </w:pPr>
      <w:r>
        <w:t xml:space="preserve">campi clinici critici non null quando finalizzati;</w:t>
      </w:r>
    </w:p>
    <w:p>
      <w:pPr>
        <w:pStyle w:val="Compact"/>
        <w:numPr>
          <w:ilvl w:val="0"/>
          <w:numId w:val="1027"/>
        </w:numPr>
      </w:pPr>
      <w:r>
        <w:t xml:space="preserve">soft delete o stato di annullamento, non cancellazione fisica ordinaria;</w:t>
      </w:r>
    </w:p>
    <w:p>
      <w:pPr>
        <w:pStyle w:val="Compact"/>
        <w:numPr>
          <w:ilvl w:val="0"/>
          <w:numId w:val="1027"/>
        </w:numPr>
      </w:pPr>
      <w:r>
        <w:t xml:space="preserve">optimistic locking;</w:t>
      </w:r>
    </w:p>
    <w:p>
      <w:pPr>
        <w:pStyle w:val="Compact"/>
        <w:numPr>
          <w:ilvl w:val="0"/>
          <w:numId w:val="1027"/>
        </w:numPr>
      </w:pPr>
      <w:r>
        <w:t xml:space="preserve">audit separato dal log applicativo;</w:t>
      </w:r>
    </w:p>
    <w:p>
      <w:pPr>
        <w:pStyle w:val="Compact"/>
        <w:numPr>
          <w:ilvl w:val="0"/>
          <w:numId w:val="1027"/>
        </w:numPr>
      </w:pPr>
      <w:r>
        <w:t xml:space="preserve">versionamento delle terminologie;</w:t>
      </w:r>
    </w:p>
    <w:p>
      <w:pPr>
        <w:pStyle w:val="Compact"/>
        <w:numPr>
          <w:ilvl w:val="0"/>
          <w:numId w:val="1027"/>
        </w:numPr>
      </w:pPr>
      <w:r>
        <w:t xml:space="preserve">cifratura selettiva per dati particolarmente sensibili, quando utile;</w:t>
      </w:r>
    </w:p>
    <w:p>
      <w:pPr>
        <w:pStyle w:val="Compact"/>
        <w:numPr>
          <w:ilvl w:val="0"/>
          <w:numId w:val="1027"/>
        </w:numPr>
      </w:pPr>
      <w:r>
        <w:t xml:space="preserve">Row Level Security PostgreSQL come ulteriore barriera, non unico controllo.</w:t>
      </w:r>
    </w:p>
    <w:bookmarkEnd w:id="62"/>
    <w:bookmarkStart w:id="63" w:name="X3580bf215b4dbe1003574ea62772be79ce6aebe"/>
    <w:p>
      <w:pPr>
        <w:pStyle w:val="Heading2"/>
      </w:pPr>
      <w:r>
        <w:t xml:space="preserve">7.5 Esempio di record clinico API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"0d942f18-7fb1-47c1-8563-e074c7a3549d"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"clinic-roma-01"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"79f1a25d-5fbf-4afe-a7bb-0c4bd2f9735b"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"4ab6bb44-903d-4925-b7df-0a02d70a2b1c"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"DENTAL_FINDING"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"OCCLUSAL"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"https://dentalcare.example/codes/findings"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"CARIES_SUSPECTED"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"certainty"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"CLINICAL_EXAM"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"2026-07-16T11:24:00Z"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"practitioner-213"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br/>
      </w:r>
      <w:r>
        <w:rPr>
          <w:rStyle w:val="FunctionTok"/>
        </w:rPr>
        <w:t xml:space="preserve">}</w:t>
      </w:r>
    </w:p>
    <w:bookmarkEnd w:id="63"/>
    <w:bookmarkEnd w:id="64"/>
    <w:bookmarkStart w:id="69" w:name="Xb4b15acae555ddcfcf620eecec522de34978f47"/>
    <w:p>
      <w:pPr>
        <w:pStyle w:val="Heading1"/>
      </w:pPr>
      <w:r>
        <w:t xml:space="preserve">8. Gestione delle immagini dentali</w:t>
      </w:r>
    </w:p>
    <w:bookmarkStart w:id="65" w:name="X0943582f392d95e99c4a735315c6e35442a7609"/>
    <w:p>
      <w:pPr>
        <w:pStyle w:val="Heading2"/>
      </w:pPr>
      <w:r>
        <w:t xml:space="preserve">8.1 DICOM come fonte primaria quando disponibile</w:t>
      </w:r>
    </w:p>
    <w:p>
      <w:pPr>
        <w:pStyle w:val="FirstParagraph"/>
      </w:pPr>
      <w:r>
        <w:t xml:space="preserve">DICOM incorpora immagine e metadati del paziente e dello studio; tali metadati devono essere gestiti con attenzione perché possono contenere dati identificativi [R12].</w:t>
      </w:r>
    </w:p>
    <w:p>
      <w:pPr>
        <w:pStyle w:val="BodyText"/>
      </w:pPr>
      <w:r>
        <w:t xml:space="preserve">DentalCare dovrebbe supportare:</w:t>
      </w:r>
    </w:p>
    <w:p>
      <w:pPr>
        <w:pStyle w:val="Compact"/>
        <w:numPr>
          <w:ilvl w:val="0"/>
          <w:numId w:val="1028"/>
        </w:numPr>
      </w:pPr>
      <w:r>
        <w:t xml:space="preserve">C-STORE o integrazione con PACS, se richiesta;</w:t>
      </w:r>
    </w:p>
    <w:p>
      <w:pPr>
        <w:pStyle w:val="Compact"/>
        <w:numPr>
          <w:ilvl w:val="0"/>
          <w:numId w:val="1028"/>
        </w:numPr>
      </w:pPr>
      <w:r>
        <w:t xml:space="preserve">DICOMweb per accesso web moderno;</w:t>
      </w:r>
    </w:p>
    <w:p>
      <w:pPr>
        <w:pStyle w:val="Compact"/>
        <w:numPr>
          <w:ilvl w:val="0"/>
          <w:numId w:val="1028"/>
        </w:numPr>
      </w:pPr>
      <w:r>
        <w:t xml:space="preserve">import di file DICOM;</w:t>
      </w:r>
    </w:p>
    <w:p>
      <w:pPr>
        <w:pStyle w:val="Compact"/>
        <w:numPr>
          <w:ilvl w:val="0"/>
          <w:numId w:val="1028"/>
        </w:numPr>
      </w:pPr>
      <w:r>
        <w:t xml:space="preserve">JPEG/PNG solo per sorgenti non DICOM;</w:t>
      </w:r>
    </w:p>
    <w:p>
      <w:pPr>
        <w:pStyle w:val="Compact"/>
        <w:numPr>
          <w:ilvl w:val="0"/>
          <w:numId w:val="1028"/>
        </w:numPr>
      </w:pPr>
      <w:r>
        <w:t xml:space="preserve">associazione a Patient, Encounter e ordine/esame;</w:t>
      </w:r>
    </w:p>
    <w:p>
      <w:pPr>
        <w:pStyle w:val="Compact"/>
        <w:numPr>
          <w:ilvl w:val="0"/>
          <w:numId w:val="1028"/>
        </w:numPr>
      </w:pPr>
      <w:r>
        <w:t xml:space="preserve">visualizzatore con windowing, zoom e misure appropriate;</w:t>
      </w:r>
    </w:p>
    <w:p>
      <w:pPr>
        <w:pStyle w:val="Compact"/>
        <w:numPr>
          <w:ilvl w:val="0"/>
          <w:numId w:val="1028"/>
        </w:numPr>
      </w:pPr>
      <w:r>
        <w:t xml:space="preserve">conformance statement per le funzioni DICOM implementate;</w:t>
      </w:r>
    </w:p>
    <w:p>
      <w:pPr>
        <w:pStyle w:val="Compact"/>
        <w:numPr>
          <w:ilvl w:val="0"/>
          <w:numId w:val="1028"/>
        </w:numPr>
      </w:pPr>
      <w:r>
        <w:t xml:space="preserve">controllo di coerenza fra metadati e paziente selezionato.</w:t>
      </w:r>
    </w:p>
    <w:bookmarkEnd w:id="65"/>
    <w:bookmarkStart w:id="66" w:name="X2026fffd884612ccdbfb41d1263beff1d70cbed"/>
    <w:p>
      <w:pPr>
        <w:pStyle w:val="Heading2"/>
      </w:pPr>
      <w:r>
        <w:t xml:space="preserve">8.2 Repository MinIO</w:t>
      </w:r>
    </w:p>
    <w:p>
      <w:pPr>
        <w:pStyle w:val="FirstParagraph"/>
      </w:pPr>
      <w:r>
        <w:t xml:space="preserve">Struttura logica consigliata:</w:t>
      </w:r>
    </w:p>
    <w:p>
      <w:pPr>
        <w:pStyle w:val="SourceCode"/>
      </w:pPr>
      <w:r>
        <w:rPr>
          <w:rStyle w:val="VerbatimChar"/>
        </w:rPr>
        <w:t xml:space="preserve">bucket: dentalcare-clinical</w:t>
      </w:r>
      <w:r>
        <w:br/>
      </w:r>
      <w:r>
        <w:rPr>
          <w:rStyle w:val="VerbatimChar"/>
        </w:rPr>
        <w:t xml:space="preserve">/{tenant-uuid}/{patient-uuid}/{study-uuid}/{object-uuid}</w:t>
      </w:r>
    </w:p>
    <w:p>
      <w:pPr>
        <w:pStyle w:val="FirstParagraph"/>
      </w:pPr>
      <w:r>
        <w:t xml:space="preserve">Non usare nomi, cognomi o codici fiscali nei path.</w:t>
      </w:r>
    </w:p>
    <w:p>
      <w:pPr>
        <w:pStyle w:val="BodyText"/>
      </w:pPr>
      <w:r>
        <w:t xml:space="preserve">Metadati nel database:</w:t>
      </w:r>
    </w:p>
    <w:p>
      <w:pPr>
        <w:pStyle w:val="Compact"/>
        <w:numPr>
          <w:ilvl w:val="0"/>
          <w:numId w:val="1029"/>
        </w:numPr>
      </w:pPr>
      <w:r>
        <w:t xml:space="preserve">object UUID;</w:t>
      </w:r>
    </w:p>
    <w:p>
      <w:pPr>
        <w:pStyle w:val="Compact"/>
        <w:numPr>
          <w:ilvl w:val="0"/>
          <w:numId w:val="1029"/>
        </w:numPr>
      </w:pPr>
      <w:r>
        <w:t xml:space="preserve">bucket/key;</w:t>
      </w:r>
    </w:p>
    <w:p>
      <w:pPr>
        <w:pStyle w:val="Compact"/>
        <w:numPr>
          <w:ilvl w:val="0"/>
          <w:numId w:val="1029"/>
        </w:numPr>
      </w:pPr>
      <w:r>
        <w:t xml:space="preserve">hash SHA-256;</w:t>
      </w:r>
    </w:p>
    <w:p>
      <w:pPr>
        <w:pStyle w:val="Compact"/>
        <w:numPr>
          <w:ilvl w:val="0"/>
          <w:numId w:val="1029"/>
        </w:numPr>
      </w:pPr>
      <w:r>
        <w:t xml:space="preserve">MIME type;</w:t>
      </w:r>
    </w:p>
    <w:p>
      <w:pPr>
        <w:pStyle w:val="Compact"/>
        <w:numPr>
          <w:ilvl w:val="0"/>
          <w:numId w:val="1029"/>
        </w:numPr>
      </w:pPr>
      <w:r>
        <w:t xml:space="preserve">dimensione;</w:t>
      </w:r>
    </w:p>
    <w:p>
      <w:pPr>
        <w:pStyle w:val="Compact"/>
        <w:numPr>
          <w:ilvl w:val="0"/>
          <w:numId w:val="1029"/>
        </w:numPr>
      </w:pPr>
      <w:r>
        <w:t xml:space="preserve">DICOM Study/Series/SOP Instance UID;</w:t>
      </w:r>
    </w:p>
    <w:p>
      <w:pPr>
        <w:pStyle w:val="Compact"/>
        <w:numPr>
          <w:ilvl w:val="0"/>
          <w:numId w:val="1029"/>
        </w:numPr>
      </w:pPr>
      <w:r>
        <w:t xml:space="preserve">paziente, encounter e ordine;</w:t>
      </w:r>
    </w:p>
    <w:p>
      <w:pPr>
        <w:pStyle w:val="Compact"/>
        <w:numPr>
          <w:ilvl w:val="0"/>
          <w:numId w:val="1029"/>
        </w:numPr>
      </w:pPr>
      <w:r>
        <w:t xml:space="preserve">uploader e data;</w:t>
      </w:r>
    </w:p>
    <w:p>
      <w:pPr>
        <w:pStyle w:val="Compact"/>
        <w:numPr>
          <w:ilvl w:val="0"/>
          <w:numId w:val="1029"/>
        </w:numPr>
      </w:pPr>
      <w:r>
        <w:t xml:space="preserve">stato malware scan;</w:t>
      </w:r>
    </w:p>
    <w:p>
      <w:pPr>
        <w:pStyle w:val="Compact"/>
        <w:numPr>
          <w:ilvl w:val="0"/>
          <w:numId w:val="1029"/>
        </w:numPr>
      </w:pPr>
      <w:r>
        <w:t xml:space="preserve">versione;</w:t>
      </w:r>
    </w:p>
    <w:p>
      <w:pPr>
        <w:pStyle w:val="Compact"/>
        <w:numPr>
          <w:ilvl w:val="0"/>
          <w:numId w:val="1029"/>
        </w:numPr>
      </w:pPr>
      <w:r>
        <w:t xml:space="preserve">retention class;</w:t>
      </w:r>
    </w:p>
    <w:p>
      <w:pPr>
        <w:pStyle w:val="Compact"/>
        <w:numPr>
          <w:ilvl w:val="0"/>
          <w:numId w:val="1029"/>
        </w:numPr>
      </w:pPr>
      <w:r>
        <w:t xml:space="preserve">stato di firma/conservazione;</w:t>
      </w:r>
    </w:p>
    <w:p>
      <w:pPr>
        <w:pStyle w:val="Compact"/>
        <w:numPr>
          <w:ilvl w:val="0"/>
          <w:numId w:val="1029"/>
        </w:numPr>
      </w:pPr>
      <w:r>
        <w:t xml:space="preserve">eventuale pseudonimizzazione.</w:t>
      </w:r>
    </w:p>
    <w:bookmarkEnd w:id="66"/>
    <w:bookmarkStart w:id="67" w:name="X1af57c82173b5dac242ad937889547ad97fd539"/>
    <w:p>
      <w:pPr>
        <w:pStyle w:val="Heading2"/>
      </w:pPr>
      <w:r>
        <w:t xml:space="preserve">8.3 Controlli in upload</w:t>
      </w:r>
    </w:p>
    <w:p>
      <w:pPr>
        <w:pStyle w:val="Compact"/>
        <w:numPr>
          <w:ilvl w:val="0"/>
          <w:numId w:val="1030"/>
        </w:numPr>
      </w:pPr>
      <w:r>
        <w:t xml:space="preserve">allowlist formati;</w:t>
      </w:r>
    </w:p>
    <w:p>
      <w:pPr>
        <w:pStyle w:val="Compact"/>
        <w:numPr>
          <w:ilvl w:val="0"/>
          <w:numId w:val="1030"/>
        </w:numPr>
      </w:pPr>
      <w:r>
        <w:t xml:space="preserve">limite dimensione;</w:t>
      </w:r>
    </w:p>
    <w:p>
      <w:pPr>
        <w:pStyle w:val="Compact"/>
        <w:numPr>
          <w:ilvl w:val="0"/>
          <w:numId w:val="1030"/>
        </w:numPr>
      </w:pPr>
      <w:r>
        <w:t xml:space="preserve">controllo MIME reale;</w:t>
      </w:r>
    </w:p>
    <w:p>
      <w:pPr>
        <w:pStyle w:val="Compact"/>
        <w:numPr>
          <w:ilvl w:val="0"/>
          <w:numId w:val="1030"/>
        </w:numPr>
      </w:pPr>
      <w:r>
        <w:t xml:space="preserve">antivirus/antimalware;</w:t>
      </w:r>
    </w:p>
    <w:p>
      <w:pPr>
        <w:pStyle w:val="Compact"/>
        <w:numPr>
          <w:ilvl w:val="0"/>
          <w:numId w:val="1030"/>
        </w:numPr>
      </w:pPr>
      <w:r>
        <w:t xml:space="preserve">decodifica sicura;</w:t>
      </w:r>
    </w:p>
    <w:p>
      <w:pPr>
        <w:pStyle w:val="Compact"/>
        <w:numPr>
          <w:ilvl w:val="0"/>
          <w:numId w:val="1030"/>
        </w:numPr>
      </w:pPr>
      <w:r>
        <w:t xml:space="preserve">verifica DICOM;</w:t>
      </w:r>
    </w:p>
    <w:p>
      <w:pPr>
        <w:pStyle w:val="Compact"/>
        <w:numPr>
          <w:ilvl w:val="0"/>
          <w:numId w:val="1030"/>
        </w:numPr>
      </w:pPr>
      <w:r>
        <w:t xml:space="preserve">quarantena iniziale;</w:t>
      </w:r>
    </w:p>
    <w:p>
      <w:pPr>
        <w:pStyle w:val="Compact"/>
        <w:numPr>
          <w:ilvl w:val="0"/>
          <w:numId w:val="1030"/>
        </w:numPr>
      </w:pPr>
      <w:r>
        <w:t xml:space="preserve">confronto Patient ID;</w:t>
      </w:r>
    </w:p>
    <w:p>
      <w:pPr>
        <w:pStyle w:val="Compact"/>
        <w:numPr>
          <w:ilvl w:val="0"/>
          <w:numId w:val="1030"/>
        </w:numPr>
      </w:pPr>
      <w:r>
        <w:t xml:space="preserve">hash e deduplicazione controllata;</w:t>
      </w:r>
    </w:p>
    <w:p>
      <w:pPr>
        <w:pStyle w:val="Compact"/>
        <w:numPr>
          <w:ilvl w:val="0"/>
          <w:numId w:val="1030"/>
        </w:numPr>
      </w:pPr>
      <w:r>
        <w:t xml:space="preserve">registrazione della provenienza;</w:t>
      </w:r>
    </w:p>
    <w:p>
      <w:pPr>
        <w:pStyle w:val="Compact"/>
        <w:numPr>
          <w:ilvl w:val="0"/>
          <w:numId w:val="1030"/>
        </w:numPr>
      </w:pPr>
      <w:r>
        <w:t xml:space="preserve">divieto di esposizione pubblica del bucket;</w:t>
      </w:r>
    </w:p>
    <w:p>
      <w:pPr>
        <w:pStyle w:val="Compact"/>
        <w:numPr>
          <w:ilvl w:val="0"/>
          <w:numId w:val="1030"/>
        </w:numPr>
      </w:pPr>
      <w:r>
        <w:t xml:space="preserve">download tramite URL firmate di breve durata o streaming autorizzato.</w:t>
      </w:r>
    </w:p>
    <w:bookmarkEnd w:id="67"/>
    <w:bookmarkStart w:id="68" w:name="X8520e6b5bd466b791b579d2ed5d5acc993fe63e"/>
    <w:p>
      <w:pPr>
        <w:pStyle w:val="Heading2"/>
      </w:pPr>
      <w:r>
        <w:t xml:space="preserve">8.4 De-identificazione</w:t>
      </w:r>
    </w:p>
    <w:p>
      <w:pPr>
        <w:pStyle w:val="FirstParagraph"/>
      </w:pPr>
      <w:r>
        <w:t xml:space="preserve">Per ricerca, validazione e training AI:</w:t>
      </w:r>
    </w:p>
    <w:p>
      <w:pPr>
        <w:pStyle w:val="Compact"/>
        <w:numPr>
          <w:ilvl w:val="0"/>
          <w:numId w:val="1031"/>
        </w:numPr>
      </w:pPr>
      <w:r>
        <w:t xml:space="preserve">non limitarsi a modificare il nome file;</w:t>
      </w:r>
    </w:p>
    <w:p>
      <w:pPr>
        <w:pStyle w:val="Compact"/>
        <w:numPr>
          <w:ilvl w:val="0"/>
          <w:numId w:val="1031"/>
        </w:numPr>
      </w:pPr>
      <w:r>
        <w:t xml:space="preserve">applicare profili DICOM di de-identificazione;</w:t>
      </w:r>
    </w:p>
    <w:p>
      <w:pPr>
        <w:pStyle w:val="Compact"/>
        <w:numPr>
          <w:ilvl w:val="0"/>
          <w:numId w:val="1031"/>
        </w:numPr>
      </w:pPr>
      <w:r>
        <w:t xml:space="preserve">rimuovere o trasformare tag identificativi;</w:t>
      </w:r>
    </w:p>
    <w:p>
      <w:pPr>
        <w:pStyle w:val="Compact"/>
        <w:numPr>
          <w:ilvl w:val="0"/>
          <w:numId w:val="1031"/>
        </w:numPr>
      </w:pPr>
      <w:r>
        <w:t xml:space="preserve">verificare pixel burned-in;</w:t>
      </w:r>
    </w:p>
    <w:p>
      <w:pPr>
        <w:pStyle w:val="Compact"/>
        <w:numPr>
          <w:ilvl w:val="0"/>
          <w:numId w:val="1031"/>
        </w:numPr>
      </w:pPr>
      <w:r>
        <w:t xml:space="preserve">mantenere una chiave di re-identificazione separata solo se necessaria;</w:t>
      </w:r>
    </w:p>
    <w:p>
      <w:pPr>
        <w:pStyle w:val="Compact"/>
        <w:numPr>
          <w:ilvl w:val="0"/>
          <w:numId w:val="1031"/>
        </w:numPr>
      </w:pPr>
      <w:r>
        <w:t xml:space="preserve">registrare metodo e versione della procedura;</w:t>
      </w:r>
    </w:p>
    <w:p>
      <w:pPr>
        <w:pStyle w:val="Compact"/>
        <w:numPr>
          <w:ilvl w:val="0"/>
          <w:numId w:val="1031"/>
        </w:numPr>
      </w:pPr>
      <w:r>
        <w:t xml:space="preserve">effettuare controllo campionario e automatico;</w:t>
      </w:r>
    </w:p>
    <w:p>
      <w:pPr>
        <w:pStyle w:val="Compact"/>
        <w:numPr>
          <w:ilvl w:val="0"/>
          <w:numId w:val="1031"/>
        </w:numPr>
      </w:pPr>
      <w:r>
        <w:t xml:space="preserve">separare ambiente clinico e ambiente ricerca.</w:t>
      </w:r>
    </w:p>
    <w:bookmarkEnd w:id="68"/>
    <w:bookmarkEnd w:id="69"/>
    <w:bookmarkStart w:id="74" w:name="Xee2812aafd729c7b8a8be26b633378402e268c7"/>
    <w:p>
      <w:pPr>
        <w:pStyle w:val="Heading1"/>
      </w:pPr>
      <w:r>
        <w:t xml:space="preserve">9. Documenti, firma e conservazione</w:t>
      </w:r>
    </w:p>
    <w:bookmarkStart w:id="70" w:name="X087c0da12c42168119de1ec9d3104d4da53cef1"/>
    <w:p>
      <w:pPr>
        <w:pStyle w:val="Heading2"/>
      </w:pPr>
      <w:r>
        <w:t xml:space="preserve">9.1 Documento nativo digitale</w:t>
      </w:r>
    </w:p>
    <w:p>
      <w:pPr>
        <w:pStyle w:val="FirstParagraph"/>
      </w:pPr>
      <w:r>
        <w:t xml:space="preserve">Un documento nativo digitale deve avere:</w:t>
      </w:r>
    </w:p>
    <w:p>
      <w:pPr>
        <w:pStyle w:val="Compact"/>
        <w:numPr>
          <w:ilvl w:val="0"/>
          <w:numId w:val="1032"/>
        </w:numPr>
      </w:pPr>
      <w:r>
        <w:t xml:space="preserve">contenuto;</w:t>
      </w:r>
    </w:p>
    <w:p>
      <w:pPr>
        <w:pStyle w:val="Compact"/>
        <w:numPr>
          <w:ilvl w:val="0"/>
          <w:numId w:val="1032"/>
        </w:numPr>
      </w:pPr>
      <w:r>
        <w:t xml:space="preserve">autore;</w:t>
      </w:r>
    </w:p>
    <w:p>
      <w:pPr>
        <w:pStyle w:val="Compact"/>
        <w:numPr>
          <w:ilvl w:val="0"/>
          <w:numId w:val="1032"/>
        </w:numPr>
      </w:pPr>
      <w:r>
        <w:t xml:space="preserve">data e ora;</w:t>
      </w:r>
    </w:p>
    <w:p>
      <w:pPr>
        <w:pStyle w:val="Compact"/>
        <w:numPr>
          <w:ilvl w:val="0"/>
          <w:numId w:val="1032"/>
        </w:numPr>
      </w:pPr>
      <w:r>
        <w:t xml:space="preserve">contesto;</w:t>
      </w:r>
    </w:p>
    <w:p>
      <w:pPr>
        <w:pStyle w:val="Compact"/>
        <w:numPr>
          <w:ilvl w:val="0"/>
          <w:numId w:val="1032"/>
        </w:numPr>
      </w:pPr>
      <w:r>
        <w:t xml:space="preserve">identificatore;</w:t>
      </w:r>
    </w:p>
    <w:p>
      <w:pPr>
        <w:pStyle w:val="Compact"/>
        <w:numPr>
          <w:ilvl w:val="0"/>
          <w:numId w:val="1032"/>
        </w:numPr>
      </w:pPr>
      <w:r>
        <w:t xml:space="preserve">versione;</w:t>
      </w:r>
    </w:p>
    <w:p>
      <w:pPr>
        <w:pStyle w:val="Compact"/>
        <w:numPr>
          <w:ilvl w:val="0"/>
          <w:numId w:val="1032"/>
        </w:numPr>
      </w:pPr>
      <w:r>
        <w:t xml:space="preserve">formato;</w:t>
      </w:r>
    </w:p>
    <w:p>
      <w:pPr>
        <w:pStyle w:val="Compact"/>
        <w:numPr>
          <w:ilvl w:val="0"/>
          <w:numId w:val="1032"/>
        </w:numPr>
      </w:pPr>
      <w:r>
        <w:t xml:space="preserve">impronta/hash;</w:t>
      </w:r>
    </w:p>
    <w:p>
      <w:pPr>
        <w:pStyle w:val="Compact"/>
        <w:numPr>
          <w:ilvl w:val="0"/>
          <w:numId w:val="1032"/>
        </w:numPr>
      </w:pPr>
      <w:r>
        <w:t xml:space="preserve">stato;</w:t>
      </w:r>
    </w:p>
    <w:p>
      <w:pPr>
        <w:pStyle w:val="Compact"/>
        <w:numPr>
          <w:ilvl w:val="0"/>
          <w:numId w:val="1032"/>
        </w:numPr>
      </w:pPr>
      <w:r>
        <w:t xml:space="preserve">eventuale firma;</w:t>
      </w:r>
    </w:p>
    <w:p>
      <w:pPr>
        <w:pStyle w:val="Compact"/>
        <w:numPr>
          <w:ilvl w:val="0"/>
          <w:numId w:val="1032"/>
        </w:numPr>
      </w:pPr>
      <w:r>
        <w:t xml:space="preserve">metadati di classificazione;</w:t>
      </w:r>
    </w:p>
    <w:p>
      <w:pPr>
        <w:pStyle w:val="Compact"/>
        <w:numPr>
          <w:ilvl w:val="0"/>
          <w:numId w:val="1032"/>
        </w:numPr>
      </w:pPr>
      <w:r>
        <w:t xml:space="preserve">collegamento agli eventi clinici.</w:t>
      </w:r>
    </w:p>
    <w:bookmarkEnd w:id="70"/>
    <w:bookmarkStart w:id="71" w:name="X635a767f70e0d778e8e6b0e89c43bce4cb4edb9"/>
    <w:p>
      <w:pPr>
        <w:pStyle w:val="Heading2"/>
      </w:pPr>
      <w:r>
        <w:t xml:space="preserve">9.2 Firma e finalizzazione</w:t>
      </w:r>
    </w:p>
    <w:p>
      <w:pPr>
        <w:pStyle w:val="FirstParagraph"/>
      </w:pPr>
      <w:r>
        <w:t xml:space="preserve">Non ogni campo del database deve essere firmato digitalmente. È utile adottare livelli diversi: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attribuzione applicativa</w:t>
      </w:r>
      <w:r>
        <w:t xml:space="preserve">: autenticazione forte, utente individuale, timestamp, audit;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finalizzazione clinica</w:t>
      </w:r>
      <w:r>
        <w:t xml:space="preserve">: approvazione esplicita della nota e blocco delle modifiche;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firma elettronica</w:t>
      </w:r>
      <w:r>
        <w:t xml:space="preserve">: per consensi, referti, certificati e documenti previsti dalla policy;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firma qualificata/digitale e marca temporale</w:t>
      </w:r>
      <w:r>
        <w:t xml:space="preserve">: quando richiesta dal flusso o scelta per maggior valore probatorio;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PAdES</w:t>
      </w:r>
      <w:r>
        <w:t xml:space="preserve">: per documenti PDF destinati a specifici flussi, incluso il processo FSE 2.0 descritto nelle specifiche di accreditamento [R6].</w:t>
      </w:r>
    </w:p>
    <w:p>
      <w:pPr>
        <w:pStyle w:val="FirstParagraph"/>
      </w:pPr>
      <w:r>
        <w:t xml:space="preserve">La soluzione deve registrare certificato, algoritmo, esito di verifica e data della firma.</w:t>
      </w:r>
    </w:p>
    <w:bookmarkEnd w:id="71"/>
    <w:bookmarkStart w:id="72" w:name="X8f7ca6c73f39d1a5baa9506103beccb8c6bbb48"/>
    <w:p>
      <w:pPr>
        <w:pStyle w:val="Heading2"/>
      </w:pPr>
      <w:r>
        <w:t xml:space="preserve">9.3 Backup non è conservazione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Funzione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Backup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Conservazione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Scopo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ripristino tecnico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mantenimento giuridico/documentale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Oggetto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database e file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documenti finalizzati e metadati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Modificabilità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copie sostituibili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pacchetti e processi controllati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Ricerca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tecnica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documentale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Evidenze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log di backup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indice, impronte, firme, rapporti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Durata</w:t>
            </w:r>
          </w:p>
        </w:tc>
        <w:tc>
          <w:tcPr>
            <w:tcW w:type="dxa" w:w="30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secondo piano DR</w:t>
            </w:r>
          </w:p>
        </w:tc>
        <w:tc>
          <w:tcPr>
            <w:tcW w:type="dxa" w:w="413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secondo massimario/policy</w:t>
            </w:r>
          </w:p>
        </w:tc>
      </w:tr>
    </w:tbl>
    <w:bookmarkEnd w:id="72"/>
    <w:bookmarkStart w:id="73" w:name="X5588da0cc48e8c6de683943169b053a596e62c2"/>
    <w:p>
      <w:pPr>
        <w:pStyle w:val="Heading2"/>
      </w:pPr>
      <w:r>
        <w:t xml:space="preserve">9.4 Politica di conservazione</w:t>
      </w:r>
    </w:p>
    <w:p>
      <w:pPr>
        <w:pStyle w:val="FirstParagraph"/>
      </w:pPr>
      <w:r>
        <w:t xml:space="preserve">Creare una matrice per tipologia:</w:t>
      </w:r>
    </w:p>
    <w:p>
      <w:pPr>
        <w:pStyle w:val="Compact"/>
        <w:numPr>
          <w:ilvl w:val="0"/>
          <w:numId w:val="1034"/>
        </w:numPr>
      </w:pPr>
      <w:r>
        <w:t xml:space="preserve">cartella e note cliniche;</w:t>
      </w:r>
    </w:p>
    <w:p>
      <w:pPr>
        <w:pStyle w:val="Compact"/>
        <w:numPr>
          <w:ilvl w:val="0"/>
          <w:numId w:val="1034"/>
        </w:numPr>
      </w:pPr>
      <w:r>
        <w:t xml:space="preserve">immagini;</w:t>
      </w:r>
    </w:p>
    <w:p>
      <w:pPr>
        <w:pStyle w:val="Compact"/>
        <w:numPr>
          <w:ilvl w:val="0"/>
          <w:numId w:val="1034"/>
        </w:numPr>
      </w:pPr>
      <w:r>
        <w:t xml:space="preserve">referti;</w:t>
      </w:r>
    </w:p>
    <w:p>
      <w:pPr>
        <w:pStyle w:val="Compact"/>
        <w:numPr>
          <w:ilvl w:val="0"/>
          <w:numId w:val="1034"/>
        </w:numPr>
      </w:pPr>
      <w:r>
        <w:t xml:space="preserve">consensi;</w:t>
      </w:r>
    </w:p>
    <w:p>
      <w:pPr>
        <w:pStyle w:val="Compact"/>
        <w:numPr>
          <w:ilvl w:val="0"/>
          <w:numId w:val="1034"/>
        </w:numPr>
      </w:pPr>
      <w:r>
        <w:t xml:space="preserve">prescrizioni;</w:t>
      </w:r>
    </w:p>
    <w:p>
      <w:pPr>
        <w:pStyle w:val="Compact"/>
        <w:numPr>
          <w:ilvl w:val="0"/>
          <w:numId w:val="1034"/>
        </w:numPr>
      </w:pPr>
      <w:r>
        <w:t xml:space="preserve">preventivi e fatture;</w:t>
      </w:r>
    </w:p>
    <w:p>
      <w:pPr>
        <w:pStyle w:val="Compact"/>
        <w:numPr>
          <w:ilvl w:val="0"/>
          <w:numId w:val="1034"/>
        </w:numPr>
      </w:pPr>
      <w:r>
        <w:t xml:space="preserve">log accessi;</w:t>
      </w:r>
    </w:p>
    <w:p>
      <w:pPr>
        <w:pStyle w:val="Compact"/>
        <w:numPr>
          <w:ilvl w:val="0"/>
          <w:numId w:val="1034"/>
        </w:numPr>
      </w:pPr>
      <w:r>
        <w:t xml:space="preserve">registrazioni vocali;</w:t>
      </w:r>
    </w:p>
    <w:p>
      <w:pPr>
        <w:pStyle w:val="Compact"/>
        <w:numPr>
          <w:ilvl w:val="0"/>
          <w:numId w:val="1034"/>
        </w:numPr>
      </w:pPr>
      <w:r>
        <w:t xml:space="preserve">dati di telemetria;</w:t>
      </w:r>
    </w:p>
    <w:p>
      <w:pPr>
        <w:pStyle w:val="Compact"/>
        <w:numPr>
          <w:ilvl w:val="0"/>
          <w:numId w:val="1034"/>
        </w:numPr>
      </w:pPr>
      <w:r>
        <w:t xml:space="preserve">dataset di training;</w:t>
      </w:r>
    </w:p>
    <w:p>
      <w:pPr>
        <w:pStyle w:val="Compact"/>
        <w:numPr>
          <w:ilvl w:val="0"/>
          <w:numId w:val="1034"/>
        </w:numPr>
      </w:pPr>
      <w:r>
        <w:t xml:space="preserve">backup.</w:t>
      </w:r>
    </w:p>
    <w:p>
      <w:pPr>
        <w:pStyle w:val="FirstParagraph"/>
      </w:pPr>
      <w:r>
        <w:t xml:space="preserve">Per ogni categoria indicare:</w:t>
      </w:r>
    </w:p>
    <w:p>
      <w:pPr>
        <w:pStyle w:val="Compact"/>
        <w:numPr>
          <w:ilvl w:val="0"/>
          <w:numId w:val="1035"/>
        </w:numPr>
      </w:pPr>
      <w:r>
        <w:t xml:space="preserve">finalità;</w:t>
      </w:r>
    </w:p>
    <w:p>
      <w:pPr>
        <w:pStyle w:val="Compact"/>
        <w:numPr>
          <w:ilvl w:val="0"/>
          <w:numId w:val="1035"/>
        </w:numPr>
      </w:pPr>
      <w:r>
        <w:t xml:space="preserve">base giuridica;</w:t>
      </w:r>
    </w:p>
    <w:p>
      <w:pPr>
        <w:pStyle w:val="Compact"/>
        <w:numPr>
          <w:ilvl w:val="0"/>
          <w:numId w:val="1035"/>
        </w:numPr>
      </w:pPr>
      <w:r>
        <w:t xml:space="preserve">responsabile;</w:t>
      </w:r>
    </w:p>
    <w:p>
      <w:pPr>
        <w:pStyle w:val="Compact"/>
        <w:numPr>
          <w:ilvl w:val="0"/>
          <w:numId w:val="1035"/>
        </w:numPr>
      </w:pPr>
      <w:r>
        <w:t xml:space="preserve">periodo;</w:t>
      </w:r>
    </w:p>
    <w:p>
      <w:pPr>
        <w:pStyle w:val="Compact"/>
        <w:numPr>
          <w:ilvl w:val="0"/>
          <w:numId w:val="1035"/>
        </w:numPr>
      </w:pPr>
      <w:r>
        <w:t xml:space="preserve">evento iniziale;</w:t>
      </w:r>
    </w:p>
    <w:p>
      <w:pPr>
        <w:pStyle w:val="Compact"/>
        <w:numPr>
          <w:ilvl w:val="0"/>
          <w:numId w:val="1035"/>
        </w:numPr>
      </w:pPr>
      <w:r>
        <w:t xml:space="preserve">sospensione per contenzioso/legal hold;</w:t>
      </w:r>
    </w:p>
    <w:p>
      <w:pPr>
        <w:pStyle w:val="Compact"/>
        <w:numPr>
          <w:ilvl w:val="0"/>
          <w:numId w:val="1035"/>
        </w:numPr>
      </w:pPr>
      <w:r>
        <w:t xml:space="preserve">modalità di cancellazione;</w:t>
      </w:r>
    </w:p>
    <w:p>
      <w:pPr>
        <w:pStyle w:val="Compact"/>
        <w:numPr>
          <w:ilvl w:val="0"/>
          <w:numId w:val="1035"/>
        </w:numPr>
      </w:pPr>
      <w:r>
        <w:t xml:space="preserve">necessità di conservazione a norma;</w:t>
      </w:r>
    </w:p>
    <w:p>
      <w:pPr>
        <w:pStyle w:val="Compact"/>
        <w:numPr>
          <w:ilvl w:val="0"/>
          <w:numId w:val="1035"/>
        </w:numPr>
      </w:pPr>
      <w:r>
        <w:t xml:space="preserve">destino delle copie di backup.</w:t>
      </w:r>
    </w:p>
    <w:p>
      <w:pPr>
        <w:pStyle w:val="FirstParagraph"/>
      </w:pPr>
      <w:r>
        <w:t xml:space="preserve">Non inserire nel codice periodi fissi senza una policy approvata. Le regole possono differire tra struttura pubblica, privata, accreditata e singolo professionista.</w:t>
      </w:r>
    </w:p>
    <w:bookmarkEnd w:id="73"/>
    <w:bookmarkEnd w:id="74"/>
    <w:bookmarkStart w:id="79" w:name="X4cc08f23f091e90d7c90cf5595aebf1742fa2d3"/>
    <w:p>
      <w:pPr>
        <w:pStyle w:val="Heading1"/>
      </w:pPr>
      <w:r>
        <w:t xml:space="preserve">10. Privacy e diritti del paziente</w:t>
      </w:r>
    </w:p>
    <w:bookmarkStart w:id="75" w:name="X3a628ee4ca28deb6fdc17398a1395060c274e62"/>
    <w:p>
      <w:pPr>
        <w:pStyle w:val="Heading2"/>
      </w:pPr>
      <w:r>
        <w:t xml:space="preserve">10.1 Base giuridica e consenso</w:t>
      </w:r>
    </w:p>
    <w:p>
      <w:pPr>
        <w:pStyle w:val="FirstParagraph"/>
      </w:pPr>
      <w:r>
        <w:t xml:space="preserve">Il trattamento necessario alla prestazione sanitaria non deve essere confuso con il consenso informato alla cura o con il consenso a finalità facoltative. Il Garante ha chiarito che la compilazione della cartella clinica non dipende da un consenso privacy, mentre FSE, dossier, ricerca, marketing e ulteriori riusi hanno discipline proprie [R4].</w:t>
      </w:r>
    </w:p>
    <w:p>
      <w:pPr>
        <w:pStyle w:val="BodyText"/>
      </w:pPr>
      <w:r>
        <w:t xml:space="preserve">Creare una matrice: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Trattamento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Finalità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Base/condizione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Consenso separato?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Cartella per cura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diagnosi e trattamento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disciplina sanitaria/GDPR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non come regola generale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Consenso clinico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autorizzare trattamento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normativa sanitaria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sì, secondo prestazione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Promemoria appuntamenti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gestione servizio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contratto/cura/interesse legittimo valutato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dipende dal canale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Marketing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promozione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consenso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sì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Dossier multi-evento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continuità interna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disciplina applicabile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da valutare specificamente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Training AI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sviluppo/ricerca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base specifica e DPIA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non presumerla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Registrazione chiamata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qualità/prova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base e informativa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valutazione dedicata</w:t>
            </w:r>
          </w:p>
        </w:tc>
      </w:tr>
    </w:tbl>
    <w:bookmarkEnd w:id="75"/>
    <w:bookmarkStart w:id="76" w:name="X79a638e39c3ceee407a716fa61fb2ca21212848"/>
    <w:p>
      <w:pPr>
        <w:pStyle w:val="Heading2"/>
      </w:pPr>
      <w:r>
        <w:t xml:space="preserve">10.2 Informativa</w:t>
      </w:r>
    </w:p>
    <w:p>
      <w:pPr>
        <w:pStyle w:val="FirstParagraph"/>
      </w:pPr>
      <w:r>
        <w:t xml:space="preserve">L'informativa deve descrivere in modo comprensibile:</w:t>
      </w:r>
    </w:p>
    <w:p>
      <w:pPr>
        <w:pStyle w:val="Compact"/>
        <w:numPr>
          <w:ilvl w:val="0"/>
          <w:numId w:val="1036"/>
        </w:numPr>
      </w:pPr>
      <w:r>
        <w:t xml:space="preserve">titolare;</w:t>
      </w:r>
    </w:p>
    <w:p>
      <w:pPr>
        <w:pStyle w:val="Compact"/>
        <w:numPr>
          <w:ilvl w:val="0"/>
          <w:numId w:val="1036"/>
        </w:numPr>
      </w:pPr>
      <w:r>
        <w:t xml:space="preserve">DPO, se nominato;</w:t>
      </w:r>
    </w:p>
    <w:p>
      <w:pPr>
        <w:pStyle w:val="Compact"/>
        <w:numPr>
          <w:ilvl w:val="0"/>
          <w:numId w:val="1036"/>
        </w:numPr>
      </w:pPr>
      <w:r>
        <w:t xml:space="preserve">finalità;</w:t>
      </w:r>
    </w:p>
    <w:p>
      <w:pPr>
        <w:pStyle w:val="Compact"/>
        <w:numPr>
          <w:ilvl w:val="0"/>
          <w:numId w:val="1036"/>
        </w:numPr>
      </w:pPr>
      <w:r>
        <w:t xml:space="preserve">categorie di dati;</w:t>
      </w:r>
    </w:p>
    <w:p>
      <w:pPr>
        <w:pStyle w:val="Compact"/>
        <w:numPr>
          <w:ilvl w:val="0"/>
          <w:numId w:val="1036"/>
        </w:numPr>
      </w:pPr>
      <w:r>
        <w:t xml:space="preserve">destinatari e fornitori;</w:t>
      </w:r>
    </w:p>
    <w:p>
      <w:pPr>
        <w:pStyle w:val="Compact"/>
        <w:numPr>
          <w:ilvl w:val="0"/>
          <w:numId w:val="1036"/>
        </w:numPr>
      </w:pPr>
      <w:r>
        <w:t xml:space="preserve">trasferimenti;</w:t>
      </w:r>
    </w:p>
    <w:p>
      <w:pPr>
        <w:pStyle w:val="Compact"/>
        <w:numPr>
          <w:ilvl w:val="0"/>
          <w:numId w:val="1036"/>
        </w:numPr>
      </w:pPr>
      <w:r>
        <w:t xml:space="preserve">tempi di conservazione o criteri;</w:t>
      </w:r>
    </w:p>
    <w:p>
      <w:pPr>
        <w:pStyle w:val="Compact"/>
        <w:numPr>
          <w:ilvl w:val="0"/>
          <w:numId w:val="1036"/>
        </w:numPr>
      </w:pPr>
      <w:r>
        <w:t xml:space="preserve">diritti;</w:t>
      </w:r>
    </w:p>
    <w:p>
      <w:pPr>
        <w:pStyle w:val="Compact"/>
        <w:numPr>
          <w:ilvl w:val="0"/>
          <w:numId w:val="1036"/>
        </w:numPr>
      </w:pPr>
      <w:r>
        <w:t xml:space="preserve">reclamo;</w:t>
      </w:r>
    </w:p>
    <w:p>
      <w:pPr>
        <w:pStyle w:val="Compact"/>
        <w:numPr>
          <w:ilvl w:val="0"/>
          <w:numId w:val="1036"/>
        </w:numPr>
      </w:pPr>
      <w:r>
        <w:t xml:space="preserve">eventuale AI;</w:t>
      </w:r>
    </w:p>
    <w:p>
      <w:pPr>
        <w:pStyle w:val="Compact"/>
        <w:numPr>
          <w:ilvl w:val="0"/>
          <w:numId w:val="1036"/>
        </w:numPr>
      </w:pPr>
      <w:r>
        <w:t xml:space="preserve">eventuale FSE;</w:t>
      </w:r>
    </w:p>
    <w:p>
      <w:pPr>
        <w:pStyle w:val="Compact"/>
        <w:numPr>
          <w:ilvl w:val="0"/>
          <w:numId w:val="1036"/>
        </w:numPr>
      </w:pPr>
      <w:r>
        <w:t xml:space="preserve">canali di comunicazione;</w:t>
      </w:r>
    </w:p>
    <w:p>
      <w:pPr>
        <w:pStyle w:val="Compact"/>
        <w:numPr>
          <w:ilvl w:val="0"/>
          <w:numId w:val="1036"/>
        </w:numPr>
      </w:pPr>
      <w:r>
        <w:t xml:space="preserve">conseguenze del mancato conferimento.</w:t>
      </w:r>
    </w:p>
    <w:bookmarkEnd w:id="76"/>
    <w:bookmarkStart w:id="77" w:name="X12270a0698a0f9aecc2ed2456cf57609faf993c"/>
    <w:p>
      <w:pPr>
        <w:pStyle w:val="Heading2"/>
      </w:pPr>
      <w:r>
        <w:t xml:space="preserve">10.3 Diritti e portale paziente</w:t>
      </w:r>
    </w:p>
    <w:p>
      <w:pPr>
        <w:pStyle w:val="FirstParagraph"/>
      </w:pPr>
      <w:r>
        <w:t xml:space="preserve">DentalCare dovrebbe permettere alla struttura di:</w:t>
      </w:r>
    </w:p>
    <w:p>
      <w:pPr>
        <w:pStyle w:val="Compact"/>
        <w:numPr>
          <w:ilvl w:val="0"/>
          <w:numId w:val="1037"/>
        </w:numPr>
      </w:pPr>
      <w:r>
        <w:t xml:space="preserve">cercare tutti i dati dell'interessato;</w:t>
      </w:r>
    </w:p>
    <w:p>
      <w:pPr>
        <w:pStyle w:val="Compact"/>
        <w:numPr>
          <w:ilvl w:val="0"/>
          <w:numId w:val="1037"/>
        </w:numPr>
      </w:pPr>
      <w:r>
        <w:t xml:space="preserve">esportarli in formato leggibile;</w:t>
      </w:r>
    </w:p>
    <w:p>
      <w:pPr>
        <w:pStyle w:val="Compact"/>
        <w:numPr>
          <w:ilvl w:val="0"/>
          <w:numId w:val="1037"/>
        </w:numPr>
      </w:pPr>
      <w:r>
        <w:t xml:space="preserve">fornire documenti necessari alla comprensione;</w:t>
      </w:r>
    </w:p>
    <w:p>
      <w:pPr>
        <w:pStyle w:val="Compact"/>
        <w:numPr>
          <w:ilvl w:val="0"/>
          <w:numId w:val="1037"/>
        </w:numPr>
      </w:pPr>
      <w:r>
        <w:t xml:space="preserve">correggere dati anagrafici senza alterare documenti storici;</w:t>
      </w:r>
    </w:p>
    <w:p>
      <w:pPr>
        <w:pStyle w:val="Compact"/>
        <w:numPr>
          <w:ilvl w:val="0"/>
          <w:numId w:val="1037"/>
        </w:numPr>
      </w:pPr>
      <w:r>
        <w:t xml:space="preserve">gestire limitazioni e opposizioni dove applicabili;</w:t>
      </w:r>
    </w:p>
    <w:p>
      <w:pPr>
        <w:pStyle w:val="Compact"/>
        <w:numPr>
          <w:ilvl w:val="0"/>
          <w:numId w:val="1037"/>
        </w:numPr>
      </w:pPr>
      <w:r>
        <w:t xml:space="preserve">registrare richieste e tempi di risposta;</w:t>
      </w:r>
    </w:p>
    <w:p>
      <w:pPr>
        <w:pStyle w:val="Compact"/>
        <w:numPr>
          <w:ilvl w:val="0"/>
          <w:numId w:val="1037"/>
        </w:numPr>
      </w:pPr>
      <w:r>
        <w:t xml:space="preserve">produrre un report degli accessi al dossier;</w:t>
      </w:r>
    </w:p>
    <w:p>
      <w:pPr>
        <w:pStyle w:val="Compact"/>
        <w:numPr>
          <w:ilvl w:val="0"/>
          <w:numId w:val="1037"/>
        </w:numPr>
      </w:pPr>
      <w:r>
        <w:t xml:space="preserve">gestire deleghe e rappresentanza.</w:t>
      </w:r>
    </w:p>
    <w:p>
      <w:pPr>
        <w:pStyle w:val="FirstParagraph"/>
      </w:pPr>
      <w:r>
        <w:t xml:space="preserve">Il Garante distingue l'accesso ai dati personali ex articolo 15 GDPR dalla richiesta amministrativa di copia integrale della documentazione; la soluzione deve supportare entrambe le procedure [R4].</w:t>
      </w:r>
    </w:p>
    <w:bookmarkEnd w:id="77"/>
    <w:bookmarkStart w:id="78" w:name="X0dc3a9e4c34f36d9de2ebadd38dd06e3f5666cb"/>
    <w:p>
      <w:pPr>
        <w:pStyle w:val="Heading2"/>
      </w:pPr>
      <w:r>
        <w:t xml:space="preserve">10.4 DPIA</w:t>
      </w:r>
    </w:p>
    <w:p>
      <w:pPr>
        <w:pStyle w:val="FirstParagraph"/>
      </w:pPr>
      <w:r>
        <w:t xml:space="preserve">Una DPIA è fortemente indicata per una piattaforma multi-tenant che tratta sistematicamente dati sanitari, immagini e AI. Deve includere:</w:t>
      </w:r>
    </w:p>
    <w:p>
      <w:pPr>
        <w:pStyle w:val="Compact"/>
        <w:numPr>
          <w:ilvl w:val="0"/>
          <w:numId w:val="1038"/>
        </w:numPr>
      </w:pPr>
      <w:r>
        <w:t xml:space="preserve">flussi;</w:t>
      </w:r>
    </w:p>
    <w:p>
      <w:pPr>
        <w:pStyle w:val="Compact"/>
        <w:numPr>
          <w:ilvl w:val="0"/>
          <w:numId w:val="1038"/>
        </w:numPr>
      </w:pPr>
      <w:r>
        <w:t xml:space="preserve">ruoli;</w:t>
      </w:r>
    </w:p>
    <w:p>
      <w:pPr>
        <w:pStyle w:val="Compact"/>
        <w:numPr>
          <w:ilvl w:val="0"/>
          <w:numId w:val="1038"/>
        </w:numPr>
      </w:pPr>
      <w:r>
        <w:t xml:space="preserve">categorie dati;</w:t>
      </w:r>
    </w:p>
    <w:p>
      <w:pPr>
        <w:pStyle w:val="Compact"/>
        <w:numPr>
          <w:ilvl w:val="0"/>
          <w:numId w:val="1038"/>
        </w:numPr>
      </w:pPr>
      <w:r>
        <w:t xml:space="preserve">scala;</w:t>
      </w:r>
    </w:p>
    <w:p>
      <w:pPr>
        <w:pStyle w:val="Compact"/>
        <w:numPr>
          <w:ilvl w:val="0"/>
          <w:numId w:val="1038"/>
        </w:numPr>
      </w:pPr>
      <w:r>
        <w:t xml:space="preserve">tecnologie;</w:t>
      </w:r>
    </w:p>
    <w:p>
      <w:pPr>
        <w:pStyle w:val="Compact"/>
        <w:numPr>
          <w:ilvl w:val="0"/>
          <w:numId w:val="1038"/>
        </w:numPr>
      </w:pPr>
      <w:r>
        <w:t xml:space="preserve">accessi;</w:t>
      </w:r>
    </w:p>
    <w:p>
      <w:pPr>
        <w:pStyle w:val="Compact"/>
        <w:numPr>
          <w:ilvl w:val="0"/>
          <w:numId w:val="1038"/>
        </w:numPr>
      </w:pPr>
      <w:r>
        <w:t xml:space="preserve">fornitori;</w:t>
      </w:r>
    </w:p>
    <w:p>
      <w:pPr>
        <w:pStyle w:val="Compact"/>
        <w:numPr>
          <w:ilvl w:val="0"/>
          <w:numId w:val="1038"/>
        </w:numPr>
      </w:pPr>
      <w:r>
        <w:t xml:space="preserve">trasferimenti;</w:t>
      </w:r>
    </w:p>
    <w:p>
      <w:pPr>
        <w:pStyle w:val="Compact"/>
        <w:numPr>
          <w:ilvl w:val="0"/>
          <w:numId w:val="1038"/>
        </w:numPr>
      </w:pPr>
      <w:r>
        <w:t xml:space="preserve">minacce;</w:t>
      </w:r>
    </w:p>
    <w:p>
      <w:pPr>
        <w:pStyle w:val="Compact"/>
        <w:numPr>
          <w:ilvl w:val="0"/>
          <w:numId w:val="1038"/>
        </w:numPr>
      </w:pPr>
      <w:r>
        <w:t xml:space="preserve">misure;</w:t>
      </w:r>
    </w:p>
    <w:p>
      <w:pPr>
        <w:pStyle w:val="Compact"/>
        <w:numPr>
          <w:ilvl w:val="0"/>
          <w:numId w:val="1038"/>
        </w:numPr>
      </w:pPr>
      <w:r>
        <w:t xml:space="preserve">rischio residuo;</w:t>
      </w:r>
    </w:p>
    <w:p>
      <w:pPr>
        <w:pStyle w:val="Compact"/>
        <w:numPr>
          <w:ilvl w:val="0"/>
          <w:numId w:val="1038"/>
        </w:numPr>
      </w:pPr>
      <w:r>
        <w:t xml:space="preserve">piano di revisione.</w:t>
      </w:r>
    </w:p>
    <w:p>
      <w:pPr>
        <w:pStyle w:val="FirstParagraph"/>
      </w:pPr>
      <w:r>
        <w:t xml:space="preserve">Eventi che richiedono riesame:</w:t>
      </w:r>
    </w:p>
    <w:p>
      <w:pPr>
        <w:pStyle w:val="Compact"/>
        <w:numPr>
          <w:ilvl w:val="0"/>
          <w:numId w:val="1039"/>
        </w:numPr>
      </w:pPr>
      <w:r>
        <w:t xml:space="preserve">nuovo modulo AI;</w:t>
      </w:r>
    </w:p>
    <w:p>
      <w:pPr>
        <w:pStyle w:val="Compact"/>
        <w:numPr>
          <w:ilvl w:val="0"/>
          <w:numId w:val="1039"/>
        </w:numPr>
      </w:pPr>
      <w:r>
        <w:t xml:space="preserve">nuova integrazione FSE;</w:t>
      </w:r>
    </w:p>
    <w:p>
      <w:pPr>
        <w:pStyle w:val="Compact"/>
        <w:numPr>
          <w:ilvl w:val="0"/>
          <w:numId w:val="1039"/>
        </w:numPr>
      </w:pPr>
      <w:r>
        <w:t xml:space="preserve">nuovo fornitore extra SEE;</w:t>
      </w:r>
    </w:p>
    <w:p>
      <w:pPr>
        <w:pStyle w:val="Compact"/>
        <w:numPr>
          <w:ilvl w:val="0"/>
          <w:numId w:val="1039"/>
        </w:numPr>
      </w:pPr>
      <w:r>
        <w:t xml:space="preserve">registrazione chiamate;</w:t>
      </w:r>
    </w:p>
    <w:p>
      <w:pPr>
        <w:pStyle w:val="Compact"/>
        <w:numPr>
          <w:ilvl w:val="0"/>
          <w:numId w:val="1039"/>
        </w:numPr>
      </w:pPr>
      <w:r>
        <w:t xml:space="preserve">condivisione tra strutture;</w:t>
      </w:r>
    </w:p>
    <w:p>
      <w:pPr>
        <w:pStyle w:val="Compact"/>
        <w:numPr>
          <w:ilvl w:val="0"/>
          <w:numId w:val="1039"/>
        </w:numPr>
      </w:pPr>
      <w:r>
        <w:t xml:space="preserve">portale paziente;</w:t>
      </w:r>
    </w:p>
    <w:p>
      <w:pPr>
        <w:pStyle w:val="Compact"/>
        <w:numPr>
          <w:ilvl w:val="0"/>
          <w:numId w:val="1039"/>
        </w:numPr>
      </w:pPr>
      <w:r>
        <w:t xml:space="preserve">uso secondario dei dati;</w:t>
      </w:r>
    </w:p>
    <w:p>
      <w:pPr>
        <w:pStyle w:val="Compact"/>
        <w:numPr>
          <w:ilvl w:val="0"/>
          <w:numId w:val="1039"/>
        </w:numPr>
      </w:pPr>
      <w:r>
        <w:t xml:space="preserve">cambiamento della segregazione multi-tenant.</w:t>
      </w:r>
    </w:p>
    <w:bookmarkEnd w:id="78"/>
    <w:bookmarkEnd w:id="79"/>
    <w:bookmarkStart w:id="83" w:name="X46a530e5543427ab318ebb52c5194e9a9beaef9"/>
    <w:p>
      <w:pPr>
        <w:pStyle w:val="Heading1"/>
      </w:pPr>
      <w:r>
        <w:t xml:space="preserve">11. Identità, ruoli e accessi</w:t>
      </w:r>
    </w:p>
    <w:bookmarkStart w:id="80" w:name="X2bb9b269febf5b50cfb2d290816c2f10dc761ac"/>
    <w:p>
      <w:pPr>
        <w:pStyle w:val="Heading2"/>
      </w:pPr>
      <w:r>
        <w:t xml:space="preserve">11.1 Matrice RBAC di riferimento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4"/>
              </w:rPr>
              <w:t>Funzione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4"/>
              </w:rPr>
              <w:t>Segreteria</w:t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4"/>
              </w:rPr>
              <w:t>Odontoiatra assegnato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4"/>
              </w:rPr>
              <w:t>Igienista assegnato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4"/>
              </w:rPr>
              <w:t>Amministratore clinico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4"/>
              </w:rPr>
              <w:t>Amministratore tecnico</w:t>
            </w:r>
          </w:p>
        </w:tc>
      </w:tr>
      <w:tr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Anagrafica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modifica</w:t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lettura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lettura minima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modifica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supporto mascherato</w:t>
            </w:r>
          </w:p>
        </w:tc>
      </w:tr>
      <w:tr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Appuntamenti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completa</w:t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lettura/modifica propri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lettura propri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completa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 contenuto</w:t>
            </w:r>
          </w:p>
        </w:tc>
      </w:tr>
      <w:tr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Anamnesi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 o indicatori minimi</w:t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completa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secondo protocollo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completa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</w:t>
            </w:r>
          </w:p>
        </w:tc>
      </w:tr>
      <w:tr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Odontogramma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</w:t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completa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limitata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completa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</w:t>
            </w:r>
          </w:p>
        </w:tc>
      </w:tr>
      <w:tr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Note cliniche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</w:t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proprie/assegnate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proprie/assegnate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completa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</w:t>
            </w:r>
          </w:p>
        </w:tc>
      </w:tr>
      <w:tr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Documenti clinici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consegna autorizzata</w:t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completa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limitata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completa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 contenuto</w:t>
            </w:r>
          </w:p>
        </w:tc>
      </w:tr>
      <w:tr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Dati economici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completa</w:t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riepilogo necessario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completa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</w:t>
            </w:r>
          </w:p>
        </w:tc>
      </w:tr>
      <w:tr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Audit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</w:t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accessi propri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report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log tecnico senza contenuto</w:t>
            </w:r>
          </w:p>
        </w:tc>
      </w:tr>
      <w:tr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Configurazione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</w:t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no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clinica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tecnica</w:t>
            </w:r>
          </w:p>
        </w:tc>
      </w:tr>
    </w:tbl>
    <w:bookmarkEnd w:id="80"/>
    <w:bookmarkStart w:id="81" w:name="X18f7992ec54bc48ead7aa86a96afc40db2a31c1"/>
    <w:p>
      <w:pPr>
        <w:pStyle w:val="Heading2"/>
      </w:pPr>
      <w:r>
        <w:t xml:space="preserve">11.2 Controlli aggiuntivi</w:t>
      </w:r>
    </w:p>
    <w:p>
      <w:pPr>
        <w:pStyle w:val="Compact"/>
        <w:numPr>
          <w:ilvl w:val="0"/>
          <w:numId w:val="1040"/>
        </w:numPr>
      </w:pPr>
      <w:r>
        <w:t xml:space="preserve">MFA per professionisti e amministratori;</w:t>
      </w:r>
    </w:p>
    <w:p>
      <w:pPr>
        <w:pStyle w:val="Compact"/>
        <w:numPr>
          <w:ilvl w:val="0"/>
          <w:numId w:val="1040"/>
        </w:numPr>
      </w:pPr>
      <w:r>
        <w:t xml:space="preserve">account individuali;</w:t>
      </w:r>
    </w:p>
    <w:p>
      <w:pPr>
        <w:pStyle w:val="Compact"/>
        <w:numPr>
          <w:ilvl w:val="0"/>
          <w:numId w:val="1040"/>
        </w:numPr>
      </w:pPr>
      <w:r>
        <w:t xml:space="preserve">SSO OIDC/SAML per clienti enterprise;</w:t>
      </w:r>
    </w:p>
    <w:p>
      <w:pPr>
        <w:pStyle w:val="Compact"/>
        <w:numPr>
          <w:ilvl w:val="0"/>
          <w:numId w:val="1040"/>
        </w:numPr>
      </w:pPr>
      <w:r>
        <w:t xml:space="preserve">revoca immediata alla cessazione;</w:t>
      </w:r>
    </w:p>
    <w:p>
      <w:pPr>
        <w:pStyle w:val="Compact"/>
        <w:numPr>
          <w:ilvl w:val="0"/>
          <w:numId w:val="1040"/>
        </w:numPr>
      </w:pPr>
      <w:r>
        <w:t xml:space="preserve">review periodica degli accessi;</w:t>
      </w:r>
    </w:p>
    <w:p>
      <w:pPr>
        <w:pStyle w:val="Compact"/>
        <w:numPr>
          <w:ilvl w:val="0"/>
          <w:numId w:val="1040"/>
        </w:numPr>
      </w:pPr>
      <w:r>
        <w:t xml:space="preserve">timeout e blocco sessione;</w:t>
      </w:r>
    </w:p>
    <w:p>
      <w:pPr>
        <w:pStyle w:val="Compact"/>
        <w:numPr>
          <w:ilvl w:val="0"/>
          <w:numId w:val="1040"/>
        </w:numPr>
      </w:pPr>
      <w:r>
        <w:t xml:space="preserve">limitazione download massivi;</w:t>
      </w:r>
    </w:p>
    <w:p>
      <w:pPr>
        <w:pStyle w:val="Compact"/>
        <w:numPr>
          <w:ilvl w:val="0"/>
          <w:numId w:val="1040"/>
        </w:numPr>
      </w:pPr>
      <w:r>
        <w:t xml:space="preserve">approvazione per esportazioni;</w:t>
      </w:r>
    </w:p>
    <w:p>
      <w:pPr>
        <w:pStyle w:val="Compact"/>
        <w:numPr>
          <w:ilvl w:val="0"/>
          <w:numId w:val="1040"/>
        </w:numPr>
      </w:pPr>
      <w:r>
        <w:t xml:space="preserve">accesso di assistenza temporaneo e autorizzato;</w:t>
      </w:r>
    </w:p>
    <w:p>
      <w:pPr>
        <w:pStyle w:val="Compact"/>
        <w:numPr>
          <w:ilvl w:val="0"/>
          <w:numId w:val="1040"/>
        </w:numPr>
      </w:pPr>
      <w:r>
        <w:t xml:space="preserve">registrazione dei tentativi falliti;</w:t>
      </w:r>
    </w:p>
    <w:p>
      <w:pPr>
        <w:pStyle w:val="Compact"/>
        <w:numPr>
          <w:ilvl w:val="0"/>
          <w:numId w:val="1040"/>
        </w:numPr>
      </w:pPr>
      <w:r>
        <w:t xml:space="preserve">protezione contro credential stuffing.</w:t>
      </w:r>
    </w:p>
    <w:bookmarkEnd w:id="81"/>
    <w:bookmarkStart w:id="82" w:name="X2f74c22ac610608e9c110eea1d69f00158f5fa6"/>
    <w:p>
      <w:pPr>
        <w:pStyle w:val="Heading2"/>
      </w:pPr>
      <w:r>
        <w:t xml:space="preserve">11.3 Break glass</w:t>
      </w:r>
    </w:p>
    <w:p>
      <w:pPr>
        <w:pStyle w:val="FirstParagraph"/>
      </w:pPr>
      <w:r>
        <w:t xml:space="preserve">L'accesso di emergenza deve:</w:t>
      </w:r>
    </w:p>
    <w:p>
      <w:pPr>
        <w:pStyle w:val="Compact"/>
        <w:numPr>
          <w:ilvl w:val="0"/>
          <w:numId w:val="1041"/>
        </w:numPr>
      </w:pPr>
      <w:r>
        <w:t xml:space="preserve">essere disponibile solo a ruoli autorizzati;</w:t>
      </w:r>
    </w:p>
    <w:p>
      <w:pPr>
        <w:pStyle w:val="Compact"/>
        <w:numPr>
          <w:ilvl w:val="0"/>
          <w:numId w:val="1041"/>
        </w:numPr>
      </w:pPr>
      <w:r>
        <w:t xml:space="preserve">richiedere motivazione;</w:t>
      </w:r>
    </w:p>
    <w:p>
      <w:pPr>
        <w:pStyle w:val="Compact"/>
        <w:numPr>
          <w:ilvl w:val="0"/>
          <w:numId w:val="1041"/>
        </w:numPr>
      </w:pPr>
      <w:r>
        <w:t xml:space="preserve">avere durata limitata;</w:t>
      </w:r>
    </w:p>
    <w:p>
      <w:pPr>
        <w:pStyle w:val="Compact"/>
        <w:numPr>
          <w:ilvl w:val="0"/>
          <w:numId w:val="1041"/>
        </w:numPr>
      </w:pPr>
      <w:r>
        <w:t xml:space="preserve">generare alert;</w:t>
      </w:r>
    </w:p>
    <w:p>
      <w:pPr>
        <w:pStyle w:val="Compact"/>
        <w:numPr>
          <w:ilvl w:val="0"/>
          <w:numId w:val="1041"/>
        </w:numPr>
      </w:pPr>
      <w:r>
        <w:t xml:space="preserve">essere riesaminato;</w:t>
      </w:r>
    </w:p>
    <w:p>
      <w:pPr>
        <w:pStyle w:val="Compact"/>
        <w:numPr>
          <w:ilvl w:val="0"/>
          <w:numId w:val="1041"/>
        </w:numPr>
      </w:pPr>
      <w:r>
        <w:t xml:space="preserve">essere visibile nei report di audit;</w:t>
      </w:r>
    </w:p>
    <w:p>
      <w:pPr>
        <w:pStyle w:val="Compact"/>
        <w:numPr>
          <w:ilvl w:val="0"/>
          <w:numId w:val="1041"/>
        </w:numPr>
      </w:pPr>
      <w:r>
        <w:t xml:space="preserve">non aggirare la segregazione tenant.</w:t>
      </w:r>
    </w:p>
    <w:bookmarkEnd w:id="82"/>
    <w:bookmarkEnd w:id="83"/>
    <w:bookmarkStart w:id="87" w:name="X4d6602bbac7fd359bf24d9a36abfb595284ff87"/>
    <w:p>
      <w:pPr>
        <w:pStyle w:val="Heading1"/>
      </w:pPr>
      <w:r>
        <w:t xml:space="preserve">12. Audit trail</w:t>
      </w:r>
    </w:p>
    <w:bookmarkStart w:id="84" w:name="Xd7b1492dde248ae0643238531ad4c9a952b2dd4"/>
    <w:p>
      <w:pPr>
        <w:pStyle w:val="Heading2"/>
      </w:pPr>
      <w:r>
        <w:t xml:space="preserve">12.1 Eventi da registrare</w:t>
      </w:r>
    </w:p>
    <w:p>
      <w:pPr>
        <w:pStyle w:val="Compact"/>
        <w:numPr>
          <w:ilvl w:val="0"/>
          <w:numId w:val="1042"/>
        </w:numPr>
      </w:pPr>
      <w:r>
        <w:t xml:space="preserve">login/logout;</w:t>
      </w:r>
    </w:p>
    <w:p>
      <w:pPr>
        <w:pStyle w:val="Compact"/>
        <w:numPr>
          <w:ilvl w:val="0"/>
          <w:numId w:val="1042"/>
        </w:numPr>
      </w:pPr>
      <w:r>
        <w:t xml:space="preserve">fallimenti di autenticazione;</w:t>
      </w:r>
    </w:p>
    <w:p>
      <w:pPr>
        <w:pStyle w:val="Compact"/>
        <w:numPr>
          <w:ilvl w:val="0"/>
          <w:numId w:val="1042"/>
        </w:numPr>
      </w:pPr>
      <w:r>
        <w:t xml:space="preserve">accesso alla cartella;</w:t>
      </w:r>
    </w:p>
    <w:p>
      <w:pPr>
        <w:pStyle w:val="Compact"/>
        <w:numPr>
          <w:ilvl w:val="0"/>
          <w:numId w:val="1042"/>
        </w:numPr>
      </w:pPr>
      <w:r>
        <w:t xml:space="preserve">visualizzazione di categorie sensibili;</w:t>
      </w:r>
    </w:p>
    <w:p>
      <w:pPr>
        <w:pStyle w:val="Compact"/>
        <w:numPr>
          <w:ilvl w:val="0"/>
          <w:numId w:val="1042"/>
        </w:numPr>
      </w:pPr>
      <w:r>
        <w:t xml:space="preserve">creazione/modifica/finalizzazione;</w:t>
      </w:r>
    </w:p>
    <w:p>
      <w:pPr>
        <w:pStyle w:val="Compact"/>
        <w:numPr>
          <w:ilvl w:val="0"/>
          <w:numId w:val="1042"/>
        </w:numPr>
      </w:pPr>
      <w:r>
        <w:t xml:space="preserve">addendum e annullamenti;</w:t>
      </w:r>
    </w:p>
    <w:p>
      <w:pPr>
        <w:pStyle w:val="Compact"/>
        <w:numPr>
          <w:ilvl w:val="0"/>
          <w:numId w:val="1042"/>
        </w:numPr>
      </w:pPr>
      <w:r>
        <w:t xml:space="preserve">firma;</w:t>
      </w:r>
    </w:p>
    <w:p>
      <w:pPr>
        <w:pStyle w:val="Compact"/>
        <w:numPr>
          <w:ilvl w:val="0"/>
          <w:numId w:val="1042"/>
        </w:numPr>
      </w:pPr>
      <w:r>
        <w:t xml:space="preserve">download, stampa, export;</w:t>
      </w:r>
    </w:p>
    <w:p>
      <w:pPr>
        <w:pStyle w:val="Compact"/>
        <w:numPr>
          <w:ilvl w:val="0"/>
          <w:numId w:val="1042"/>
        </w:numPr>
      </w:pPr>
      <w:r>
        <w:t xml:space="preserve">condivisione;</w:t>
      </w:r>
    </w:p>
    <w:p>
      <w:pPr>
        <w:pStyle w:val="Compact"/>
        <w:numPr>
          <w:ilvl w:val="0"/>
          <w:numId w:val="1042"/>
        </w:numPr>
      </w:pPr>
      <w:r>
        <w:t xml:space="preserve">accesso break glass;</w:t>
      </w:r>
    </w:p>
    <w:p>
      <w:pPr>
        <w:pStyle w:val="Compact"/>
        <w:numPr>
          <w:ilvl w:val="0"/>
          <w:numId w:val="1042"/>
        </w:numPr>
      </w:pPr>
      <w:r>
        <w:t xml:space="preserve">variazione ruoli;</w:t>
      </w:r>
    </w:p>
    <w:p>
      <w:pPr>
        <w:pStyle w:val="Compact"/>
        <w:numPr>
          <w:ilvl w:val="0"/>
          <w:numId w:val="1042"/>
        </w:numPr>
      </w:pPr>
      <w:r>
        <w:t xml:space="preserve">migrazione;</w:t>
      </w:r>
    </w:p>
    <w:p>
      <w:pPr>
        <w:pStyle w:val="Compact"/>
        <w:numPr>
          <w:ilvl w:val="0"/>
          <w:numId w:val="1042"/>
        </w:numPr>
      </w:pPr>
      <w:r>
        <w:t xml:space="preserve">invio FSE;</w:t>
      </w:r>
    </w:p>
    <w:p>
      <w:pPr>
        <w:pStyle w:val="Compact"/>
        <w:numPr>
          <w:ilvl w:val="0"/>
          <w:numId w:val="1042"/>
        </w:numPr>
      </w:pPr>
      <w:r>
        <w:t xml:space="preserve">consultazione di immagini;</w:t>
      </w:r>
    </w:p>
    <w:p>
      <w:pPr>
        <w:pStyle w:val="Compact"/>
        <w:numPr>
          <w:ilvl w:val="0"/>
          <w:numId w:val="1042"/>
        </w:numPr>
      </w:pPr>
      <w:r>
        <w:t xml:space="preserve">azione di un agente AI;</w:t>
      </w:r>
    </w:p>
    <w:p>
      <w:pPr>
        <w:pStyle w:val="Compact"/>
        <w:numPr>
          <w:ilvl w:val="0"/>
          <w:numId w:val="1042"/>
        </w:numPr>
      </w:pPr>
      <w:r>
        <w:t xml:space="preserve">modifica di modello o configurazione;</w:t>
      </w:r>
    </w:p>
    <w:p>
      <w:pPr>
        <w:pStyle w:val="Compact"/>
        <w:numPr>
          <w:ilvl w:val="0"/>
          <w:numId w:val="1042"/>
        </w:numPr>
      </w:pPr>
      <w:r>
        <w:t xml:space="preserve">accesso amministrativo di supporto.</w:t>
      </w:r>
    </w:p>
    <w:bookmarkEnd w:id="84"/>
    <w:bookmarkStart w:id="85" w:name="X86ea3f4ae817cca61f1b10ddc9b0bc5c0806349"/>
    <w:p>
      <w:pPr>
        <w:pStyle w:val="Heading2"/>
      </w:pPr>
      <w:r>
        <w:t xml:space="preserve">12.2 Campi del log</w:t>
      </w:r>
    </w:p>
    <w:p>
      <w:pPr>
        <w:pStyle w:val="Compact"/>
        <w:numPr>
          <w:ilvl w:val="0"/>
          <w:numId w:val="1043"/>
        </w:numPr>
      </w:pPr>
      <w:r>
        <w:t xml:space="preserve">event ID;</w:t>
      </w:r>
    </w:p>
    <w:p>
      <w:pPr>
        <w:pStyle w:val="Compact"/>
        <w:numPr>
          <w:ilvl w:val="0"/>
          <w:numId w:val="1043"/>
        </w:numPr>
      </w:pPr>
      <w:r>
        <w:t xml:space="preserve">tenant;</w:t>
      </w:r>
    </w:p>
    <w:p>
      <w:pPr>
        <w:pStyle w:val="Compact"/>
        <w:numPr>
          <w:ilvl w:val="0"/>
          <w:numId w:val="1043"/>
        </w:numPr>
      </w:pPr>
      <w:r>
        <w:t xml:space="preserve">utente e ruolo;</w:t>
      </w:r>
    </w:p>
    <w:p>
      <w:pPr>
        <w:pStyle w:val="Compact"/>
        <w:numPr>
          <w:ilvl w:val="0"/>
          <w:numId w:val="1043"/>
        </w:numPr>
      </w:pPr>
      <w:r>
        <w:t xml:space="preserve">paziente;</w:t>
      </w:r>
    </w:p>
    <w:p>
      <w:pPr>
        <w:pStyle w:val="Compact"/>
        <w:numPr>
          <w:ilvl w:val="0"/>
          <w:numId w:val="1043"/>
        </w:numPr>
      </w:pPr>
      <w:r>
        <w:t xml:space="preserve">risorsa;</w:t>
      </w:r>
    </w:p>
    <w:p>
      <w:pPr>
        <w:pStyle w:val="Compact"/>
        <w:numPr>
          <w:ilvl w:val="0"/>
          <w:numId w:val="1043"/>
        </w:numPr>
      </w:pPr>
      <w:r>
        <w:t xml:space="preserve">azione;</w:t>
      </w:r>
    </w:p>
    <w:p>
      <w:pPr>
        <w:pStyle w:val="Compact"/>
        <w:numPr>
          <w:ilvl w:val="0"/>
          <w:numId w:val="1043"/>
        </w:numPr>
      </w:pPr>
      <w:r>
        <w:t xml:space="preserve">esito;</w:t>
      </w:r>
    </w:p>
    <w:p>
      <w:pPr>
        <w:pStyle w:val="Compact"/>
        <w:numPr>
          <w:ilvl w:val="0"/>
          <w:numId w:val="1043"/>
        </w:numPr>
      </w:pPr>
      <w:r>
        <w:t xml:space="preserve">data/ora;</w:t>
      </w:r>
    </w:p>
    <w:p>
      <w:pPr>
        <w:pStyle w:val="Compact"/>
        <w:numPr>
          <w:ilvl w:val="0"/>
          <w:numId w:val="1043"/>
        </w:numPr>
      </w:pPr>
      <w:r>
        <w:t xml:space="preserve">IP e device, quando appropriato;</w:t>
      </w:r>
    </w:p>
    <w:p>
      <w:pPr>
        <w:pStyle w:val="Compact"/>
        <w:numPr>
          <w:ilvl w:val="0"/>
          <w:numId w:val="1043"/>
        </w:numPr>
      </w:pPr>
      <w:r>
        <w:t xml:space="preserve">sessione;</w:t>
      </w:r>
    </w:p>
    <w:p>
      <w:pPr>
        <w:pStyle w:val="Compact"/>
        <w:numPr>
          <w:ilvl w:val="0"/>
          <w:numId w:val="1043"/>
        </w:numPr>
      </w:pPr>
      <w:r>
        <w:t xml:space="preserve">motivazione;</w:t>
      </w:r>
    </w:p>
    <w:p>
      <w:pPr>
        <w:pStyle w:val="Compact"/>
        <w:numPr>
          <w:ilvl w:val="0"/>
          <w:numId w:val="1043"/>
        </w:numPr>
      </w:pPr>
      <w:r>
        <w:t xml:space="preserve">correlation ID;</w:t>
      </w:r>
    </w:p>
    <w:p>
      <w:pPr>
        <w:pStyle w:val="Compact"/>
        <w:numPr>
          <w:ilvl w:val="0"/>
          <w:numId w:val="1043"/>
        </w:numPr>
      </w:pPr>
      <w:r>
        <w:t xml:space="preserve">versione applicativa;</w:t>
      </w:r>
    </w:p>
    <w:p>
      <w:pPr>
        <w:pStyle w:val="Compact"/>
        <w:numPr>
          <w:ilvl w:val="0"/>
          <w:numId w:val="1043"/>
        </w:numPr>
      </w:pPr>
      <w:r>
        <w:t xml:space="preserve">prima/dopo per modifiche consentite;</w:t>
      </w:r>
    </w:p>
    <w:p>
      <w:pPr>
        <w:pStyle w:val="Compact"/>
        <w:numPr>
          <w:ilvl w:val="0"/>
          <w:numId w:val="1043"/>
        </w:numPr>
      </w:pPr>
      <w:r>
        <w:t xml:space="preserve">integrità del log.</w:t>
      </w:r>
    </w:p>
    <w:bookmarkEnd w:id="85"/>
    <w:bookmarkStart w:id="86" w:name="X3aaf3d9237083673a82f36d5ae1a255f13fb463"/>
    <w:p>
      <w:pPr>
        <w:pStyle w:val="Heading2"/>
      </w:pPr>
      <w:r>
        <w:t xml:space="preserve">12.3 Protezione</w:t>
      </w:r>
    </w:p>
    <w:p>
      <w:pPr>
        <w:pStyle w:val="FirstParagraph"/>
      </w:pPr>
      <w:r>
        <w:t xml:space="preserve">I log devono essere:</w:t>
      </w:r>
    </w:p>
    <w:p>
      <w:pPr>
        <w:pStyle w:val="Compact"/>
        <w:numPr>
          <w:ilvl w:val="0"/>
          <w:numId w:val="1044"/>
        </w:numPr>
      </w:pPr>
      <w:r>
        <w:t xml:space="preserve">separati dai normali log applicativi;</w:t>
      </w:r>
    </w:p>
    <w:p>
      <w:pPr>
        <w:pStyle w:val="Compact"/>
        <w:numPr>
          <w:ilvl w:val="0"/>
          <w:numId w:val="1044"/>
        </w:numPr>
      </w:pPr>
      <w:r>
        <w:t xml:space="preserve">append-only o protetti da alterazioni;</w:t>
      </w:r>
    </w:p>
    <w:p>
      <w:pPr>
        <w:pStyle w:val="Compact"/>
        <w:numPr>
          <w:ilvl w:val="0"/>
          <w:numId w:val="1044"/>
        </w:numPr>
      </w:pPr>
      <w:r>
        <w:t xml:space="preserve">accessibili solo a funzioni autorizzate;</w:t>
      </w:r>
    </w:p>
    <w:p>
      <w:pPr>
        <w:pStyle w:val="Compact"/>
        <w:numPr>
          <w:ilvl w:val="0"/>
          <w:numId w:val="1044"/>
        </w:numPr>
      </w:pPr>
      <w:r>
        <w:t xml:space="preserve">sottoposti a retention;</w:t>
      </w:r>
    </w:p>
    <w:p>
      <w:pPr>
        <w:pStyle w:val="Compact"/>
        <w:numPr>
          <w:ilvl w:val="0"/>
          <w:numId w:val="1044"/>
        </w:numPr>
      </w:pPr>
      <w:r>
        <w:t xml:space="preserve">monitorati;</w:t>
      </w:r>
    </w:p>
    <w:p>
      <w:pPr>
        <w:pStyle w:val="Compact"/>
        <w:numPr>
          <w:ilvl w:val="0"/>
          <w:numId w:val="1044"/>
        </w:numPr>
      </w:pPr>
      <w:r>
        <w:t xml:space="preserve">esportabili per audit;</w:t>
      </w:r>
    </w:p>
    <w:p>
      <w:pPr>
        <w:pStyle w:val="Compact"/>
        <w:numPr>
          <w:ilvl w:val="0"/>
          <w:numId w:val="1044"/>
        </w:numPr>
      </w:pPr>
      <w:r>
        <w:t xml:space="preserve">correlati con SIEM;</w:t>
      </w:r>
    </w:p>
    <w:p>
      <w:pPr>
        <w:pStyle w:val="Compact"/>
        <w:numPr>
          <w:ilvl w:val="0"/>
          <w:numId w:val="1044"/>
        </w:numPr>
      </w:pPr>
      <w:r>
        <w:t xml:space="preserve">minimizzati per non duplicare inutilmente dati clinici.</w:t>
      </w:r>
    </w:p>
    <w:bookmarkEnd w:id="86"/>
    <w:bookmarkEnd w:id="87"/>
    <w:bookmarkStart w:id="92" w:name="Xd0083ab16658c0ea7636dc5593a4542a95be8b6"/>
    <w:p>
      <w:pPr>
        <w:pStyle w:val="Heading1"/>
      </w:pPr>
      <w:r>
        <w:t xml:space="preserve">13. Sicurezza tecnica</w:t>
      </w:r>
    </w:p>
    <w:bookmarkStart w:id="88" w:name="X5ce3a9903e9bb9a9182d9b2b38742ffe6167d99"/>
    <w:p>
      <w:pPr>
        <w:pStyle w:val="Heading2"/>
      </w:pPr>
      <w:r>
        <w:t xml:space="preserve">13.1 Architettura di riferimento DentalCare</w:t>
      </w:r>
    </w:p>
    <w:p>
      <w:pPr>
        <w:pStyle w:val="SourceCode"/>
      </w:pPr>
      <w:r>
        <w:rPr>
          <w:rStyle w:val="VerbatimChar"/>
        </w:rPr>
        <w:t xml:space="preserve">[Browser / Mobile]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| TLS + OIDC/MFA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[WAF / API Gateway]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[Angular BFF / Spring Boot APIs]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+--&gt; [PostgreSQL - dati strutturati]</w:t>
      </w:r>
      <w:r>
        <w:br/>
      </w:r>
      <w:r>
        <w:rPr>
          <w:rStyle w:val="VerbatimChar"/>
        </w:rPr>
        <w:t xml:space="preserve">       +--&gt; [MinIO - immagini e documenti]</w:t>
      </w:r>
      <w:r>
        <w:br/>
      </w:r>
      <w:r>
        <w:rPr>
          <w:rStyle w:val="VerbatimChar"/>
        </w:rPr>
        <w:t xml:space="preserve">       +--&gt; [Audit Service - append only]</w:t>
      </w:r>
      <w:r>
        <w:br/>
      </w:r>
      <w:r>
        <w:rPr>
          <w:rStyle w:val="VerbatimChar"/>
        </w:rPr>
        <w:t xml:space="preserve">       +--&gt; [Identity Provider]</w:t>
      </w:r>
      <w:r>
        <w:br/>
      </w:r>
      <w:r>
        <w:rPr>
          <w:rStyle w:val="VerbatimChar"/>
        </w:rPr>
        <w:t xml:space="preserve">       +--&gt; [Notification Service]</w:t>
      </w:r>
      <w:r>
        <w:br/>
      </w:r>
      <w:r>
        <w:rPr>
          <w:rStyle w:val="VerbatimChar"/>
        </w:rPr>
        <w:t xml:space="preserve">       +--&gt; [FSE Adapter]</w:t>
      </w:r>
      <w:r>
        <w:br/>
      </w:r>
      <w:r>
        <w:rPr>
          <w:rStyle w:val="VerbatimChar"/>
        </w:rPr>
        <w:t xml:space="preserve">       +--&gt; [AI Imaging Service]</w:t>
      </w:r>
      <w:r>
        <w:br/>
      </w:r>
      <w:r>
        <w:rPr>
          <w:rStyle w:val="VerbatimChar"/>
        </w:rPr>
        <w:t xml:space="preserve">       +--&gt; [Voice/LLM Gateway]</w:t>
      </w:r>
      <w:r>
        <w:br/>
      </w:r>
      <w:r>
        <w:br/>
      </w:r>
      <w:r>
        <w:rPr>
          <w:rStyle w:val="VerbatimChar"/>
        </w:rPr>
        <w:t xml:space="preserve">Zone separate:</w:t>
      </w:r>
      <w:r>
        <w:br/>
      </w:r>
      <w:r>
        <w:rPr>
          <w:rStyle w:val="VerbatimChar"/>
        </w:rPr>
        <w:t xml:space="preserve">- produzione clinica</w:t>
      </w:r>
      <w:r>
        <w:br/>
      </w:r>
      <w:r>
        <w:rPr>
          <w:rStyle w:val="VerbatimChar"/>
        </w:rPr>
        <w:t xml:space="preserve">- amministrazione</w:t>
      </w:r>
      <w:r>
        <w:br/>
      </w:r>
      <w:r>
        <w:rPr>
          <w:rStyle w:val="VerbatimChar"/>
        </w:rPr>
        <w:t xml:space="preserve">- MLOps/ricerca</w:t>
      </w:r>
      <w:r>
        <w:br/>
      </w:r>
      <w:r>
        <w:rPr>
          <w:rStyle w:val="VerbatimChar"/>
        </w:rPr>
        <w:t xml:space="preserve">- backup/DR</w:t>
      </w:r>
      <w:r>
        <w:br/>
      </w:r>
      <w:r>
        <w:rPr>
          <w:rStyle w:val="VerbatimChar"/>
        </w:rPr>
        <w:t xml:space="preserve">- osservabilità</w:t>
      </w:r>
    </w:p>
    <w:bookmarkEnd w:id="88"/>
    <w:bookmarkStart w:id="89" w:name="X3764f8b69c76f19c04b06619c2d6fcb4bad1783"/>
    <w:p>
      <w:pPr>
        <w:pStyle w:val="Heading2"/>
      </w:pPr>
      <w:r>
        <w:t xml:space="preserve">13.2 Misure principali</w:t>
      </w:r>
    </w:p>
    <w:p>
      <w:pPr>
        <w:pStyle w:val="Compact"/>
        <w:numPr>
          <w:ilvl w:val="0"/>
          <w:numId w:val="1045"/>
        </w:numPr>
      </w:pPr>
      <w:r>
        <w:t xml:space="preserve">TLS moderno;</w:t>
      </w:r>
    </w:p>
    <w:p>
      <w:pPr>
        <w:pStyle w:val="Compact"/>
        <w:numPr>
          <w:ilvl w:val="0"/>
          <w:numId w:val="1045"/>
        </w:numPr>
      </w:pPr>
      <w:r>
        <w:t xml:space="preserve">cifratura database e object storage;</w:t>
      </w:r>
    </w:p>
    <w:p>
      <w:pPr>
        <w:pStyle w:val="Compact"/>
        <w:numPr>
          <w:ilvl w:val="0"/>
          <w:numId w:val="1045"/>
        </w:numPr>
      </w:pPr>
      <w:r>
        <w:t xml:space="preserve">KMS e rotazione chiavi;</w:t>
      </w:r>
    </w:p>
    <w:p>
      <w:pPr>
        <w:pStyle w:val="Compact"/>
        <w:numPr>
          <w:ilvl w:val="0"/>
          <w:numId w:val="1045"/>
        </w:numPr>
      </w:pPr>
      <w:r>
        <w:t xml:space="preserve">secret manager;</w:t>
      </w:r>
    </w:p>
    <w:p>
      <w:pPr>
        <w:pStyle w:val="Compact"/>
        <w:numPr>
          <w:ilvl w:val="0"/>
          <w:numId w:val="1045"/>
        </w:numPr>
      </w:pPr>
      <w:r>
        <w:t xml:space="preserve">segregazione ambienti;</w:t>
      </w:r>
    </w:p>
    <w:p>
      <w:pPr>
        <w:pStyle w:val="Compact"/>
        <w:numPr>
          <w:ilvl w:val="0"/>
          <w:numId w:val="1045"/>
        </w:numPr>
      </w:pPr>
      <w:r>
        <w:t xml:space="preserve">network policy;</w:t>
      </w:r>
    </w:p>
    <w:p>
      <w:pPr>
        <w:pStyle w:val="Compact"/>
        <w:numPr>
          <w:ilvl w:val="0"/>
          <w:numId w:val="1045"/>
        </w:numPr>
      </w:pPr>
      <w:r>
        <w:t xml:space="preserve">patch management;</w:t>
      </w:r>
    </w:p>
    <w:p>
      <w:pPr>
        <w:pStyle w:val="Compact"/>
        <w:numPr>
          <w:ilvl w:val="0"/>
          <w:numId w:val="1045"/>
        </w:numPr>
      </w:pPr>
      <w:r>
        <w:t xml:space="preserve">SAST, DAST e dependency scanning;</w:t>
      </w:r>
    </w:p>
    <w:p>
      <w:pPr>
        <w:pStyle w:val="Compact"/>
        <w:numPr>
          <w:ilvl w:val="0"/>
          <w:numId w:val="1045"/>
        </w:numPr>
      </w:pPr>
      <w:r>
        <w:t xml:space="preserve">SBOM;</w:t>
      </w:r>
    </w:p>
    <w:p>
      <w:pPr>
        <w:pStyle w:val="Compact"/>
        <w:numPr>
          <w:ilvl w:val="0"/>
          <w:numId w:val="1045"/>
        </w:numPr>
      </w:pPr>
      <w:r>
        <w:t xml:space="preserve">container signing;</w:t>
      </w:r>
    </w:p>
    <w:p>
      <w:pPr>
        <w:pStyle w:val="Compact"/>
        <w:numPr>
          <w:ilvl w:val="0"/>
          <w:numId w:val="1045"/>
        </w:numPr>
      </w:pPr>
      <w:r>
        <w:t xml:space="preserve">hardening;</w:t>
      </w:r>
    </w:p>
    <w:p>
      <w:pPr>
        <w:pStyle w:val="Compact"/>
        <w:numPr>
          <w:ilvl w:val="0"/>
          <w:numId w:val="1045"/>
        </w:numPr>
      </w:pPr>
      <w:r>
        <w:t xml:space="preserve">rate limiting;</w:t>
      </w:r>
    </w:p>
    <w:p>
      <w:pPr>
        <w:pStyle w:val="Compact"/>
        <w:numPr>
          <w:ilvl w:val="0"/>
          <w:numId w:val="1045"/>
        </w:numPr>
      </w:pPr>
      <w:r>
        <w:t xml:space="preserve">protezione API;</w:t>
      </w:r>
    </w:p>
    <w:p>
      <w:pPr>
        <w:pStyle w:val="Compact"/>
        <w:numPr>
          <w:ilvl w:val="0"/>
          <w:numId w:val="1045"/>
        </w:numPr>
      </w:pPr>
      <w:r>
        <w:t xml:space="preserve">backup immutabili;</w:t>
      </w:r>
    </w:p>
    <w:p>
      <w:pPr>
        <w:pStyle w:val="Compact"/>
        <w:numPr>
          <w:ilvl w:val="0"/>
          <w:numId w:val="1045"/>
        </w:numPr>
      </w:pPr>
      <w:r>
        <w:t xml:space="preserve">test di ripristino;</w:t>
      </w:r>
    </w:p>
    <w:p>
      <w:pPr>
        <w:pStyle w:val="Compact"/>
        <w:numPr>
          <w:ilvl w:val="0"/>
          <w:numId w:val="1045"/>
        </w:numPr>
      </w:pPr>
      <w:r>
        <w:t xml:space="preserve">EDR e monitoring;</w:t>
      </w:r>
    </w:p>
    <w:p>
      <w:pPr>
        <w:pStyle w:val="Compact"/>
        <w:numPr>
          <w:ilvl w:val="0"/>
          <w:numId w:val="1045"/>
        </w:numPr>
      </w:pPr>
      <w:r>
        <w:t xml:space="preserve">vulnerability management;</w:t>
      </w:r>
    </w:p>
    <w:p>
      <w:pPr>
        <w:pStyle w:val="Compact"/>
        <w:numPr>
          <w:ilvl w:val="0"/>
          <w:numId w:val="1045"/>
        </w:numPr>
      </w:pPr>
      <w:r>
        <w:t xml:space="preserve">penetration test periodico;</w:t>
      </w:r>
    </w:p>
    <w:p>
      <w:pPr>
        <w:pStyle w:val="Compact"/>
        <w:numPr>
          <w:ilvl w:val="0"/>
          <w:numId w:val="1045"/>
        </w:numPr>
      </w:pPr>
      <w:r>
        <w:t xml:space="preserve">incident response;</w:t>
      </w:r>
    </w:p>
    <w:p>
      <w:pPr>
        <w:pStyle w:val="Compact"/>
        <w:numPr>
          <w:ilvl w:val="0"/>
          <w:numId w:val="1045"/>
        </w:numPr>
      </w:pPr>
      <w:r>
        <w:t xml:space="preserve">business continuity.</w:t>
      </w:r>
    </w:p>
    <w:bookmarkEnd w:id="89"/>
    <w:bookmarkStart w:id="90" w:name="Xd93718f54dd2fb6d2560958d88603745013e8e8"/>
    <w:p>
      <w:pPr>
        <w:pStyle w:val="Heading2"/>
      </w:pPr>
      <w:r>
        <w:t xml:space="preserve">13.3 Multi-tenancy</w:t>
      </w:r>
    </w:p>
    <w:p>
      <w:pPr>
        <w:pStyle w:val="FirstParagraph"/>
      </w:pPr>
      <w:r>
        <w:t xml:space="preserve">Difese a strati:</w:t>
      </w:r>
    </w:p>
    <w:p>
      <w:pPr>
        <w:pStyle w:val="Compact"/>
        <w:numPr>
          <w:ilvl w:val="0"/>
          <w:numId w:val="1046"/>
        </w:numPr>
      </w:pPr>
      <w:r>
        <w:t xml:space="preserve">autorizzazione applicativa;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tenant_id</w:t>
      </w:r>
      <w:r>
        <w:t xml:space="preserve"> </w:t>
      </w:r>
      <w:r>
        <w:t xml:space="preserve">obbligatorio;</w:t>
      </w:r>
    </w:p>
    <w:p>
      <w:pPr>
        <w:pStyle w:val="Compact"/>
        <w:numPr>
          <w:ilvl w:val="0"/>
          <w:numId w:val="1046"/>
        </w:numPr>
      </w:pPr>
      <w:r>
        <w:t xml:space="preserve">Row Level Security;</w:t>
      </w:r>
    </w:p>
    <w:p>
      <w:pPr>
        <w:pStyle w:val="Compact"/>
        <w:numPr>
          <w:ilvl w:val="0"/>
          <w:numId w:val="1046"/>
        </w:numPr>
      </w:pPr>
      <w:r>
        <w:t xml:space="preserve">namespace/bucket policy;</w:t>
      </w:r>
    </w:p>
    <w:p>
      <w:pPr>
        <w:pStyle w:val="Compact"/>
        <w:numPr>
          <w:ilvl w:val="0"/>
          <w:numId w:val="1046"/>
        </w:numPr>
      </w:pPr>
      <w:r>
        <w:t xml:space="preserve">cache segregate;</w:t>
      </w:r>
    </w:p>
    <w:p>
      <w:pPr>
        <w:pStyle w:val="Compact"/>
        <w:numPr>
          <w:ilvl w:val="0"/>
          <w:numId w:val="1046"/>
        </w:numPr>
      </w:pPr>
      <w:r>
        <w:t xml:space="preserve">code review dedicata;</w:t>
      </w:r>
    </w:p>
    <w:p>
      <w:pPr>
        <w:pStyle w:val="Compact"/>
        <w:numPr>
          <w:ilvl w:val="0"/>
          <w:numId w:val="1046"/>
        </w:numPr>
      </w:pPr>
      <w:r>
        <w:t xml:space="preserve">test automatici cross-tenant;</w:t>
      </w:r>
    </w:p>
    <w:p>
      <w:pPr>
        <w:pStyle w:val="Compact"/>
        <w:numPr>
          <w:ilvl w:val="0"/>
          <w:numId w:val="1046"/>
        </w:numPr>
      </w:pPr>
      <w:r>
        <w:t xml:space="preserve">chiavi per tenant dove giustificato;</w:t>
      </w:r>
    </w:p>
    <w:p>
      <w:pPr>
        <w:pStyle w:val="Compact"/>
        <w:numPr>
          <w:ilvl w:val="0"/>
          <w:numId w:val="1046"/>
        </w:numPr>
      </w:pPr>
      <w:r>
        <w:t xml:space="preserve">amministrazione separata;</w:t>
      </w:r>
    </w:p>
    <w:p>
      <w:pPr>
        <w:pStyle w:val="Compact"/>
        <w:numPr>
          <w:ilvl w:val="0"/>
          <w:numId w:val="1046"/>
        </w:numPr>
      </w:pPr>
      <w:r>
        <w:t xml:space="preserve">monitoraggio di query anomale.</w:t>
      </w:r>
    </w:p>
    <w:p>
      <w:pPr>
        <w:pStyle w:val="FirstParagraph"/>
      </w:pPr>
      <w:r>
        <w:t xml:space="preserve">Un test di sicurezza deve tentare esplicitamente di accedere a pazienti di un altro tenant modificando ID, URL, token e riferimenti oggetto.</w:t>
      </w:r>
    </w:p>
    <w:bookmarkEnd w:id="90"/>
    <w:bookmarkStart w:id="91" w:name="Xc8705d60cb2d33a59fe7b4198114722027f787f"/>
    <w:p>
      <w:pPr>
        <w:pStyle w:val="Heading2"/>
      </w:pPr>
      <w:r>
        <w:t xml:space="preserve">13.4 Backup e disaster recovery</w:t>
      </w:r>
    </w:p>
    <w:p>
      <w:pPr>
        <w:pStyle w:val="FirstParagraph"/>
      </w:pPr>
      <w:r>
        <w:t xml:space="preserve">Definire:</w:t>
      </w:r>
    </w:p>
    <w:p>
      <w:pPr>
        <w:pStyle w:val="Compact"/>
        <w:numPr>
          <w:ilvl w:val="0"/>
          <w:numId w:val="1047"/>
        </w:numPr>
      </w:pPr>
      <w:r>
        <w:t xml:space="preserve">RPO;</w:t>
      </w:r>
    </w:p>
    <w:p>
      <w:pPr>
        <w:pStyle w:val="Compact"/>
        <w:numPr>
          <w:ilvl w:val="0"/>
          <w:numId w:val="1047"/>
        </w:numPr>
      </w:pPr>
      <w:r>
        <w:t xml:space="preserve">RTO;</w:t>
      </w:r>
    </w:p>
    <w:p>
      <w:pPr>
        <w:pStyle w:val="Compact"/>
        <w:numPr>
          <w:ilvl w:val="0"/>
          <w:numId w:val="1047"/>
        </w:numPr>
      </w:pPr>
      <w:r>
        <w:t xml:space="preserve">frequenza;</w:t>
      </w:r>
    </w:p>
    <w:p>
      <w:pPr>
        <w:pStyle w:val="Compact"/>
        <w:numPr>
          <w:ilvl w:val="0"/>
          <w:numId w:val="1047"/>
        </w:numPr>
      </w:pPr>
      <w:r>
        <w:t xml:space="preserve">copie separate;</w:t>
      </w:r>
    </w:p>
    <w:p>
      <w:pPr>
        <w:pStyle w:val="Compact"/>
        <w:numPr>
          <w:ilvl w:val="0"/>
          <w:numId w:val="1047"/>
        </w:numPr>
      </w:pPr>
      <w:r>
        <w:t xml:space="preserve">cifratura;</w:t>
      </w:r>
    </w:p>
    <w:p>
      <w:pPr>
        <w:pStyle w:val="Compact"/>
        <w:numPr>
          <w:ilvl w:val="0"/>
          <w:numId w:val="1047"/>
        </w:numPr>
      </w:pPr>
      <w:r>
        <w:t xml:space="preserve">immutabilità;</w:t>
      </w:r>
    </w:p>
    <w:p>
      <w:pPr>
        <w:pStyle w:val="Compact"/>
        <w:numPr>
          <w:ilvl w:val="0"/>
          <w:numId w:val="1047"/>
        </w:numPr>
      </w:pPr>
      <w:r>
        <w:t xml:space="preserve">retention;</w:t>
      </w:r>
    </w:p>
    <w:p>
      <w:pPr>
        <w:pStyle w:val="Compact"/>
        <w:numPr>
          <w:ilvl w:val="0"/>
          <w:numId w:val="1047"/>
        </w:numPr>
      </w:pPr>
      <w:r>
        <w:t xml:space="preserve">ripristino per tenant e completo;</w:t>
      </w:r>
    </w:p>
    <w:p>
      <w:pPr>
        <w:pStyle w:val="Compact"/>
        <w:numPr>
          <w:ilvl w:val="0"/>
          <w:numId w:val="1047"/>
        </w:numPr>
      </w:pPr>
      <w:r>
        <w:t xml:space="preserve">test documentati;</w:t>
      </w:r>
    </w:p>
    <w:p>
      <w:pPr>
        <w:pStyle w:val="Compact"/>
        <w:numPr>
          <w:ilvl w:val="0"/>
          <w:numId w:val="1047"/>
        </w:numPr>
      </w:pPr>
      <w:r>
        <w:t xml:space="preserve">responsabilità;</w:t>
      </w:r>
    </w:p>
    <w:p>
      <w:pPr>
        <w:pStyle w:val="Compact"/>
        <w:numPr>
          <w:ilvl w:val="0"/>
          <w:numId w:val="1047"/>
        </w:numPr>
      </w:pPr>
      <w:r>
        <w:t xml:space="preserve">comunicazione di crisi.</w:t>
      </w:r>
    </w:p>
    <w:p>
      <w:pPr>
        <w:pStyle w:val="FirstParagraph"/>
      </w:pPr>
      <w:r>
        <w:t xml:space="preserve">Non dichiarare “backup effettuato” senza prova di restore.</w:t>
      </w:r>
    </w:p>
    <w:bookmarkEnd w:id="91"/>
    <w:bookmarkEnd w:id="92"/>
    <w:bookmarkStart w:id="98" w:name="Xaf95bf74f1b5d919a116b397226ed1064a9275a"/>
    <w:p>
      <w:pPr>
        <w:pStyle w:val="Heading1"/>
      </w:pPr>
      <w:r>
        <w:t xml:space="preserve">14. Interoperabilità</w:t>
      </w:r>
    </w:p>
    <w:bookmarkStart w:id="93" w:name="X563931145c078ff5b2c5dbcd590e5795ae711b8"/>
    <w:p>
      <w:pPr>
        <w:pStyle w:val="Heading2"/>
      </w:pPr>
      <w:r>
        <w:t xml:space="preserve">14.1 Strategia duale</w:t>
      </w:r>
    </w:p>
    <w:p>
      <w:pPr>
        <w:pStyle w:val="Compact"/>
        <w:numPr>
          <w:ilvl w:val="0"/>
          <w:numId w:val="1048"/>
        </w:numPr>
      </w:pPr>
      <w:r>
        <w:t xml:space="preserve">modello interno normalizzato e ricco;</w:t>
      </w:r>
    </w:p>
    <w:p>
      <w:pPr>
        <w:pStyle w:val="Compact"/>
        <w:numPr>
          <w:ilvl w:val="0"/>
          <w:numId w:val="1048"/>
        </w:numPr>
      </w:pPr>
      <w:r>
        <w:t xml:space="preserve">adapter verso standard esterni.</w:t>
      </w:r>
    </w:p>
    <w:p>
      <w:pPr>
        <w:pStyle w:val="FirstParagraph"/>
      </w:pPr>
      <w:r>
        <w:t xml:space="preserve">Non modellare il database copiando direttamente un CDA o un singolo profilo FHIR. Gli standard di scambio evolvono; il dominio interno deve rimanere stabile.</w:t>
      </w:r>
    </w:p>
    <w:bookmarkEnd w:id="93"/>
    <w:bookmarkStart w:id="94" w:name="Xaf462db9b2fb3fd9dd521a74344d541c0efc7cc"/>
    <w:p>
      <w:pPr>
        <w:pStyle w:val="Heading2"/>
      </w:pPr>
      <w:r>
        <w:t xml:space="preserve">14.2 Mappatura FHIR suggerita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DentalCare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FHIR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Paziente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Patient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Odontoiatra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Practitioner + PractitionerRole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Studio/sede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Organization + Location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Visita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Encounter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Anamnesi/riscontro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Observation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Allergia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AllergyIntolerance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Diagnosi/problema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Condition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Trattamento eseguito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Procedure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Piano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CarePlan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Richiesta esame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ServiceRequest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Prescrizione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MedicationRequest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Studio radiologico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ImagingStudy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Referto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DiagnosticReport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Documento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DocumentReference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Consenso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Consent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Provenienza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Provenance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Audit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AuditEvent</w:t>
            </w:r>
          </w:p>
        </w:tc>
      </w:tr>
    </w:tbl>
    <w:p>
      <w:pPr>
        <w:pStyle w:val="BodyText"/>
      </w:pPr>
      <w:r>
        <w:t xml:space="preserve">L'odontogramma richiede un profilo o modello applicativo dedicato: utilizzare codici dente/superficie e mappature esplicite; non inventare estensioni non governate.</w:t>
      </w:r>
    </w:p>
    <w:bookmarkEnd w:id="94"/>
    <w:bookmarkStart w:id="95" w:name="Xd65f0b97f174864d1979a4517cf22f2dead2c50"/>
    <w:p>
      <w:pPr>
        <w:pStyle w:val="Heading2"/>
      </w:pPr>
      <w:r>
        <w:t xml:space="preserve">14.3 Versioni e profili</w:t>
      </w:r>
    </w:p>
    <w:p>
      <w:pPr>
        <w:pStyle w:val="FirstParagraph"/>
      </w:pPr>
      <w:r>
        <w:t xml:space="preserve">La versione “più recente” non è automaticamente quella da usare. FHIR R5 è la versione pubblicata corrente, ma molte integrazioni operative usano R4/R4B. La scelta deve seguire il profilo nazionale o del partner e deve essere registrata nel conformance statement.</w:t>
      </w:r>
    </w:p>
    <w:bookmarkEnd w:id="95"/>
    <w:bookmarkStart w:id="96" w:name="X6ea4b53b81dac2580039cb910c3cb86363d6f76"/>
    <w:p>
      <w:pPr>
        <w:pStyle w:val="Heading2"/>
      </w:pPr>
      <w:r>
        <w:t xml:space="preserve">14.4 FSE 2.0</w:t>
      </w:r>
    </w:p>
    <w:p>
      <w:pPr>
        <w:pStyle w:val="FirstParagraph"/>
      </w:pPr>
      <w:r>
        <w:t xml:space="preserve">Per un futuro connettore:</w:t>
      </w:r>
    </w:p>
    <w:p>
      <w:pPr>
        <w:pStyle w:val="Compact"/>
        <w:numPr>
          <w:ilvl w:val="0"/>
          <w:numId w:val="1049"/>
        </w:numPr>
      </w:pPr>
      <w:r>
        <w:t xml:space="preserve">generare il documento clinico previsto;</w:t>
      </w:r>
    </w:p>
    <w:p>
      <w:pPr>
        <w:pStyle w:val="Compact"/>
        <w:numPr>
          <w:ilvl w:val="0"/>
          <w:numId w:val="1049"/>
        </w:numPr>
      </w:pPr>
      <w:r>
        <w:t xml:space="preserve">costruire CDA2 secondo la specifica applicabile;</w:t>
      </w:r>
    </w:p>
    <w:p>
      <w:pPr>
        <w:pStyle w:val="Compact"/>
        <w:numPr>
          <w:ilvl w:val="0"/>
          <w:numId w:val="1049"/>
        </w:numPr>
      </w:pPr>
      <w:r>
        <w:t xml:space="preserve">applicare terminologie e schematron pubblicati;</w:t>
      </w:r>
    </w:p>
    <w:p>
      <w:pPr>
        <w:pStyle w:val="Compact"/>
        <w:numPr>
          <w:ilvl w:val="0"/>
          <w:numId w:val="1049"/>
        </w:numPr>
      </w:pPr>
      <w:r>
        <w:t xml:space="preserve">generare il PDF con CDA integrato secondo il flusso richiesto;</w:t>
      </w:r>
    </w:p>
    <w:p>
      <w:pPr>
        <w:pStyle w:val="Compact"/>
        <w:numPr>
          <w:ilvl w:val="0"/>
          <w:numId w:val="1049"/>
        </w:numPr>
      </w:pPr>
      <w:r>
        <w:t xml:space="preserve">apporre firma PAdES;</w:t>
      </w:r>
    </w:p>
    <w:p>
      <w:pPr>
        <w:pStyle w:val="Compact"/>
        <w:numPr>
          <w:ilvl w:val="0"/>
          <w:numId w:val="1049"/>
        </w:numPr>
      </w:pPr>
      <w:r>
        <w:t xml:space="preserve">autenticarsi con certificati e JWT;</w:t>
      </w:r>
    </w:p>
    <w:p>
      <w:pPr>
        <w:pStyle w:val="Compact"/>
        <w:numPr>
          <w:ilvl w:val="0"/>
          <w:numId w:val="1049"/>
        </w:numPr>
      </w:pPr>
      <w:r>
        <w:t xml:space="preserve">invocare validazione;</w:t>
      </w:r>
    </w:p>
    <w:p>
      <w:pPr>
        <w:pStyle w:val="Compact"/>
        <w:numPr>
          <w:ilvl w:val="0"/>
          <w:numId w:val="1049"/>
        </w:numPr>
      </w:pPr>
      <w:r>
        <w:t xml:space="preserve">gestire pubblicazione, sostituzione, annullamento e metadati;</w:t>
      </w:r>
    </w:p>
    <w:p>
      <w:pPr>
        <w:pStyle w:val="Compact"/>
        <w:numPr>
          <w:ilvl w:val="0"/>
          <w:numId w:val="1049"/>
        </w:numPr>
      </w:pPr>
      <w:r>
        <w:t xml:space="preserve">memorizzare esito, identificatori e ricevute;</w:t>
      </w:r>
    </w:p>
    <w:p>
      <w:pPr>
        <w:pStyle w:val="Compact"/>
        <w:numPr>
          <w:ilvl w:val="0"/>
          <w:numId w:val="1049"/>
        </w:numPr>
      </w:pPr>
      <w:r>
        <w:t xml:space="preserve">gestire specificità regionali e accreditamento.</w:t>
      </w:r>
    </w:p>
    <w:p>
      <w:pPr>
        <w:pStyle w:val="FirstParagraph"/>
      </w:pPr>
      <w:r>
        <w:t xml:space="preserve">Il repository ufficiale del Ministero descrive controllo sintattico, semantico e terminologico dei CDA2, firma PAdES e uso di certificati X.509/JWT [R6].</w:t>
      </w:r>
    </w:p>
    <w:bookmarkEnd w:id="96"/>
    <w:bookmarkStart w:id="97" w:name="X460addfcf1c75fc7cd39409ecdb7199e731a612"/>
    <w:p>
      <w:pPr>
        <w:pStyle w:val="Heading2"/>
      </w:pPr>
      <w:r>
        <w:t xml:space="preserve">14.5 European Health Data Space</w:t>
      </w:r>
    </w:p>
    <w:p>
      <w:pPr>
        <w:pStyle w:val="FirstParagraph"/>
      </w:pPr>
      <w:r>
        <w:t xml:space="preserve">Il regolamento EHDS stabilisce un quadro europeo per accesso, controllo e scambio dei dati sanitari elettronici [R10]. DentalCare deve prepararsi a:</w:t>
      </w:r>
    </w:p>
    <w:p>
      <w:pPr>
        <w:pStyle w:val="Compact"/>
        <w:numPr>
          <w:ilvl w:val="0"/>
          <w:numId w:val="1050"/>
        </w:numPr>
      </w:pPr>
      <w:r>
        <w:t xml:space="preserve">esportazione strutturata;</w:t>
      </w:r>
    </w:p>
    <w:p>
      <w:pPr>
        <w:pStyle w:val="Compact"/>
        <w:numPr>
          <w:ilvl w:val="0"/>
          <w:numId w:val="1050"/>
        </w:numPr>
      </w:pPr>
      <w:r>
        <w:t xml:space="preserve">portabilità;</w:t>
      </w:r>
    </w:p>
    <w:p>
      <w:pPr>
        <w:pStyle w:val="Compact"/>
        <w:numPr>
          <w:ilvl w:val="0"/>
          <w:numId w:val="1050"/>
        </w:numPr>
      </w:pPr>
      <w:r>
        <w:t xml:space="preserve">identificazione delle categorie prioritarie;</w:t>
      </w:r>
    </w:p>
    <w:p>
      <w:pPr>
        <w:pStyle w:val="Compact"/>
        <w:numPr>
          <w:ilvl w:val="0"/>
          <w:numId w:val="1050"/>
        </w:numPr>
      </w:pPr>
      <w:r>
        <w:t xml:space="preserve">logging e trasparenza;</w:t>
      </w:r>
    </w:p>
    <w:p>
      <w:pPr>
        <w:pStyle w:val="Compact"/>
        <w:numPr>
          <w:ilvl w:val="0"/>
          <w:numId w:val="1050"/>
        </w:numPr>
      </w:pPr>
      <w:r>
        <w:t xml:space="preserve">interoperabilità semantica;</w:t>
      </w:r>
    </w:p>
    <w:p>
      <w:pPr>
        <w:pStyle w:val="Compact"/>
        <w:numPr>
          <w:ilvl w:val="0"/>
          <w:numId w:val="1050"/>
        </w:numPr>
      </w:pPr>
      <w:r>
        <w:t xml:space="preserve">separazione tra uso primario e secondario;</w:t>
      </w:r>
    </w:p>
    <w:p>
      <w:pPr>
        <w:pStyle w:val="Compact"/>
        <w:numPr>
          <w:ilvl w:val="0"/>
          <w:numId w:val="1050"/>
        </w:numPr>
      </w:pPr>
      <w:r>
        <w:t xml:space="preserve">conformità futura dei sistemi EHR.</w:t>
      </w:r>
    </w:p>
    <w:bookmarkEnd w:id="97"/>
    <w:bookmarkEnd w:id="98"/>
    <w:bookmarkStart w:id="104" w:name="X80ea30e544802ef010e6094230b17fb8cdb67ec"/>
    <w:p>
      <w:pPr>
        <w:pStyle w:val="Heading1"/>
      </w:pPr>
      <w:r>
        <w:t xml:space="preserve">15. Migrazione dalla carta e dai sistemi legacy</w:t>
      </w:r>
    </w:p>
    <w:bookmarkStart w:id="99" w:name="Xa166dc321716d2a57df624685ffc144cc373334"/>
    <w:p>
      <w:pPr>
        <w:pStyle w:val="Heading2"/>
      </w:pPr>
      <w:r>
        <w:t xml:space="preserve">15.1 Non digitalizzare tutto allo stesso modo</w:t>
      </w:r>
    </w:p>
    <w:p>
      <w:pPr>
        <w:pStyle w:val="FirstParagraph"/>
      </w:pPr>
      <w:r>
        <w:t xml:space="preserve">Classificare il pregresso: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Strategia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Pazienti attivi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migrazione strutturata + documenti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Pazienti recenti ma inattivi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dati essenziali + scansioni indicizzate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Archivio storico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scansione selettiva o accesso legacy controllato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Immagini DICOM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migrazione con UID e riconciliazione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Consensi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scansione, metadati e verifica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Dati economici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migrazione separata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Dati non affidabili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import marcato “non verificato”</w:t>
            </w:r>
          </w:p>
        </w:tc>
      </w:tr>
    </w:tbl>
    <w:bookmarkEnd w:id="99"/>
    <w:bookmarkStart w:id="100" w:name="X7f53cf1aeaead56ea2e0bad6d0d621d4fbbe486"/>
    <w:p>
      <w:pPr>
        <w:pStyle w:val="Heading2"/>
      </w:pPr>
      <w:r>
        <w:t xml:space="preserve">15.2 Processo di scansione</w:t>
      </w:r>
    </w:p>
    <w:p>
      <w:pPr>
        <w:pStyle w:val="Compact"/>
        <w:numPr>
          <w:ilvl w:val="0"/>
          <w:numId w:val="1051"/>
        </w:numPr>
      </w:pPr>
      <w:r>
        <w:t xml:space="preserve">presa in carico e inventario;</w:t>
      </w:r>
    </w:p>
    <w:p>
      <w:pPr>
        <w:pStyle w:val="Compact"/>
        <w:numPr>
          <w:ilvl w:val="0"/>
          <w:numId w:val="1051"/>
        </w:numPr>
      </w:pPr>
      <w:r>
        <w:t xml:space="preserve">preparazione fascicolo;</w:t>
      </w:r>
    </w:p>
    <w:p>
      <w:pPr>
        <w:pStyle w:val="Compact"/>
        <w:numPr>
          <w:ilvl w:val="0"/>
          <w:numId w:val="1051"/>
        </w:numPr>
      </w:pPr>
      <w:r>
        <w:t xml:space="preserve">assegnazione barcode/ID;</w:t>
      </w:r>
    </w:p>
    <w:p>
      <w:pPr>
        <w:pStyle w:val="Compact"/>
        <w:numPr>
          <w:ilvl w:val="0"/>
          <w:numId w:val="1051"/>
        </w:numPr>
      </w:pPr>
      <w:r>
        <w:t xml:space="preserve">scansione;</w:t>
      </w:r>
    </w:p>
    <w:p>
      <w:pPr>
        <w:pStyle w:val="Compact"/>
        <w:numPr>
          <w:ilvl w:val="0"/>
          <w:numId w:val="1051"/>
        </w:numPr>
      </w:pPr>
      <w:r>
        <w:t xml:space="preserve">controllo leggibilità e completezza;</w:t>
      </w:r>
    </w:p>
    <w:p>
      <w:pPr>
        <w:pStyle w:val="Compact"/>
        <w:numPr>
          <w:ilvl w:val="0"/>
          <w:numId w:val="1051"/>
        </w:numPr>
      </w:pPr>
      <w:r>
        <w:t xml:space="preserve">OCR per indicizzazione, non come fonte clinica automatica;</w:t>
      </w:r>
    </w:p>
    <w:p>
      <w:pPr>
        <w:pStyle w:val="Compact"/>
        <w:numPr>
          <w:ilvl w:val="0"/>
          <w:numId w:val="1051"/>
        </w:numPr>
      </w:pPr>
      <w:r>
        <w:t xml:space="preserve">classificazione;</w:t>
      </w:r>
    </w:p>
    <w:p>
      <w:pPr>
        <w:pStyle w:val="Compact"/>
        <w:numPr>
          <w:ilvl w:val="0"/>
          <w:numId w:val="1051"/>
        </w:numPr>
      </w:pPr>
      <w:r>
        <w:t xml:space="preserve">associazione al paziente;</w:t>
      </w:r>
    </w:p>
    <w:p>
      <w:pPr>
        <w:pStyle w:val="Compact"/>
        <w:numPr>
          <w:ilvl w:val="0"/>
          <w:numId w:val="1051"/>
        </w:numPr>
      </w:pPr>
      <w:r>
        <w:t xml:space="preserve">doppio controllo per campioni o categorie critiche;</w:t>
      </w:r>
    </w:p>
    <w:p>
      <w:pPr>
        <w:pStyle w:val="Compact"/>
        <w:numPr>
          <w:ilvl w:val="0"/>
          <w:numId w:val="1051"/>
        </w:numPr>
      </w:pPr>
      <w:r>
        <w:t xml:space="preserve">hash e import;</w:t>
      </w:r>
    </w:p>
    <w:p>
      <w:pPr>
        <w:pStyle w:val="Compact"/>
        <w:numPr>
          <w:ilvl w:val="0"/>
          <w:numId w:val="1051"/>
        </w:numPr>
      </w:pPr>
      <w:r>
        <w:t xml:space="preserve">verbale di esito;</w:t>
      </w:r>
    </w:p>
    <w:p>
      <w:pPr>
        <w:pStyle w:val="Compact"/>
        <w:numPr>
          <w:ilvl w:val="0"/>
          <w:numId w:val="1051"/>
        </w:numPr>
      </w:pPr>
      <w:r>
        <w:t xml:space="preserve">gestione del cartaceo secondo policy.</w:t>
      </w:r>
    </w:p>
    <w:p>
      <w:pPr>
        <w:pStyle w:val="FirstParagraph"/>
      </w:pPr>
      <w:r>
        <w:t xml:space="preserve">Non distruggere il cartaceo subito dopo la scansione senza una decisione documentale e legale.</w:t>
      </w:r>
    </w:p>
    <w:bookmarkEnd w:id="100"/>
    <w:bookmarkStart w:id="101" w:name="X229fc2ff429d108d04657ab329e08c800afaadb"/>
    <w:p>
      <w:pPr>
        <w:pStyle w:val="Heading2"/>
      </w:pPr>
      <w:r>
        <w:t xml:space="preserve">15.3 Migrazione dati strutturati</w:t>
      </w:r>
    </w:p>
    <w:p>
      <w:pPr>
        <w:pStyle w:val="FirstParagraph"/>
      </w:pPr>
      <w:r>
        <w:t xml:space="preserve">Fasi:</w:t>
      </w:r>
    </w:p>
    <w:p>
      <w:pPr>
        <w:pStyle w:val="Compact"/>
        <w:numPr>
          <w:ilvl w:val="0"/>
          <w:numId w:val="1052"/>
        </w:numPr>
      </w:pPr>
      <w:r>
        <w:t xml:space="preserve">profiling;</w:t>
      </w:r>
    </w:p>
    <w:p>
      <w:pPr>
        <w:pStyle w:val="Compact"/>
        <w:numPr>
          <w:ilvl w:val="0"/>
          <w:numId w:val="1052"/>
        </w:numPr>
      </w:pPr>
      <w:r>
        <w:t xml:space="preserve">mapping;</w:t>
      </w:r>
    </w:p>
    <w:p>
      <w:pPr>
        <w:pStyle w:val="Compact"/>
        <w:numPr>
          <w:ilvl w:val="0"/>
          <w:numId w:val="1052"/>
        </w:numPr>
      </w:pPr>
      <w:r>
        <w:t xml:space="preserve">cleansing controllato;</w:t>
      </w:r>
    </w:p>
    <w:p>
      <w:pPr>
        <w:pStyle w:val="Compact"/>
        <w:numPr>
          <w:ilvl w:val="0"/>
          <w:numId w:val="1052"/>
        </w:numPr>
      </w:pPr>
      <w:r>
        <w:t xml:space="preserve">deduplicazione;</w:t>
      </w:r>
    </w:p>
    <w:p>
      <w:pPr>
        <w:pStyle w:val="Compact"/>
        <w:numPr>
          <w:ilvl w:val="0"/>
          <w:numId w:val="1052"/>
        </w:numPr>
      </w:pPr>
      <w:r>
        <w:t xml:space="preserve">trasformazione;</w:t>
      </w:r>
    </w:p>
    <w:p>
      <w:pPr>
        <w:pStyle w:val="Compact"/>
        <w:numPr>
          <w:ilvl w:val="0"/>
          <w:numId w:val="1052"/>
        </w:numPr>
      </w:pPr>
      <w:r>
        <w:t xml:space="preserve">caricamento prova;</w:t>
      </w:r>
    </w:p>
    <w:p>
      <w:pPr>
        <w:pStyle w:val="Compact"/>
        <w:numPr>
          <w:ilvl w:val="0"/>
          <w:numId w:val="1052"/>
        </w:numPr>
      </w:pPr>
      <w:r>
        <w:t xml:space="preserve">riconciliazione;</w:t>
      </w:r>
    </w:p>
    <w:p>
      <w:pPr>
        <w:pStyle w:val="Compact"/>
        <w:numPr>
          <w:ilvl w:val="0"/>
          <w:numId w:val="1052"/>
        </w:numPr>
      </w:pPr>
      <w:r>
        <w:t xml:space="preserve">approvazione clinica;</w:t>
      </w:r>
    </w:p>
    <w:p>
      <w:pPr>
        <w:pStyle w:val="Compact"/>
        <w:numPr>
          <w:ilvl w:val="0"/>
          <w:numId w:val="1052"/>
        </w:numPr>
      </w:pPr>
      <w:r>
        <w:t xml:space="preserve">caricamento finale;</w:t>
      </w:r>
    </w:p>
    <w:p>
      <w:pPr>
        <w:pStyle w:val="Compact"/>
        <w:numPr>
          <w:ilvl w:val="0"/>
          <w:numId w:val="1052"/>
        </w:numPr>
      </w:pPr>
      <w:r>
        <w:t xml:space="preserve">freeze legacy;</w:t>
      </w:r>
    </w:p>
    <w:p>
      <w:pPr>
        <w:pStyle w:val="Compact"/>
        <w:numPr>
          <w:ilvl w:val="0"/>
          <w:numId w:val="1052"/>
        </w:numPr>
      </w:pPr>
      <w:r>
        <w:t xml:space="preserve">report di migrazione.</w:t>
      </w:r>
    </w:p>
    <w:bookmarkEnd w:id="101"/>
    <w:bookmarkStart w:id="102" w:name="Xafc3e6d6eda1a3094186b868e61d09944a44e7e"/>
    <w:p>
      <w:pPr>
        <w:pStyle w:val="Heading2"/>
      </w:pPr>
      <w:r>
        <w:t xml:space="preserve">15.4 Controlli di riconciliazione</w:t>
      </w:r>
    </w:p>
    <w:p>
      <w:pPr>
        <w:pStyle w:val="Compact"/>
        <w:numPr>
          <w:ilvl w:val="0"/>
          <w:numId w:val="1053"/>
        </w:numPr>
      </w:pPr>
      <w:r>
        <w:t xml:space="preserve">numero pazienti;</w:t>
      </w:r>
    </w:p>
    <w:p>
      <w:pPr>
        <w:pStyle w:val="Compact"/>
        <w:numPr>
          <w:ilvl w:val="0"/>
          <w:numId w:val="1053"/>
        </w:numPr>
      </w:pPr>
      <w:r>
        <w:t xml:space="preserve">numero cartelle;</w:t>
      </w:r>
    </w:p>
    <w:p>
      <w:pPr>
        <w:pStyle w:val="Compact"/>
        <w:numPr>
          <w:ilvl w:val="0"/>
          <w:numId w:val="1053"/>
        </w:numPr>
      </w:pPr>
      <w:r>
        <w:t xml:space="preserve">numero documenti;</w:t>
      </w:r>
    </w:p>
    <w:p>
      <w:pPr>
        <w:pStyle w:val="Compact"/>
        <w:numPr>
          <w:ilvl w:val="0"/>
          <w:numId w:val="1053"/>
        </w:numPr>
      </w:pPr>
      <w:r>
        <w:t xml:space="preserve">numero immagini;</w:t>
      </w:r>
    </w:p>
    <w:p>
      <w:pPr>
        <w:pStyle w:val="Compact"/>
        <w:numPr>
          <w:ilvl w:val="0"/>
          <w:numId w:val="1053"/>
        </w:numPr>
      </w:pPr>
      <w:r>
        <w:t xml:space="preserve">hash;</w:t>
      </w:r>
    </w:p>
    <w:p>
      <w:pPr>
        <w:pStyle w:val="Compact"/>
        <w:numPr>
          <w:ilvl w:val="0"/>
          <w:numId w:val="1053"/>
        </w:numPr>
      </w:pPr>
      <w:r>
        <w:t xml:space="preserve">distribuzione per anno;</w:t>
      </w:r>
    </w:p>
    <w:p>
      <w:pPr>
        <w:pStyle w:val="Compact"/>
        <w:numPr>
          <w:ilvl w:val="0"/>
          <w:numId w:val="1053"/>
        </w:numPr>
      </w:pPr>
      <w:r>
        <w:t xml:space="preserve">campi obbligatori;</w:t>
      </w:r>
    </w:p>
    <w:p>
      <w:pPr>
        <w:pStyle w:val="Compact"/>
        <w:numPr>
          <w:ilvl w:val="0"/>
          <w:numId w:val="1053"/>
        </w:numPr>
      </w:pPr>
      <w:r>
        <w:t xml:space="preserve">duplicati;</w:t>
      </w:r>
    </w:p>
    <w:p>
      <w:pPr>
        <w:pStyle w:val="Compact"/>
        <w:numPr>
          <w:ilvl w:val="0"/>
          <w:numId w:val="1053"/>
        </w:numPr>
      </w:pPr>
      <w:r>
        <w:t xml:space="preserve">record orfani;</w:t>
      </w:r>
    </w:p>
    <w:p>
      <w:pPr>
        <w:pStyle w:val="Compact"/>
        <w:numPr>
          <w:ilvl w:val="0"/>
          <w:numId w:val="1053"/>
        </w:numPr>
      </w:pPr>
      <w:r>
        <w:t xml:space="preserve">associazioni dente/procedura;</w:t>
      </w:r>
    </w:p>
    <w:p>
      <w:pPr>
        <w:pStyle w:val="Compact"/>
        <w:numPr>
          <w:ilvl w:val="0"/>
          <w:numId w:val="1053"/>
        </w:numPr>
      </w:pPr>
      <w:r>
        <w:t xml:space="preserve">firme e date;</w:t>
      </w:r>
    </w:p>
    <w:p>
      <w:pPr>
        <w:pStyle w:val="Compact"/>
        <w:numPr>
          <w:ilvl w:val="0"/>
          <w:numId w:val="1053"/>
        </w:numPr>
      </w:pPr>
      <w:r>
        <w:t xml:space="preserve">confronto campionario clinico.</w:t>
      </w:r>
    </w:p>
    <w:bookmarkEnd w:id="102"/>
    <w:bookmarkStart w:id="103" w:name="X8bbc90bffb27970e5116aa3794c158611257419"/>
    <w:p>
      <w:pPr>
        <w:pStyle w:val="Heading2"/>
      </w:pPr>
      <w:r>
        <w:t xml:space="preserve">15.5 Provenienza del dato migrato</w:t>
      </w:r>
    </w:p>
    <w:p>
      <w:pPr>
        <w:pStyle w:val="FirstParagraph"/>
      </w:pPr>
      <w:r>
        <w:t xml:space="preserve">Ogni dato importato deve indicare:</w:t>
      </w:r>
    </w:p>
    <w:p>
      <w:pPr>
        <w:pStyle w:val="Compact"/>
        <w:numPr>
          <w:ilvl w:val="0"/>
          <w:numId w:val="1054"/>
        </w:numPr>
      </w:pPr>
      <w:r>
        <w:t xml:space="preserve">sistema sorgente;</w:t>
      </w:r>
    </w:p>
    <w:p>
      <w:pPr>
        <w:pStyle w:val="Compact"/>
        <w:numPr>
          <w:ilvl w:val="0"/>
          <w:numId w:val="1054"/>
        </w:numPr>
      </w:pPr>
      <w:r>
        <w:t xml:space="preserve">identificativo originario;</w:t>
      </w:r>
    </w:p>
    <w:p>
      <w:pPr>
        <w:pStyle w:val="Compact"/>
        <w:numPr>
          <w:ilvl w:val="0"/>
          <w:numId w:val="1054"/>
        </w:numPr>
      </w:pPr>
      <w:r>
        <w:t xml:space="preserve">data migrazione;</w:t>
      </w:r>
    </w:p>
    <w:p>
      <w:pPr>
        <w:pStyle w:val="Compact"/>
        <w:numPr>
          <w:ilvl w:val="0"/>
          <w:numId w:val="1054"/>
        </w:numPr>
      </w:pPr>
      <w:r>
        <w:t xml:space="preserve">batch;</w:t>
      </w:r>
    </w:p>
    <w:p>
      <w:pPr>
        <w:pStyle w:val="Compact"/>
        <w:numPr>
          <w:ilvl w:val="0"/>
          <w:numId w:val="1054"/>
        </w:numPr>
      </w:pPr>
      <w:r>
        <w:t xml:space="preserve">trasformazioni;</w:t>
      </w:r>
    </w:p>
    <w:p>
      <w:pPr>
        <w:pStyle w:val="Compact"/>
        <w:numPr>
          <w:ilvl w:val="0"/>
          <w:numId w:val="1054"/>
        </w:numPr>
      </w:pPr>
      <w:r>
        <w:t xml:space="preserve">livello di verifica;</w:t>
      </w:r>
    </w:p>
    <w:p>
      <w:pPr>
        <w:pStyle w:val="Compact"/>
        <w:numPr>
          <w:ilvl w:val="0"/>
          <w:numId w:val="1054"/>
        </w:numPr>
      </w:pPr>
      <w:r>
        <w:t xml:space="preserve">operatore;</w:t>
      </w:r>
    </w:p>
    <w:p>
      <w:pPr>
        <w:pStyle w:val="Compact"/>
        <w:numPr>
          <w:ilvl w:val="0"/>
          <w:numId w:val="1054"/>
        </w:numPr>
      </w:pPr>
      <w:r>
        <w:t xml:space="preserve">eventuale anomalia.</w:t>
      </w:r>
    </w:p>
    <w:bookmarkEnd w:id="103"/>
    <w:bookmarkEnd w:id="104"/>
    <w:bookmarkStart w:id="108" w:name="X5f84c3701dc6b010850007e610db39b138b27cd"/>
    <w:p>
      <w:pPr>
        <w:pStyle w:val="Heading1"/>
      </w:pPr>
      <w:r>
        <w:t xml:space="preserve">16. Esperienza utente clinica</w:t>
      </w:r>
    </w:p>
    <w:bookmarkStart w:id="105" w:name="X3517369b93e23b2a46ca9de1d364259e8a43667"/>
    <w:p>
      <w:pPr>
        <w:pStyle w:val="Heading2"/>
      </w:pPr>
      <w:r>
        <w:t xml:space="preserve">16.1 Ridurre il carico senza perdere qualità</w:t>
      </w:r>
    </w:p>
    <w:p>
      <w:pPr>
        <w:pStyle w:val="Compact"/>
        <w:numPr>
          <w:ilvl w:val="0"/>
          <w:numId w:val="1055"/>
        </w:numPr>
      </w:pPr>
      <w:r>
        <w:t xml:space="preserve">riepilogo iniziale dei rischi;</w:t>
      </w:r>
    </w:p>
    <w:p>
      <w:pPr>
        <w:pStyle w:val="Compact"/>
        <w:numPr>
          <w:ilvl w:val="0"/>
          <w:numId w:val="1055"/>
        </w:numPr>
      </w:pPr>
      <w:r>
        <w:t xml:space="preserve">evidenza delle informazioni scadute;</w:t>
      </w:r>
    </w:p>
    <w:p>
      <w:pPr>
        <w:pStyle w:val="Compact"/>
        <w:numPr>
          <w:ilvl w:val="0"/>
          <w:numId w:val="1055"/>
        </w:numPr>
      </w:pPr>
      <w:r>
        <w:t xml:space="preserve">scorciatoie configurabili;</w:t>
      </w:r>
    </w:p>
    <w:p>
      <w:pPr>
        <w:pStyle w:val="Compact"/>
        <w:numPr>
          <w:ilvl w:val="0"/>
          <w:numId w:val="1055"/>
        </w:numPr>
      </w:pPr>
      <w:r>
        <w:t xml:space="preserve">template per specialità;</w:t>
      </w:r>
    </w:p>
    <w:p>
      <w:pPr>
        <w:pStyle w:val="Compact"/>
        <w:numPr>
          <w:ilvl w:val="0"/>
          <w:numId w:val="1055"/>
        </w:numPr>
      </w:pPr>
      <w:r>
        <w:t xml:space="preserve">dettatura con revisione;</w:t>
      </w:r>
    </w:p>
    <w:p>
      <w:pPr>
        <w:pStyle w:val="Compact"/>
        <w:numPr>
          <w:ilvl w:val="0"/>
          <w:numId w:val="1055"/>
        </w:numPr>
      </w:pPr>
      <w:r>
        <w:t xml:space="preserve">campi strutturati e testo libero bilanciati;</w:t>
      </w:r>
    </w:p>
    <w:p>
      <w:pPr>
        <w:pStyle w:val="Compact"/>
        <w:numPr>
          <w:ilvl w:val="0"/>
          <w:numId w:val="1055"/>
        </w:numPr>
      </w:pPr>
      <w:r>
        <w:t xml:space="preserve">copia controllata dal precedente;</w:t>
      </w:r>
    </w:p>
    <w:p>
      <w:pPr>
        <w:pStyle w:val="Compact"/>
        <w:numPr>
          <w:ilvl w:val="0"/>
          <w:numId w:val="1055"/>
        </w:numPr>
      </w:pPr>
      <w:r>
        <w:t xml:space="preserve">firma in pochi passaggi;</w:t>
      </w:r>
    </w:p>
    <w:p>
      <w:pPr>
        <w:pStyle w:val="Compact"/>
        <w:numPr>
          <w:ilvl w:val="0"/>
          <w:numId w:val="1055"/>
        </w:numPr>
      </w:pPr>
      <w:r>
        <w:t xml:space="preserve">alert solo ad alta rilevanza;</w:t>
      </w:r>
    </w:p>
    <w:p>
      <w:pPr>
        <w:pStyle w:val="Compact"/>
        <w:numPr>
          <w:ilvl w:val="0"/>
          <w:numId w:val="1055"/>
        </w:numPr>
      </w:pPr>
      <w:r>
        <w:t xml:space="preserve">cronologia visiva;</w:t>
      </w:r>
    </w:p>
    <w:p>
      <w:pPr>
        <w:pStyle w:val="Compact"/>
        <w:numPr>
          <w:ilvl w:val="0"/>
          <w:numId w:val="1055"/>
        </w:numPr>
      </w:pPr>
      <w:r>
        <w:t xml:space="preserve">confronto odontogrammi;</w:t>
      </w:r>
    </w:p>
    <w:p>
      <w:pPr>
        <w:pStyle w:val="Compact"/>
        <w:numPr>
          <w:ilvl w:val="0"/>
          <w:numId w:val="1055"/>
        </w:numPr>
      </w:pPr>
      <w:r>
        <w:t xml:space="preserve">accesso rapido all'immagine originale.</w:t>
      </w:r>
    </w:p>
    <w:bookmarkEnd w:id="105"/>
    <w:bookmarkStart w:id="106" w:name="X1cc73da1b9f3323a126fcba36a9d7a3ad49fb35"/>
    <w:p>
      <w:pPr>
        <w:pStyle w:val="Heading2"/>
      </w:pPr>
      <w:r>
        <w:t xml:space="preserve">16.2 Prevenire errori</w:t>
      </w:r>
    </w:p>
    <w:p>
      <w:pPr>
        <w:pStyle w:val="Compact"/>
        <w:numPr>
          <w:ilvl w:val="0"/>
          <w:numId w:val="1056"/>
        </w:numPr>
      </w:pPr>
      <w:r>
        <w:t xml:space="preserve">conferma paziente persistente nell'interfaccia;</w:t>
      </w:r>
    </w:p>
    <w:p>
      <w:pPr>
        <w:pStyle w:val="Compact"/>
        <w:numPr>
          <w:ilvl w:val="0"/>
          <w:numId w:val="1056"/>
        </w:numPr>
      </w:pPr>
      <w:r>
        <w:t xml:space="preserve">foto o ulteriori identificatori secondo policy;</w:t>
      </w:r>
    </w:p>
    <w:p>
      <w:pPr>
        <w:pStyle w:val="Compact"/>
        <w:numPr>
          <w:ilvl w:val="0"/>
          <w:numId w:val="1056"/>
        </w:numPr>
      </w:pPr>
      <w:r>
        <w:t xml:space="preserve">avviso se l'immagine DICOM appartiene a un altro paziente;</w:t>
      </w:r>
    </w:p>
    <w:p>
      <w:pPr>
        <w:pStyle w:val="Compact"/>
        <w:numPr>
          <w:ilvl w:val="0"/>
          <w:numId w:val="1056"/>
        </w:numPr>
      </w:pPr>
      <w:r>
        <w:t xml:space="preserve">warning su allergie e farmaci;</w:t>
      </w:r>
    </w:p>
    <w:p>
      <w:pPr>
        <w:pStyle w:val="Compact"/>
        <w:numPr>
          <w:ilvl w:val="0"/>
          <w:numId w:val="1056"/>
        </w:numPr>
      </w:pPr>
      <w:r>
        <w:t xml:space="preserve">blocco per campi clinici essenziali;</w:t>
      </w:r>
    </w:p>
    <w:p>
      <w:pPr>
        <w:pStyle w:val="Compact"/>
        <w:numPr>
          <w:ilvl w:val="0"/>
          <w:numId w:val="1056"/>
        </w:numPr>
      </w:pPr>
      <w:r>
        <w:t xml:space="preserve">nessuna pre-selezione di “assenza patologie”;</w:t>
      </w:r>
    </w:p>
    <w:p>
      <w:pPr>
        <w:pStyle w:val="Compact"/>
        <w:numPr>
          <w:ilvl w:val="0"/>
          <w:numId w:val="1056"/>
        </w:numPr>
      </w:pPr>
      <w:r>
        <w:t xml:space="preserve">distinzione netta tra pianificato ed eseguito;</w:t>
      </w:r>
    </w:p>
    <w:p>
      <w:pPr>
        <w:pStyle w:val="Compact"/>
        <w:numPr>
          <w:ilvl w:val="0"/>
          <w:numId w:val="1056"/>
        </w:numPr>
      </w:pPr>
      <w:r>
        <w:t xml:space="preserve">anteprima prima di firma o invio;</w:t>
      </w:r>
    </w:p>
    <w:p>
      <w:pPr>
        <w:pStyle w:val="Compact"/>
        <w:numPr>
          <w:ilvl w:val="0"/>
          <w:numId w:val="1056"/>
        </w:numPr>
      </w:pPr>
      <w:r>
        <w:t xml:space="preserve">annullamento guidato;</w:t>
      </w:r>
    </w:p>
    <w:p>
      <w:pPr>
        <w:pStyle w:val="Compact"/>
        <w:numPr>
          <w:ilvl w:val="0"/>
          <w:numId w:val="1056"/>
        </w:numPr>
      </w:pPr>
      <w:r>
        <w:t xml:space="preserve">nessun uso di colori come unico veicolo informativo.</w:t>
      </w:r>
    </w:p>
    <w:bookmarkEnd w:id="106"/>
    <w:bookmarkStart w:id="107" w:name="X29f3025d1b467e16f2f7aa1878590bbdb3348ca"/>
    <w:p>
      <w:pPr>
        <w:pStyle w:val="Heading2"/>
      </w:pPr>
      <w:r>
        <w:t xml:space="preserve">16.3 Accessibilità</w:t>
      </w:r>
    </w:p>
    <w:p>
      <w:pPr>
        <w:pStyle w:val="Compact"/>
        <w:numPr>
          <w:ilvl w:val="0"/>
          <w:numId w:val="1057"/>
        </w:numPr>
      </w:pPr>
      <w:r>
        <w:t xml:space="preserve">navigazione da tastiera;</w:t>
      </w:r>
    </w:p>
    <w:p>
      <w:pPr>
        <w:pStyle w:val="Compact"/>
        <w:numPr>
          <w:ilvl w:val="0"/>
          <w:numId w:val="1057"/>
        </w:numPr>
      </w:pPr>
      <w:r>
        <w:t xml:space="preserve">contrasto;</w:t>
      </w:r>
    </w:p>
    <w:p>
      <w:pPr>
        <w:pStyle w:val="Compact"/>
        <w:numPr>
          <w:ilvl w:val="0"/>
          <w:numId w:val="1057"/>
        </w:numPr>
      </w:pPr>
      <w:r>
        <w:t xml:space="preserve">etichette;</w:t>
      </w:r>
    </w:p>
    <w:p>
      <w:pPr>
        <w:pStyle w:val="Compact"/>
        <w:numPr>
          <w:ilvl w:val="0"/>
          <w:numId w:val="1057"/>
        </w:numPr>
      </w:pPr>
      <w:r>
        <w:t xml:space="preserve">dimensionamento;</w:t>
      </w:r>
    </w:p>
    <w:p>
      <w:pPr>
        <w:pStyle w:val="Compact"/>
        <w:numPr>
          <w:ilvl w:val="0"/>
          <w:numId w:val="1057"/>
        </w:numPr>
      </w:pPr>
      <w:r>
        <w:t xml:space="preserve">screen reader;</w:t>
      </w:r>
    </w:p>
    <w:p>
      <w:pPr>
        <w:pStyle w:val="Compact"/>
        <w:numPr>
          <w:ilvl w:val="0"/>
          <w:numId w:val="1057"/>
        </w:numPr>
      </w:pPr>
      <w:r>
        <w:t xml:space="preserve">alternative testuali;</w:t>
      </w:r>
    </w:p>
    <w:p>
      <w:pPr>
        <w:pStyle w:val="Compact"/>
        <w:numPr>
          <w:ilvl w:val="0"/>
          <w:numId w:val="1057"/>
        </w:numPr>
      </w:pPr>
      <w:r>
        <w:t xml:space="preserve">linguaggio comprensibile per il portale paziente;</w:t>
      </w:r>
    </w:p>
    <w:p>
      <w:pPr>
        <w:pStyle w:val="Compact"/>
        <w:numPr>
          <w:ilvl w:val="0"/>
          <w:numId w:val="1057"/>
        </w:numPr>
      </w:pPr>
      <w:r>
        <w:t xml:space="preserve">stampa leggibile.</w:t>
      </w:r>
    </w:p>
    <w:bookmarkEnd w:id="107"/>
    <w:bookmarkEnd w:id="108"/>
    <w:bookmarkStart w:id="114" w:name="X6facb52152bd5892271dd0c882ce1a97d9ca7c6"/>
    <w:p>
      <w:pPr>
        <w:pStyle w:val="Heading1"/>
      </w:pPr>
      <w:r>
        <w:t xml:space="preserve">17. Integrazione dell'intelligenza artificiale</w:t>
      </w:r>
    </w:p>
    <w:bookmarkStart w:id="109" w:name="Xa44cebc96e7e1655b98e66163e2e1d7d364e04b"/>
    <w:p>
      <w:pPr>
        <w:pStyle w:val="Heading2"/>
      </w:pPr>
      <w:r>
        <w:t xml:space="preserve">17.1 Regola fondamentale</w:t>
      </w:r>
    </w:p>
    <w:p>
      <w:pPr>
        <w:pStyle w:val="FirstParagraph"/>
      </w:pPr>
      <w:r>
        <w:t xml:space="preserve">L'output AI deve essere conservato come</w:t>
      </w:r>
      <w:r>
        <w:t xml:space="preserve"> </w:t>
      </w:r>
      <w:r>
        <w:rPr>
          <w:b/>
          <w:bCs/>
        </w:rPr>
        <w:t xml:space="preserve">proposta o osservazione algoritmica</w:t>
      </w:r>
      <w:r>
        <w:t xml:space="preserve">, distinta dalla diagnosi o decisione finale del professionista.</w:t>
      </w:r>
    </w:p>
    <w:bookmarkEnd w:id="109"/>
    <w:bookmarkStart w:id="110" w:name="X11db3964f732c34424ec1cb78c01665384c23b2"/>
    <w:p>
      <w:pPr>
        <w:pStyle w:val="Heading2"/>
      </w:pPr>
      <w:r>
        <w:t xml:space="preserve">17.2 Metadati minimi dell'output radiologico</w:t>
      </w:r>
    </w:p>
    <w:p>
      <w:pPr>
        <w:pStyle w:val="Compact"/>
        <w:numPr>
          <w:ilvl w:val="0"/>
          <w:numId w:val="1058"/>
        </w:numPr>
      </w:pPr>
      <w:r>
        <w:t xml:space="preserve">paziente e immagine;</w:t>
      </w:r>
    </w:p>
    <w:p>
      <w:pPr>
        <w:pStyle w:val="Compact"/>
        <w:numPr>
          <w:ilvl w:val="0"/>
          <w:numId w:val="1058"/>
        </w:numPr>
      </w:pPr>
      <w:r>
        <w:t xml:space="preserve">modello e versione;</w:t>
      </w:r>
    </w:p>
    <w:p>
      <w:pPr>
        <w:pStyle w:val="Compact"/>
        <w:numPr>
          <w:ilvl w:val="0"/>
          <w:numId w:val="1058"/>
        </w:numPr>
      </w:pPr>
      <w:r>
        <w:t xml:space="preserve">checksum dei pesi;</w:t>
      </w:r>
    </w:p>
    <w:p>
      <w:pPr>
        <w:pStyle w:val="Compact"/>
        <w:numPr>
          <w:ilvl w:val="0"/>
          <w:numId w:val="1058"/>
        </w:numPr>
      </w:pPr>
      <w:r>
        <w:t xml:space="preserve">runtime;</w:t>
      </w:r>
    </w:p>
    <w:p>
      <w:pPr>
        <w:pStyle w:val="Compact"/>
        <w:numPr>
          <w:ilvl w:val="0"/>
          <w:numId w:val="1058"/>
        </w:numPr>
      </w:pPr>
      <w:r>
        <w:t xml:space="preserve">data e ora;</w:t>
      </w:r>
    </w:p>
    <w:p>
      <w:pPr>
        <w:pStyle w:val="Compact"/>
        <w:numPr>
          <w:ilvl w:val="0"/>
          <w:numId w:val="1058"/>
        </w:numPr>
      </w:pPr>
      <w:r>
        <w:t xml:space="preserve">preprocessing;</w:t>
      </w:r>
    </w:p>
    <w:p>
      <w:pPr>
        <w:pStyle w:val="Compact"/>
        <w:numPr>
          <w:ilvl w:val="0"/>
          <w:numId w:val="1058"/>
        </w:numPr>
      </w:pPr>
      <w:r>
        <w:t xml:space="preserve">classe;</w:t>
      </w:r>
    </w:p>
    <w:p>
      <w:pPr>
        <w:pStyle w:val="Compact"/>
        <w:numPr>
          <w:ilvl w:val="0"/>
          <w:numId w:val="1058"/>
        </w:numPr>
      </w:pPr>
      <w:r>
        <w:t xml:space="preserve">localizzazione;</w:t>
      </w:r>
    </w:p>
    <w:p>
      <w:pPr>
        <w:pStyle w:val="Compact"/>
        <w:numPr>
          <w:ilvl w:val="0"/>
          <w:numId w:val="1058"/>
        </w:numPr>
      </w:pPr>
      <w:r>
        <w:t xml:space="preserve">confidence;</w:t>
      </w:r>
    </w:p>
    <w:p>
      <w:pPr>
        <w:pStyle w:val="Compact"/>
        <w:numPr>
          <w:ilvl w:val="0"/>
          <w:numId w:val="1058"/>
        </w:numPr>
      </w:pPr>
      <w:r>
        <w:t xml:space="preserve">soglia;</w:t>
      </w:r>
    </w:p>
    <w:p>
      <w:pPr>
        <w:pStyle w:val="Compact"/>
        <w:numPr>
          <w:ilvl w:val="0"/>
          <w:numId w:val="1058"/>
        </w:numPr>
      </w:pPr>
      <w:r>
        <w:t xml:space="preserve">qualità input;</w:t>
      </w:r>
    </w:p>
    <w:p>
      <w:pPr>
        <w:pStyle w:val="Compact"/>
        <w:numPr>
          <w:ilvl w:val="0"/>
          <w:numId w:val="1058"/>
        </w:numPr>
      </w:pPr>
      <w:r>
        <w:t xml:space="preserve">eventuale astensione;</w:t>
      </w:r>
    </w:p>
    <w:p>
      <w:pPr>
        <w:pStyle w:val="Compact"/>
        <w:numPr>
          <w:ilvl w:val="0"/>
          <w:numId w:val="1058"/>
        </w:numPr>
      </w:pPr>
      <w:r>
        <w:t xml:space="preserve">odontoiatra revisore;</w:t>
      </w:r>
    </w:p>
    <w:p>
      <w:pPr>
        <w:pStyle w:val="Compact"/>
        <w:numPr>
          <w:ilvl w:val="0"/>
          <w:numId w:val="1058"/>
        </w:numPr>
      </w:pPr>
      <w:r>
        <w:t xml:space="preserve">accettato, modificato o rifiutato;</w:t>
      </w:r>
    </w:p>
    <w:p>
      <w:pPr>
        <w:pStyle w:val="Compact"/>
        <w:numPr>
          <w:ilvl w:val="0"/>
          <w:numId w:val="1058"/>
        </w:numPr>
      </w:pPr>
      <w:r>
        <w:t xml:space="preserve">esito finale;</w:t>
      </w:r>
    </w:p>
    <w:p>
      <w:pPr>
        <w:pStyle w:val="Compact"/>
        <w:numPr>
          <w:ilvl w:val="0"/>
          <w:numId w:val="1058"/>
        </w:numPr>
      </w:pPr>
      <w:r>
        <w:t xml:space="preserve">motivo del disaccordo, se raccolto.</w:t>
      </w:r>
    </w:p>
    <w:bookmarkEnd w:id="110"/>
    <w:bookmarkStart w:id="111" w:name="X1f235e7cd55a2d3b0f5d3cefb232f25c7b4f63a"/>
    <w:p>
      <w:pPr>
        <w:pStyle w:val="Heading2"/>
      </w:pPr>
      <w:r>
        <w:t xml:space="preserve">17.3 Workflow</w:t>
      </w:r>
    </w:p>
    <w:p>
      <w:pPr>
        <w:pStyle w:val="SourceCode"/>
      </w:pPr>
      <w:r>
        <w:rPr>
          <w:rStyle w:val="VerbatimChar"/>
        </w:rPr>
        <w:t xml:space="preserve">Immagine originale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Controllo qualità e compatibilità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Inferenza AI --------&gt; log modello/versione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Overlay separato e disattivabile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Revisione odontoiatra</w:t>
      </w:r>
      <w:r>
        <w:br/>
      </w:r>
      <w:r>
        <w:rPr>
          <w:rStyle w:val="VerbatimChar"/>
        </w:rPr>
        <w:t xml:space="preserve">      +--&gt; accetta</w:t>
      </w:r>
      <w:r>
        <w:br/>
      </w:r>
      <w:r>
        <w:rPr>
          <w:rStyle w:val="VerbatimChar"/>
        </w:rPr>
        <w:t xml:space="preserve">      +--&gt; modifica</w:t>
      </w:r>
      <w:r>
        <w:br/>
      </w:r>
      <w:r>
        <w:rPr>
          <w:rStyle w:val="VerbatimChar"/>
        </w:rPr>
        <w:t xml:space="preserve">      +--&gt; rifiuta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Decisione clinica firmata</w:t>
      </w:r>
    </w:p>
    <w:bookmarkEnd w:id="111"/>
    <w:bookmarkStart w:id="112" w:name="Xb7faf5fd1e493c94d6ef3b6170c26498756c8bb"/>
    <w:p>
      <w:pPr>
        <w:pStyle w:val="Heading2"/>
      </w:pPr>
      <w:r>
        <w:t xml:space="preserve">17.4 Feedback e riaddestramento</w:t>
      </w:r>
    </w:p>
    <w:p>
      <w:pPr>
        <w:pStyle w:val="Compact"/>
        <w:numPr>
          <w:ilvl w:val="0"/>
          <w:numId w:val="1059"/>
        </w:numPr>
      </w:pPr>
      <w:r>
        <w:t xml:space="preserve">il feedback non aggiorna il modello in tempo reale;</w:t>
      </w:r>
    </w:p>
    <w:p>
      <w:pPr>
        <w:pStyle w:val="Compact"/>
        <w:numPr>
          <w:ilvl w:val="0"/>
          <w:numId w:val="1059"/>
        </w:numPr>
      </w:pPr>
      <w:r>
        <w:t xml:space="preserve">la correzione non è automaticamente ground truth;</w:t>
      </w:r>
    </w:p>
    <w:p>
      <w:pPr>
        <w:pStyle w:val="Compact"/>
        <w:numPr>
          <w:ilvl w:val="0"/>
          <w:numId w:val="1059"/>
        </w:numPr>
      </w:pPr>
      <w:r>
        <w:t xml:space="preserve">occorrono review e adjudication;</w:t>
      </w:r>
    </w:p>
    <w:p>
      <w:pPr>
        <w:pStyle w:val="Compact"/>
        <w:numPr>
          <w:ilvl w:val="0"/>
          <w:numId w:val="1059"/>
        </w:numPr>
      </w:pPr>
      <w:r>
        <w:t xml:space="preserve">il dataset deve avere base giuridica e provenienza;</w:t>
      </w:r>
    </w:p>
    <w:p>
      <w:pPr>
        <w:pStyle w:val="Compact"/>
        <w:numPr>
          <w:ilvl w:val="0"/>
          <w:numId w:val="1059"/>
        </w:numPr>
      </w:pPr>
      <w:r>
        <w:t xml:space="preserve">training e produzione devono essere separati;</w:t>
      </w:r>
    </w:p>
    <w:p>
      <w:pPr>
        <w:pStyle w:val="Compact"/>
        <w:numPr>
          <w:ilvl w:val="0"/>
          <w:numId w:val="1059"/>
        </w:numPr>
      </w:pPr>
      <w:r>
        <w:t xml:space="preserve">ogni nuova versione segue change control e validazione;</w:t>
      </w:r>
    </w:p>
    <w:p>
      <w:pPr>
        <w:pStyle w:val="Compact"/>
        <w:numPr>
          <w:ilvl w:val="0"/>
          <w:numId w:val="1059"/>
        </w:numPr>
      </w:pPr>
      <w:r>
        <w:t xml:space="preserve">l'output originario rimane ricostruibile.</w:t>
      </w:r>
    </w:p>
    <w:bookmarkEnd w:id="112"/>
    <w:bookmarkStart w:id="113" w:name="X33099bd2effe5c3b8a16379a3f99fc047206a61"/>
    <w:p>
      <w:pPr>
        <w:pStyle w:val="Heading2"/>
      </w:pPr>
      <w:r>
        <w:t xml:space="preserve">17.5 LLM e assistente vocale</w:t>
      </w:r>
    </w:p>
    <w:p>
      <w:pPr>
        <w:pStyle w:val="Compact"/>
        <w:numPr>
          <w:ilvl w:val="0"/>
          <w:numId w:val="1060"/>
        </w:numPr>
      </w:pPr>
      <w:r>
        <w:t xml:space="preserve">non inviare cartelle complete a modelli esterni;</w:t>
      </w:r>
    </w:p>
    <w:p>
      <w:pPr>
        <w:pStyle w:val="Compact"/>
        <w:numPr>
          <w:ilvl w:val="0"/>
          <w:numId w:val="1060"/>
        </w:numPr>
      </w:pPr>
      <w:r>
        <w:t xml:space="preserve">applicare minimizzazione e redazione;</w:t>
      </w:r>
    </w:p>
    <w:p>
      <w:pPr>
        <w:pStyle w:val="Compact"/>
        <w:numPr>
          <w:ilvl w:val="0"/>
          <w:numId w:val="1060"/>
        </w:numPr>
      </w:pPr>
      <w:r>
        <w:t xml:space="preserve">vietare training del fornitore;</w:t>
      </w:r>
    </w:p>
    <w:p>
      <w:pPr>
        <w:pStyle w:val="Compact"/>
        <w:numPr>
          <w:ilvl w:val="0"/>
          <w:numId w:val="1060"/>
        </w:numPr>
      </w:pPr>
      <w:r>
        <w:t xml:space="preserve">limitare tool e permessi;</w:t>
      </w:r>
    </w:p>
    <w:p>
      <w:pPr>
        <w:pStyle w:val="Compact"/>
        <w:numPr>
          <w:ilvl w:val="0"/>
          <w:numId w:val="1060"/>
        </w:numPr>
      </w:pPr>
      <w:r>
        <w:t xml:space="preserve">richiedere conferma umana per azioni sensibili;</w:t>
      </w:r>
    </w:p>
    <w:p>
      <w:pPr>
        <w:pStyle w:val="Compact"/>
        <w:numPr>
          <w:ilvl w:val="0"/>
          <w:numId w:val="1060"/>
        </w:numPr>
      </w:pPr>
      <w:r>
        <w:t xml:space="preserve">registrare tool call;</w:t>
      </w:r>
    </w:p>
    <w:p>
      <w:pPr>
        <w:pStyle w:val="Compact"/>
        <w:numPr>
          <w:ilvl w:val="0"/>
          <w:numId w:val="1060"/>
        </w:numPr>
      </w:pPr>
      <w:r>
        <w:t xml:space="preserve">rilevare prompt injection;</w:t>
      </w:r>
    </w:p>
    <w:p>
      <w:pPr>
        <w:pStyle w:val="Compact"/>
        <w:numPr>
          <w:ilvl w:val="0"/>
          <w:numId w:val="1060"/>
        </w:numPr>
      </w:pPr>
      <w:r>
        <w:t xml:space="preserve">non consentire diagnosi o prescrizione all'assistente amministrativo;</w:t>
      </w:r>
    </w:p>
    <w:p>
      <w:pPr>
        <w:pStyle w:val="Compact"/>
        <w:numPr>
          <w:ilvl w:val="0"/>
          <w:numId w:val="1060"/>
        </w:numPr>
      </w:pPr>
      <w:r>
        <w:t xml:space="preserve">inserire il risultato nella cartella solo dopo revisione del professionista.</w:t>
      </w:r>
    </w:p>
    <w:bookmarkEnd w:id="113"/>
    <w:bookmarkEnd w:id="114"/>
    <w:bookmarkStart w:id="122" w:name="Xf71eeae5b67c7ee206c0193fb9df039f66fb824"/>
    <w:p>
      <w:pPr>
        <w:pStyle w:val="Heading1"/>
      </w:pPr>
      <w:r>
        <w:t xml:space="preserve">18. Piano di implementazione</w:t>
      </w:r>
    </w:p>
    <w:bookmarkStart w:id="115" w:name="fase-0--mandato-e-perimetro"/>
    <w:p>
      <w:pPr>
        <w:pStyle w:val="Heading2"/>
      </w:pPr>
      <w:r>
        <w:t xml:space="preserve">Fase 0 — Mandato e perimetro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61"/>
        </w:numPr>
      </w:pPr>
      <w:r>
        <w:t xml:space="preserve">project charter;</w:t>
      </w:r>
    </w:p>
    <w:p>
      <w:pPr>
        <w:pStyle w:val="Compact"/>
        <w:numPr>
          <w:ilvl w:val="0"/>
          <w:numId w:val="1061"/>
        </w:numPr>
      </w:pPr>
      <w:r>
        <w:t xml:space="preserve">RACI;</w:t>
      </w:r>
    </w:p>
    <w:p>
      <w:pPr>
        <w:pStyle w:val="Compact"/>
        <w:numPr>
          <w:ilvl w:val="0"/>
          <w:numId w:val="1061"/>
        </w:numPr>
      </w:pPr>
      <w:r>
        <w:t xml:space="preserve">inventario processi;</w:t>
      </w:r>
    </w:p>
    <w:p>
      <w:pPr>
        <w:pStyle w:val="Compact"/>
        <w:numPr>
          <w:ilvl w:val="0"/>
          <w:numId w:val="1061"/>
        </w:numPr>
      </w:pPr>
      <w:r>
        <w:t xml:space="preserve">data flow;</w:t>
      </w:r>
    </w:p>
    <w:p>
      <w:pPr>
        <w:pStyle w:val="Compact"/>
        <w:numPr>
          <w:ilvl w:val="0"/>
          <w:numId w:val="1061"/>
        </w:numPr>
      </w:pPr>
      <w:r>
        <w:t xml:space="preserve">risk register;</w:t>
      </w:r>
    </w:p>
    <w:p>
      <w:pPr>
        <w:pStyle w:val="Compact"/>
        <w:numPr>
          <w:ilvl w:val="0"/>
          <w:numId w:val="1061"/>
        </w:numPr>
      </w:pPr>
      <w:r>
        <w:t xml:space="preserve">classificazione documentale;</w:t>
      </w:r>
    </w:p>
    <w:p>
      <w:pPr>
        <w:pStyle w:val="Compact"/>
        <w:numPr>
          <w:ilvl w:val="0"/>
          <w:numId w:val="1061"/>
        </w:numPr>
      </w:pPr>
      <w:r>
        <w:t xml:space="preserve">decisioni su tenant e sedi.</w:t>
      </w:r>
    </w:p>
    <w:p>
      <w:pPr>
        <w:pStyle w:val="FirstParagraph"/>
      </w:pPr>
      <w:r>
        <w:t xml:space="preserve">Gate: approvazione sponsor, responsabile clinico, DPO e security.</w:t>
      </w:r>
    </w:p>
    <w:bookmarkEnd w:id="115"/>
    <w:bookmarkStart w:id="116" w:name="fase-1--modello-clinico-e-prototipo"/>
    <w:p>
      <w:pPr>
        <w:pStyle w:val="Heading2"/>
      </w:pPr>
      <w:r>
        <w:t xml:space="preserve">Fase 1 — Modello clinico e prototipo</w:t>
      </w:r>
    </w:p>
    <w:p>
      <w:pPr>
        <w:pStyle w:val="Compact"/>
        <w:numPr>
          <w:ilvl w:val="0"/>
          <w:numId w:val="1062"/>
        </w:numPr>
      </w:pPr>
      <w:r>
        <w:t xml:space="preserve">workshop con odontoiatri;</w:t>
      </w:r>
    </w:p>
    <w:p>
      <w:pPr>
        <w:pStyle w:val="Compact"/>
        <w:numPr>
          <w:ilvl w:val="0"/>
          <w:numId w:val="1062"/>
        </w:numPr>
      </w:pPr>
      <w:r>
        <w:t xml:space="preserve">dataset minimo;</w:t>
      </w:r>
    </w:p>
    <w:p>
      <w:pPr>
        <w:pStyle w:val="Compact"/>
        <w:numPr>
          <w:ilvl w:val="0"/>
          <w:numId w:val="1062"/>
        </w:numPr>
      </w:pPr>
      <w:r>
        <w:t xml:space="preserve">odontogramma;</w:t>
      </w:r>
    </w:p>
    <w:p>
      <w:pPr>
        <w:pStyle w:val="Compact"/>
        <w:numPr>
          <w:ilvl w:val="0"/>
          <w:numId w:val="1062"/>
        </w:numPr>
      </w:pPr>
      <w:r>
        <w:t xml:space="preserve">workflow visita;</w:t>
      </w:r>
    </w:p>
    <w:p>
      <w:pPr>
        <w:pStyle w:val="Compact"/>
        <w:numPr>
          <w:ilvl w:val="0"/>
          <w:numId w:val="1062"/>
        </w:numPr>
      </w:pPr>
      <w:r>
        <w:t xml:space="preserve">consenso;</w:t>
      </w:r>
    </w:p>
    <w:p>
      <w:pPr>
        <w:pStyle w:val="Compact"/>
        <w:numPr>
          <w:ilvl w:val="0"/>
          <w:numId w:val="1062"/>
        </w:numPr>
      </w:pPr>
      <w:r>
        <w:t xml:space="preserve">nota procedura;</w:t>
      </w:r>
    </w:p>
    <w:p>
      <w:pPr>
        <w:pStyle w:val="Compact"/>
        <w:numPr>
          <w:ilvl w:val="0"/>
          <w:numId w:val="1062"/>
        </w:numPr>
      </w:pPr>
      <w:r>
        <w:t xml:space="preserve">immagini;</w:t>
      </w:r>
    </w:p>
    <w:p>
      <w:pPr>
        <w:pStyle w:val="Compact"/>
        <w:numPr>
          <w:ilvl w:val="0"/>
          <w:numId w:val="1062"/>
        </w:numPr>
      </w:pPr>
      <w:r>
        <w:t xml:space="preserve">correzione;</w:t>
      </w:r>
    </w:p>
    <w:p>
      <w:pPr>
        <w:pStyle w:val="Compact"/>
        <w:numPr>
          <w:ilvl w:val="0"/>
          <w:numId w:val="1062"/>
        </w:numPr>
      </w:pPr>
      <w:r>
        <w:t xml:space="preserve">prototipo UX.</w:t>
      </w:r>
    </w:p>
    <w:p>
      <w:pPr>
        <w:pStyle w:val="FirstParagraph"/>
      </w:pPr>
      <w:r>
        <w:t xml:space="preserve">Gate: simulazione completa su casi realistici.</w:t>
      </w:r>
    </w:p>
    <w:bookmarkEnd w:id="116"/>
    <w:bookmarkStart w:id="117" w:name="fase-2--fondazioni-tecniche"/>
    <w:p>
      <w:pPr>
        <w:pStyle w:val="Heading2"/>
      </w:pPr>
      <w:r>
        <w:t xml:space="preserve">Fase 2 — Fondazioni tecniche</w:t>
      </w:r>
    </w:p>
    <w:p>
      <w:pPr>
        <w:pStyle w:val="Compact"/>
        <w:numPr>
          <w:ilvl w:val="0"/>
          <w:numId w:val="1063"/>
        </w:numPr>
      </w:pPr>
      <w:r>
        <w:t xml:space="preserve">IAM;</w:t>
      </w:r>
    </w:p>
    <w:p>
      <w:pPr>
        <w:pStyle w:val="Compact"/>
        <w:numPr>
          <w:ilvl w:val="0"/>
          <w:numId w:val="1063"/>
        </w:numPr>
      </w:pPr>
      <w:r>
        <w:t xml:space="preserve">tenant isolation;</w:t>
      </w:r>
    </w:p>
    <w:p>
      <w:pPr>
        <w:pStyle w:val="Compact"/>
        <w:numPr>
          <w:ilvl w:val="0"/>
          <w:numId w:val="1063"/>
        </w:numPr>
      </w:pPr>
      <w:r>
        <w:t xml:space="preserve">PostgreSQL schema;</w:t>
      </w:r>
    </w:p>
    <w:p>
      <w:pPr>
        <w:pStyle w:val="Compact"/>
        <w:numPr>
          <w:ilvl w:val="0"/>
          <w:numId w:val="1063"/>
        </w:numPr>
      </w:pPr>
      <w:r>
        <w:t xml:space="preserve">MinIO;</w:t>
      </w:r>
    </w:p>
    <w:p>
      <w:pPr>
        <w:pStyle w:val="Compact"/>
        <w:numPr>
          <w:ilvl w:val="0"/>
          <w:numId w:val="1063"/>
        </w:numPr>
      </w:pPr>
      <w:r>
        <w:t xml:space="preserve">audit;</w:t>
      </w:r>
    </w:p>
    <w:p>
      <w:pPr>
        <w:pStyle w:val="Compact"/>
        <w:numPr>
          <w:ilvl w:val="0"/>
          <w:numId w:val="1063"/>
        </w:numPr>
      </w:pPr>
      <w:r>
        <w:t xml:space="preserve">document service;</w:t>
      </w:r>
    </w:p>
    <w:p>
      <w:pPr>
        <w:pStyle w:val="Compact"/>
        <w:numPr>
          <w:ilvl w:val="0"/>
          <w:numId w:val="1063"/>
        </w:numPr>
      </w:pPr>
      <w:r>
        <w:t xml:space="preserve">terminology service;</w:t>
      </w:r>
    </w:p>
    <w:p>
      <w:pPr>
        <w:pStyle w:val="Compact"/>
        <w:numPr>
          <w:ilvl w:val="0"/>
          <w:numId w:val="1063"/>
        </w:numPr>
      </w:pPr>
      <w:r>
        <w:t xml:space="preserve">backup;</w:t>
      </w:r>
    </w:p>
    <w:p>
      <w:pPr>
        <w:pStyle w:val="Compact"/>
        <w:numPr>
          <w:ilvl w:val="0"/>
          <w:numId w:val="1063"/>
        </w:numPr>
      </w:pPr>
      <w:r>
        <w:t xml:space="preserve">CI/CD;</w:t>
      </w:r>
    </w:p>
    <w:p>
      <w:pPr>
        <w:pStyle w:val="Compact"/>
        <w:numPr>
          <w:ilvl w:val="0"/>
          <w:numId w:val="1063"/>
        </w:numPr>
      </w:pPr>
      <w:r>
        <w:t xml:space="preserve">logging e monitoring.</w:t>
      </w:r>
    </w:p>
    <w:p>
      <w:pPr>
        <w:pStyle w:val="FirstParagraph"/>
      </w:pPr>
      <w:r>
        <w:t xml:space="preserve">Gate: security architecture review.</w:t>
      </w:r>
    </w:p>
    <w:bookmarkEnd w:id="117"/>
    <w:bookmarkStart w:id="118" w:name="fase-3--mvp-clinico"/>
    <w:p>
      <w:pPr>
        <w:pStyle w:val="Heading2"/>
      </w:pPr>
      <w:r>
        <w:t xml:space="preserve">Fase 3 — MVP clinico</w:t>
      </w:r>
    </w:p>
    <w:p>
      <w:pPr>
        <w:pStyle w:val="Compact"/>
        <w:numPr>
          <w:ilvl w:val="0"/>
          <w:numId w:val="1064"/>
        </w:numPr>
      </w:pPr>
      <w:r>
        <w:t xml:space="preserve">anagrafica;</w:t>
      </w:r>
    </w:p>
    <w:p>
      <w:pPr>
        <w:pStyle w:val="Compact"/>
        <w:numPr>
          <w:ilvl w:val="0"/>
          <w:numId w:val="1064"/>
        </w:numPr>
      </w:pPr>
      <w:r>
        <w:t xml:space="preserve">anamnesi;</w:t>
      </w:r>
    </w:p>
    <w:p>
      <w:pPr>
        <w:pStyle w:val="Compact"/>
        <w:numPr>
          <w:ilvl w:val="0"/>
          <w:numId w:val="1064"/>
        </w:numPr>
      </w:pPr>
      <w:r>
        <w:t xml:space="preserve">odontogramma;</w:t>
      </w:r>
    </w:p>
    <w:p>
      <w:pPr>
        <w:pStyle w:val="Compact"/>
        <w:numPr>
          <w:ilvl w:val="0"/>
          <w:numId w:val="1064"/>
        </w:numPr>
      </w:pPr>
      <w:r>
        <w:t xml:space="preserve">encounter;</w:t>
      </w:r>
    </w:p>
    <w:p>
      <w:pPr>
        <w:pStyle w:val="Compact"/>
        <w:numPr>
          <w:ilvl w:val="0"/>
          <w:numId w:val="1064"/>
        </w:numPr>
      </w:pPr>
      <w:r>
        <w:t xml:space="preserve">diagnosi;</w:t>
      </w:r>
    </w:p>
    <w:p>
      <w:pPr>
        <w:pStyle w:val="Compact"/>
        <w:numPr>
          <w:ilvl w:val="0"/>
          <w:numId w:val="1064"/>
        </w:numPr>
      </w:pPr>
      <w:r>
        <w:t xml:space="preserve">piano;</w:t>
      </w:r>
    </w:p>
    <w:p>
      <w:pPr>
        <w:pStyle w:val="Compact"/>
        <w:numPr>
          <w:ilvl w:val="0"/>
          <w:numId w:val="1064"/>
        </w:numPr>
      </w:pPr>
      <w:r>
        <w:t xml:space="preserve">procedure;</w:t>
      </w:r>
    </w:p>
    <w:p>
      <w:pPr>
        <w:pStyle w:val="Compact"/>
        <w:numPr>
          <w:ilvl w:val="0"/>
          <w:numId w:val="1064"/>
        </w:numPr>
      </w:pPr>
      <w:r>
        <w:t xml:space="preserve">documenti;</w:t>
      </w:r>
    </w:p>
    <w:p>
      <w:pPr>
        <w:pStyle w:val="Compact"/>
        <w:numPr>
          <w:ilvl w:val="0"/>
          <w:numId w:val="1064"/>
        </w:numPr>
      </w:pPr>
      <w:r>
        <w:t xml:space="preserve">consensi;</w:t>
      </w:r>
    </w:p>
    <w:p>
      <w:pPr>
        <w:pStyle w:val="Compact"/>
        <w:numPr>
          <w:ilvl w:val="0"/>
          <w:numId w:val="1064"/>
        </w:numPr>
      </w:pPr>
      <w:r>
        <w:t xml:space="preserve">export cartella;</w:t>
      </w:r>
    </w:p>
    <w:p>
      <w:pPr>
        <w:pStyle w:val="Compact"/>
        <w:numPr>
          <w:ilvl w:val="0"/>
          <w:numId w:val="1064"/>
        </w:numPr>
      </w:pPr>
      <w:r>
        <w:t xml:space="preserve">audit.</w:t>
      </w:r>
    </w:p>
    <w:p>
      <w:pPr>
        <w:pStyle w:val="FirstParagraph"/>
      </w:pPr>
      <w:r>
        <w:t xml:space="preserve">Gate: UAT clinico e DPIA aggiornata.</w:t>
      </w:r>
    </w:p>
    <w:bookmarkEnd w:id="118"/>
    <w:bookmarkStart w:id="119" w:name="fase-4--migrazione-pilota"/>
    <w:p>
      <w:pPr>
        <w:pStyle w:val="Heading2"/>
      </w:pPr>
      <w:r>
        <w:t xml:space="preserve">Fase 4 — Migrazione pilota</w:t>
      </w:r>
    </w:p>
    <w:p>
      <w:pPr>
        <w:pStyle w:val="Compact"/>
        <w:numPr>
          <w:ilvl w:val="0"/>
          <w:numId w:val="1065"/>
        </w:numPr>
      </w:pPr>
      <w:r>
        <w:t xml:space="preserve">selezione studio;</w:t>
      </w:r>
    </w:p>
    <w:p>
      <w:pPr>
        <w:pStyle w:val="Compact"/>
        <w:numPr>
          <w:ilvl w:val="0"/>
          <w:numId w:val="1065"/>
        </w:numPr>
      </w:pPr>
      <w:r>
        <w:t xml:space="preserve">import pazienti;</w:t>
      </w:r>
    </w:p>
    <w:p>
      <w:pPr>
        <w:pStyle w:val="Compact"/>
        <w:numPr>
          <w:ilvl w:val="0"/>
          <w:numId w:val="1065"/>
        </w:numPr>
      </w:pPr>
      <w:r>
        <w:t xml:space="preserve">scansioni;</w:t>
      </w:r>
    </w:p>
    <w:p>
      <w:pPr>
        <w:pStyle w:val="Compact"/>
        <w:numPr>
          <w:ilvl w:val="0"/>
          <w:numId w:val="1065"/>
        </w:numPr>
      </w:pPr>
      <w:r>
        <w:t xml:space="preserve">immagini;</w:t>
      </w:r>
    </w:p>
    <w:p>
      <w:pPr>
        <w:pStyle w:val="Compact"/>
        <w:numPr>
          <w:ilvl w:val="0"/>
          <w:numId w:val="1065"/>
        </w:numPr>
      </w:pPr>
      <w:r>
        <w:t xml:space="preserve">formazione;</w:t>
      </w:r>
    </w:p>
    <w:p>
      <w:pPr>
        <w:pStyle w:val="Compact"/>
        <w:numPr>
          <w:ilvl w:val="0"/>
          <w:numId w:val="1065"/>
        </w:numPr>
      </w:pPr>
      <w:r>
        <w:t xml:space="preserve">parallel run limitato;</w:t>
      </w:r>
    </w:p>
    <w:p>
      <w:pPr>
        <w:pStyle w:val="Compact"/>
        <w:numPr>
          <w:ilvl w:val="0"/>
          <w:numId w:val="1065"/>
        </w:numPr>
      </w:pPr>
      <w:r>
        <w:t xml:space="preserve">riconciliazione;</w:t>
      </w:r>
    </w:p>
    <w:p>
      <w:pPr>
        <w:pStyle w:val="Compact"/>
        <w:numPr>
          <w:ilvl w:val="0"/>
          <w:numId w:val="1065"/>
        </w:numPr>
      </w:pPr>
      <w:r>
        <w:t xml:space="preserve">correzioni.</w:t>
      </w:r>
    </w:p>
    <w:p>
      <w:pPr>
        <w:pStyle w:val="FirstParagraph"/>
      </w:pPr>
      <w:r>
        <w:t xml:space="preserve">Gate: verbale di accettazione.</w:t>
      </w:r>
    </w:p>
    <w:bookmarkEnd w:id="119"/>
    <w:bookmarkStart w:id="120" w:name="fase-5--go-live"/>
    <w:p>
      <w:pPr>
        <w:pStyle w:val="Heading2"/>
      </w:pPr>
      <w:r>
        <w:t xml:space="preserve">Fase 5 — Go-live</w:t>
      </w:r>
    </w:p>
    <w:p>
      <w:pPr>
        <w:pStyle w:val="Compact"/>
        <w:numPr>
          <w:ilvl w:val="0"/>
          <w:numId w:val="1066"/>
        </w:numPr>
      </w:pPr>
      <w:r>
        <w:t xml:space="preserve">freeze;</w:t>
      </w:r>
    </w:p>
    <w:p>
      <w:pPr>
        <w:pStyle w:val="Compact"/>
        <w:numPr>
          <w:ilvl w:val="0"/>
          <w:numId w:val="1066"/>
        </w:numPr>
      </w:pPr>
      <w:r>
        <w:t xml:space="preserve">migrazione finale;</w:t>
      </w:r>
    </w:p>
    <w:p>
      <w:pPr>
        <w:pStyle w:val="Compact"/>
        <w:numPr>
          <w:ilvl w:val="0"/>
          <w:numId w:val="1066"/>
        </w:numPr>
      </w:pPr>
      <w:r>
        <w:t xml:space="preserve">supporto;</w:t>
      </w:r>
    </w:p>
    <w:p>
      <w:pPr>
        <w:pStyle w:val="Compact"/>
        <w:numPr>
          <w:ilvl w:val="0"/>
          <w:numId w:val="1066"/>
        </w:numPr>
      </w:pPr>
      <w:r>
        <w:t xml:space="preserve">monitoraggio;</w:t>
      </w:r>
    </w:p>
    <w:p>
      <w:pPr>
        <w:pStyle w:val="Compact"/>
        <w:numPr>
          <w:ilvl w:val="0"/>
          <w:numId w:val="1066"/>
        </w:numPr>
      </w:pPr>
      <w:r>
        <w:t xml:space="preserve">piano fallback;</w:t>
      </w:r>
    </w:p>
    <w:p>
      <w:pPr>
        <w:pStyle w:val="Compact"/>
        <w:numPr>
          <w:ilvl w:val="0"/>
          <w:numId w:val="1066"/>
        </w:numPr>
      </w:pPr>
      <w:r>
        <w:t xml:space="preserve">comunicazione pazienti;</w:t>
      </w:r>
    </w:p>
    <w:p>
      <w:pPr>
        <w:pStyle w:val="Compact"/>
        <w:numPr>
          <w:ilvl w:val="0"/>
          <w:numId w:val="1066"/>
        </w:numPr>
      </w:pPr>
      <w:r>
        <w:t xml:space="preserve">gestione incidenti.</w:t>
      </w:r>
    </w:p>
    <w:bookmarkEnd w:id="120"/>
    <w:bookmarkStart w:id="121" w:name="fase-6--interoperabilità-e-ai"/>
    <w:p>
      <w:pPr>
        <w:pStyle w:val="Heading2"/>
      </w:pPr>
      <w:r>
        <w:t xml:space="preserve">Fase 6 — Interoperabilità e AI</w:t>
      </w:r>
    </w:p>
    <w:p>
      <w:pPr>
        <w:pStyle w:val="FirstParagraph"/>
      </w:pPr>
      <w:r>
        <w:t xml:space="preserve">Solo dopo stabilità del nucleo:</w:t>
      </w:r>
    </w:p>
    <w:p>
      <w:pPr>
        <w:pStyle w:val="Compact"/>
        <w:numPr>
          <w:ilvl w:val="0"/>
          <w:numId w:val="1067"/>
        </w:numPr>
      </w:pPr>
      <w:r>
        <w:t xml:space="preserve">FHIR API;</w:t>
      </w:r>
    </w:p>
    <w:p>
      <w:pPr>
        <w:pStyle w:val="Compact"/>
        <w:numPr>
          <w:ilvl w:val="0"/>
          <w:numId w:val="1067"/>
        </w:numPr>
      </w:pPr>
      <w:r>
        <w:t xml:space="preserve">DICOMweb/PACS;</w:t>
      </w:r>
    </w:p>
    <w:p>
      <w:pPr>
        <w:pStyle w:val="Compact"/>
        <w:numPr>
          <w:ilvl w:val="0"/>
          <w:numId w:val="1067"/>
        </w:numPr>
      </w:pPr>
      <w:r>
        <w:t xml:space="preserve">FSE adapter;</w:t>
      </w:r>
    </w:p>
    <w:p>
      <w:pPr>
        <w:pStyle w:val="Compact"/>
        <w:numPr>
          <w:ilvl w:val="0"/>
          <w:numId w:val="1067"/>
        </w:numPr>
      </w:pPr>
      <w:r>
        <w:t xml:space="preserve">portale paziente;</w:t>
      </w:r>
    </w:p>
    <w:p>
      <w:pPr>
        <w:pStyle w:val="Compact"/>
        <w:numPr>
          <w:ilvl w:val="0"/>
          <w:numId w:val="1067"/>
        </w:numPr>
      </w:pPr>
      <w:r>
        <w:t xml:space="preserve">AI imaging;</w:t>
      </w:r>
    </w:p>
    <w:p>
      <w:pPr>
        <w:pStyle w:val="Compact"/>
        <w:numPr>
          <w:ilvl w:val="0"/>
          <w:numId w:val="1067"/>
        </w:numPr>
      </w:pPr>
      <w:r>
        <w:t xml:space="preserve">assistente vocale;</w:t>
      </w:r>
    </w:p>
    <w:p>
      <w:pPr>
        <w:pStyle w:val="Compact"/>
        <w:numPr>
          <w:ilvl w:val="0"/>
          <w:numId w:val="1067"/>
        </w:numPr>
      </w:pPr>
      <w:r>
        <w:t xml:space="preserve">analytics.</w:t>
      </w:r>
    </w:p>
    <w:bookmarkEnd w:id="121"/>
    <w:bookmarkEnd w:id="122"/>
    <w:bookmarkStart w:id="129" w:name="X1ee1a472b2da28cdaba7bf526f68841a4ef0607"/>
    <w:p>
      <w:pPr>
        <w:pStyle w:val="Heading1"/>
      </w:pPr>
      <w:r>
        <w:t xml:space="preserve">19. Test e validazione</w:t>
      </w:r>
    </w:p>
    <w:bookmarkStart w:id="123" w:name="X97cf114ed0b7e8cfacc474b1e1828d6b7269bd6"/>
    <w:p>
      <w:pPr>
        <w:pStyle w:val="Heading2"/>
      </w:pPr>
      <w:r>
        <w:t xml:space="preserve">19.1 Test funzionali</w:t>
      </w:r>
    </w:p>
    <w:p>
      <w:pPr>
        <w:pStyle w:val="Compact"/>
        <w:numPr>
          <w:ilvl w:val="0"/>
          <w:numId w:val="1068"/>
        </w:numPr>
      </w:pPr>
      <w:r>
        <w:t xml:space="preserve">workflow completi;</w:t>
      </w:r>
    </w:p>
    <w:p>
      <w:pPr>
        <w:pStyle w:val="Compact"/>
        <w:numPr>
          <w:ilvl w:val="0"/>
          <w:numId w:val="1068"/>
        </w:numPr>
      </w:pPr>
      <w:r>
        <w:t xml:space="preserve">stati;</w:t>
      </w:r>
    </w:p>
    <w:p>
      <w:pPr>
        <w:pStyle w:val="Compact"/>
        <w:numPr>
          <w:ilvl w:val="0"/>
          <w:numId w:val="1068"/>
        </w:numPr>
      </w:pPr>
      <w:r>
        <w:t xml:space="preserve">firme;</w:t>
      </w:r>
    </w:p>
    <w:p>
      <w:pPr>
        <w:pStyle w:val="Compact"/>
        <w:numPr>
          <w:ilvl w:val="0"/>
          <w:numId w:val="1068"/>
        </w:numPr>
      </w:pPr>
      <w:r>
        <w:t xml:space="preserve">rettifiche;</w:t>
      </w:r>
    </w:p>
    <w:p>
      <w:pPr>
        <w:pStyle w:val="Compact"/>
        <w:numPr>
          <w:ilvl w:val="0"/>
          <w:numId w:val="1068"/>
        </w:numPr>
      </w:pPr>
      <w:r>
        <w:t xml:space="preserve">deleghe;</w:t>
      </w:r>
    </w:p>
    <w:p>
      <w:pPr>
        <w:pStyle w:val="Compact"/>
        <w:numPr>
          <w:ilvl w:val="0"/>
          <w:numId w:val="1068"/>
        </w:numPr>
      </w:pPr>
      <w:r>
        <w:t xml:space="preserve">consensi;</w:t>
      </w:r>
    </w:p>
    <w:p>
      <w:pPr>
        <w:pStyle w:val="Compact"/>
        <w:numPr>
          <w:ilvl w:val="0"/>
          <w:numId w:val="1068"/>
        </w:numPr>
      </w:pPr>
      <w:r>
        <w:t xml:space="preserve">export;</w:t>
      </w:r>
    </w:p>
    <w:p>
      <w:pPr>
        <w:pStyle w:val="Compact"/>
        <w:numPr>
          <w:ilvl w:val="0"/>
          <w:numId w:val="1068"/>
        </w:numPr>
      </w:pPr>
      <w:r>
        <w:t xml:space="preserve">invii;</w:t>
      </w:r>
    </w:p>
    <w:p>
      <w:pPr>
        <w:pStyle w:val="Compact"/>
        <w:numPr>
          <w:ilvl w:val="0"/>
          <w:numId w:val="1068"/>
        </w:numPr>
      </w:pPr>
      <w:r>
        <w:t xml:space="preserve">errori;</w:t>
      </w:r>
    </w:p>
    <w:p>
      <w:pPr>
        <w:pStyle w:val="Compact"/>
        <w:numPr>
          <w:ilvl w:val="0"/>
          <w:numId w:val="1068"/>
        </w:numPr>
      </w:pPr>
      <w:r>
        <w:t xml:space="preserve">concorrenza.</w:t>
      </w:r>
    </w:p>
    <w:bookmarkEnd w:id="123"/>
    <w:bookmarkStart w:id="124" w:name="Xe8830d73cb8965194197c9478372ade8df2ae9b"/>
    <w:p>
      <w:pPr>
        <w:pStyle w:val="Heading2"/>
      </w:pPr>
      <w:r>
        <w:t xml:space="preserve">19.2 Test clinici</w:t>
      </w:r>
    </w:p>
    <w:p>
      <w:pPr>
        <w:pStyle w:val="FirstParagraph"/>
      </w:pPr>
      <w:r>
        <w:t xml:space="preserve">Scenari:</w:t>
      </w:r>
    </w:p>
    <w:p>
      <w:pPr>
        <w:pStyle w:val="Compact"/>
        <w:numPr>
          <w:ilvl w:val="0"/>
          <w:numId w:val="1069"/>
        </w:numPr>
      </w:pPr>
      <w:r>
        <w:t xml:space="preserve">prima visita;</w:t>
      </w:r>
    </w:p>
    <w:p>
      <w:pPr>
        <w:pStyle w:val="Compact"/>
        <w:numPr>
          <w:ilvl w:val="0"/>
          <w:numId w:val="1069"/>
        </w:numPr>
      </w:pPr>
      <w:r>
        <w:t xml:space="preserve">urgenza;</w:t>
      </w:r>
    </w:p>
    <w:p>
      <w:pPr>
        <w:pStyle w:val="Compact"/>
        <w:numPr>
          <w:ilvl w:val="0"/>
          <w:numId w:val="1069"/>
        </w:numPr>
      </w:pPr>
      <w:r>
        <w:t xml:space="preserve">paziente anticoagulato;</w:t>
      </w:r>
    </w:p>
    <w:p>
      <w:pPr>
        <w:pStyle w:val="Compact"/>
        <w:numPr>
          <w:ilvl w:val="0"/>
          <w:numId w:val="1069"/>
        </w:numPr>
      </w:pPr>
      <w:r>
        <w:t xml:space="preserve">allergia;</w:t>
      </w:r>
    </w:p>
    <w:p>
      <w:pPr>
        <w:pStyle w:val="Compact"/>
        <w:numPr>
          <w:ilvl w:val="0"/>
          <w:numId w:val="1069"/>
        </w:numPr>
      </w:pPr>
      <w:r>
        <w:t xml:space="preserve">minore;</w:t>
      </w:r>
    </w:p>
    <w:p>
      <w:pPr>
        <w:pStyle w:val="Compact"/>
        <w:numPr>
          <w:ilvl w:val="0"/>
          <w:numId w:val="1069"/>
        </w:numPr>
      </w:pPr>
      <w:r>
        <w:t xml:space="preserve">piano multiprofessionale;</w:t>
      </w:r>
    </w:p>
    <w:p>
      <w:pPr>
        <w:pStyle w:val="Compact"/>
        <w:numPr>
          <w:ilvl w:val="0"/>
          <w:numId w:val="1069"/>
        </w:numPr>
      </w:pPr>
      <w:r>
        <w:t xml:space="preserve">impianto;</w:t>
      </w:r>
    </w:p>
    <w:p>
      <w:pPr>
        <w:pStyle w:val="Compact"/>
        <w:numPr>
          <w:ilvl w:val="0"/>
          <w:numId w:val="1069"/>
        </w:numPr>
      </w:pPr>
      <w:r>
        <w:t xml:space="preserve">endodonzia;</w:t>
      </w:r>
    </w:p>
    <w:p>
      <w:pPr>
        <w:pStyle w:val="Compact"/>
        <w:numPr>
          <w:ilvl w:val="0"/>
          <w:numId w:val="1069"/>
        </w:numPr>
      </w:pPr>
      <w:r>
        <w:t xml:space="preserve">parodontologia;</w:t>
      </w:r>
    </w:p>
    <w:p>
      <w:pPr>
        <w:pStyle w:val="Compact"/>
        <w:numPr>
          <w:ilvl w:val="0"/>
          <w:numId w:val="1069"/>
        </w:numPr>
      </w:pPr>
      <w:r>
        <w:t xml:space="preserve">rettifica;</w:t>
      </w:r>
    </w:p>
    <w:p>
      <w:pPr>
        <w:pStyle w:val="Compact"/>
        <w:numPr>
          <w:ilvl w:val="0"/>
          <w:numId w:val="1069"/>
        </w:numPr>
      </w:pPr>
      <w:r>
        <w:t xml:space="preserve">immagine errata;</w:t>
      </w:r>
    </w:p>
    <w:p>
      <w:pPr>
        <w:pStyle w:val="Compact"/>
        <w:numPr>
          <w:ilvl w:val="0"/>
          <w:numId w:val="1069"/>
        </w:numPr>
      </w:pPr>
      <w:r>
        <w:t xml:space="preserve">duplicato paziente;</w:t>
      </w:r>
    </w:p>
    <w:p>
      <w:pPr>
        <w:pStyle w:val="Compact"/>
        <w:numPr>
          <w:ilvl w:val="0"/>
          <w:numId w:val="1069"/>
        </w:numPr>
      </w:pPr>
      <w:r>
        <w:t xml:space="preserve">trasferimento di cura.</w:t>
      </w:r>
    </w:p>
    <w:p>
      <w:pPr>
        <w:pStyle w:val="FirstParagraph"/>
      </w:pPr>
      <w:r>
        <w:t xml:space="preserve">Ogni scenario deve essere eseguito da odontoiatri reali con criteri di accettazione.</w:t>
      </w:r>
    </w:p>
    <w:bookmarkEnd w:id="124"/>
    <w:bookmarkStart w:id="125" w:name="X614512ad0566de9fd119af57f85cadc93dd5a42"/>
    <w:p>
      <w:pPr>
        <w:pStyle w:val="Heading2"/>
      </w:pPr>
      <w:r>
        <w:t xml:space="preserve">19.3 Test privacy e sicurezza</w:t>
      </w:r>
    </w:p>
    <w:p>
      <w:pPr>
        <w:pStyle w:val="Compact"/>
        <w:numPr>
          <w:ilvl w:val="0"/>
          <w:numId w:val="1070"/>
        </w:numPr>
      </w:pPr>
      <w:r>
        <w:t xml:space="preserve">accesso non autorizzato;</w:t>
      </w:r>
    </w:p>
    <w:p>
      <w:pPr>
        <w:pStyle w:val="Compact"/>
        <w:numPr>
          <w:ilvl w:val="0"/>
          <w:numId w:val="1070"/>
        </w:numPr>
      </w:pPr>
      <w:r>
        <w:t xml:space="preserve">cross-tenant;</w:t>
      </w:r>
    </w:p>
    <w:p>
      <w:pPr>
        <w:pStyle w:val="Compact"/>
        <w:numPr>
          <w:ilvl w:val="0"/>
          <w:numId w:val="1070"/>
        </w:numPr>
      </w:pPr>
      <w:r>
        <w:t xml:space="preserve">escalation privilegio;</w:t>
      </w:r>
    </w:p>
    <w:p>
      <w:pPr>
        <w:pStyle w:val="Compact"/>
        <w:numPr>
          <w:ilvl w:val="0"/>
          <w:numId w:val="1070"/>
        </w:numPr>
      </w:pPr>
      <w:r>
        <w:t xml:space="preserve">IDOR;</w:t>
      </w:r>
    </w:p>
    <w:p>
      <w:pPr>
        <w:pStyle w:val="Compact"/>
        <w:numPr>
          <w:ilvl w:val="0"/>
          <w:numId w:val="1070"/>
        </w:numPr>
      </w:pPr>
      <w:r>
        <w:t xml:space="preserve">export massivo;</w:t>
      </w:r>
    </w:p>
    <w:p>
      <w:pPr>
        <w:pStyle w:val="Compact"/>
        <w:numPr>
          <w:ilvl w:val="0"/>
          <w:numId w:val="1070"/>
        </w:numPr>
      </w:pPr>
      <w:r>
        <w:t xml:space="preserve">URL firmate;</w:t>
      </w:r>
    </w:p>
    <w:p>
      <w:pPr>
        <w:pStyle w:val="Compact"/>
        <w:numPr>
          <w:ilvl w:val="0"/>
          <w:numId w:val="1070"/>
        </w:numPr>
      </w:pPr>
      <w:r>
        <w:t xml:space="preserve">log tampering;</w:t>
      </w:r>
    </w:p>
    <w:p>
      <w:pPr>
        <w:pStyle w:val="Compact"/>
        <w:numPr>
          <w:ilvl w:val="0"/>
          <w:numId w:val="1070"/>
        </w:numPr>
      </w:pPr>
      <w:r>
        <w:t xml:space="preserve">MFA bypass;</w:t>
      </w:r>
    </w:p>
    <w:p>
      <w:pPr>
        <w:pStyle w:val="Compact"/>
        <w:numPr>
          <w:ilvl w:val="0"/>
          <w:numId w:val="1070"/>
        </w:numPr>
      </w:pPr>
      <w:r>
        <w:t xml:space="preserve">perdita sessione;</w:t>
      </w:r>
    </w:p>
    <w:p>
      <w:pPr>
        <w:pStyle w:val="Compact"/>
        <w:numPr>
          <w:ilvl w:val="0"/>
          <w:numId w:val="1070"/>
        </w:numPr>
      </w:pPr>
      <w:r>
        <w:t xml:space="preserve">restore;</w:t>
      </w:r>
    </w:p>
    <w:p>
      <w:pPr>
        <w:pStyle w:val="Compact"/>
        <w:numPr>
          <w:ilvl w:val="0"/>
          <w:numId w:val="1070"/>
        </w:numPr>
      </w:pPr>
      <w:r>
        <w:t xml:space="preserve">data breach drill;</w:t>
      </w:r>
    </w:p>
    <w:p>
      <w:pPr>
        <w:pStyle w:val="Compact"/>
        <w:numPr>
          <w:ilvl w:val="0"/>
          <w:numId w:val="1070"/>
        </w:numPr>
      </w:pPr>
      <w:r>
        <w:t xml:space="preserve">accesso di supporto.</w:t>
      </w:r>
    </w:p>
    <w:bookmarkEnd w:id="125"/>
    <w:bookmarkStart w:id="126" w:name="Xc516ed308f54b2a5ac2c7eaab2699a024bcb0f6"/>
    <w:p>
      <w:pPr>
        <w:pStyle w:val="Heading2"/>
      </w:pPr>
      <w:r>
        <w:t xml:space="preserve">19.4 Test di migrazione</w:t>
      </w:r>
    </w:p>
    <w:p>
      <w:pPr>
        <w:pStyle w:val="Compact"/>
        <w:numPr>
          <w:ilvl w:val="0"/>
          <w:numId w:val="1071"/>
        </w:numPr>
      </w:pPr>
      <w:r>
        <w:t xml:space="preserve">conteggi;</w:t>
      </w:r>
    </w:p>
    <w:p>
      <w:pPr>
        <w:pStyle w:val="Compact"/>
        <w:numPr>
          <w:ilvl w:val="0"/>
          <w:numId w:val="1071"/>
        </w:numPr>
      </w:pPr>
      <w:r>
        <w:t xml:space="preserve">hash;</w:t>
      </w:r>
    </w:p>
    <w:p>
      <w:pPr>
        <w:pStyle w:val="Compact"/>
        <w:numPr>
          <w:ilvl w:val="0"/>
          <w:numId w:val="1071"/>
        </w:numPr>
      </w:pPr>
      <w:r>
        <w:t xml:space="preserve">completezza;</w:t>
      </w:r>
    </w:p>
    <w:p>
      <w:pPr>
        <w:pStyle w:val="Compact"/>
        <w:numPr>
          <w:ilvl w:val="0"/>
          <w:numId w:val="1071"/>
        </w:numPr>
      </w:pPr>
      <w:r>
        <w:t xml:space="preserve">leggibilità;</w:t>
      </w:r>
    </w:p>
    <w:p>
      <w:pPr>
        <w:pStyle w:val="Compact"/>
        <w:numPr>
          <w:ilvl w:val="0"/>
          <w:numId w:val="1071"/>
        </w:numPr>
      </w:pPr>
      <w:r>
        <w:t xml:space="preserve">mapping;</w:t>
      </w:r>
    </w:p>
    <w:p>
      <w:pPr>
        <w:pStyle w:val="Compact"/>
        <w:numPr>
          <w:ilvl w:val="0"/>
          <w:numId w:val="1071"/>
        </w:numPr>
      </w:pPr>
      <w:r>
        <w:t xml:space="preserve">duplicati;</w:t>
      </w:r>
    </w:p>
    <w:p>
      <w:pPr>
        <w:pStyle w:val="Compact"/>
        <w:numPr>
          <w:ilvl w:val="0"/>
          <w:numId w:val="1071"/>
        </w:numPr>
      </w:pPr>
      <w:r>
        <w:t xml:space="preserve">campionamento clinico;</w:t>
      </w:r>
    </w:p>
    <w:p>
      <w:pPr>
        <w:pStyle w:val="Compact"/>
        <w:numPr>
          <w:ilvl w:val="0"/>
          <w:numId w:val="1071"/>
        </w:numPr>
      </w:pPr>
      <w:r>
        <w:t xml:space="preserve">rollback.</w:t>
      </w:r>
    </w:p>
    <w:bookmarkEnd w:id="126"/>
    <w:bookmarkStart w:id="127" w:name="X48e3f4b4ef9fc2953a2d26235a896b96de1a90b"/>
    <w:p>
      <w:pPr>
        <w:pStyle w:val="Heading2"/>
      </w:pPr>
      <w:r>
        <w:t xml:space="preserve">19.5 Test interoperabilità</w:t>
      </w:r>
    </w:p>
    <w:p>
      <w:pPr>
        <w:pStyle w:val="Compact"/>
        <w:numPr>
          <w:ilvl w:val="0"/>
          <w:numId w:val="1072"/>
        </w:numPr>
      </w:pPr>
      <w:r>
        <w:t xml:space="preserve">validazione profili;</w:t>
      </w:r>
    </w:p>
    <w:p>
      <w:pPr>
        <w:pStyle w:val="Compact"/>
        <w:numPr>
          <w:ilvl w:val="0"/>
          <w:numId w:val="1072"/>
        </w:numPr>
      </w:pPr>
      <w:r>
        <w:t xml:space="preserve">terminologie;</w:t>
      </w:r>
    </w:p>
    <w:p>
      <w:pPr>
        <w:pStyle w:val="Compact"/>
        <w:numPr>
          <w:ilvl w:val="0"/>
          <w:numId w:val="1072"/>
        </w:numPr>
      </w:pPr>
      <w:r>
        <w:t xml:space="preserve">errori di schema;</w:t>
      </w:r>
    </w:p>
    <w:p>
      <w:pPr>
        <w:pStyle w:val="Compact"/>
        <w:numPr>
          <w:ilvl w:val="0"/>
          <w:numId w:val="1072"/>
        </w:numPr>
      </w:pPr>
      <w:r>
        <w:t xml:space="preserve">idempotenza;</w:t>
      </w:r>
    </w:p>
    <w:p>
      <w:pPr>
        <w:pStyle w:val="Compact"/>
        <w:numPr>
          <w:ilvl w:val="0"/>
          <w:numId w:val="1072"/>
        </w:numPr>
      </w:pPr>
      <w:r>
        <w:t xml:space="preserve">retry;</w:t>
      </w:r>
    </w:p>
    <w:p>
      <w:pPr>
        <w:pStyle w:val="Compact"/>
        <w:numPr>
          <w:ilvl w:val="0"/>
          <w:numId w:val="1072"/>
        </w:numPr>
      </w:pPr>
      <w:r>
        <w:t xml:space="preserve">firma;</w:t>
      </w:r>
    </w:p>
    <w:p>
      <w:pPr>
        <w:pStyle w:val="Compact"/>
        <w:numPr>
          <w:ilvl w:val="0"/>
          <w:numId w:val="1072"/>
        </w:numPr>
      </w:pPr>
      <w:r>
        <w:t xml:space="preserve">certificati;</w:t>
      </w:r>
    </w:p>
    <w:p>
      <w:pPr>
        <w:pStyle w:val="Compact"/>
        <w:numPr>
          <w:ilvl w:val="0"/>
          <w:numId w:val="1072"/>
        </w:numPr>
      </w:pPr>
      <w:r>
        <w:t xml:space="preserve">gestione delle ricevute;</w:t>
      </w:r>
    </w:p>
    <w:p>
      <w:pPr>
        <w:pStyle w:val="Compact"/>
        <w:numPr>
          <w:ilvl w:val="0"/>
          <w:numId w:val="1072"/>
        </w:numPr>
      </w:pPr>
      <w:r>
        <w:t xml:space="preserve">sostituzione e annullamento;</w:t>
      </w:r>
    </w:p>
    <w:p>
      <w:pPr>
        <w:pStyle w:val="Compact"/>
        <w:numPr>
          <w:ilvl w:val="0"/>
          <w:numId w:val="1072"/>
        </w:numPr>
      </w:pPr>
      <w:r>
        <w:t xml:space="preserve">clock skew;</w:t>
      </w:r>
    </w:p>
    <w:p>
      <w:pPr>
        <w:pStyle w:val="Compact"/>
        <w:numPr>
          <w:ilvl w:val="0"/>
          <w:numId w:val="1072"/>
        </w:numPr>
      </w:pPr>
      <w:r>
        <w:t xml:space="preserve">indisponibilità partner.</w:t>
      </w:r>
    </w:p>
    <w:bookmarkEnd w:id="127"/>
    <w:bookmarkStart w:id="128" w:name="Xe671b0a78df233da2323d7299ce07b6f922d057"/>
    <w:p>
      <w:pPr>
        <w:pStyle w:val="Heading2"/>
      </w:pPr>
      <w:r>
        <w:t xml:space="preserve">19.6 Performance</w:t>
      </w:r>
    </w:p>
    <w:p>
      <w:pPr>
        <w:pStyle w:val="Compact"/>
        <w:numPr>
          <w:ilvl w:val="0"/>
          <w:numId w:val="1073"/>
        </w:numPr>
      </w:pPr>
      <w:r>
        <w:t xml:space="preserve">apertura cartella;</w:t>
      </w:r>
    </w:p>
    <w:p>
      <w:pPr>
        <w:pStyle w:val="Compact"/>
        <w:numPr>
          <w:ilvl w:val="0"/>
          <w:numId w:val="1073"/>
        </w:numPr>
      </w:pPr>
      <w:r>
        <w:t xml:space="preserve">rendering odontogramma;</w:t>
      </w:r>
    </w:p>
    <w:p>
      <w:pPr>
        <w:pStyle w:val="Compact"/>
        <w:numPr>
          <w:ilvl w:val="0"/>
          <w:numId w:val="1073"/>
        </w:numPr>
      </w:pPr>
      <w:r>
        <w:t xml:space="preserve">caricamento immagini;</w:t>
      </w:r>
    </w:p>
    <w:p>
      <w:pPr>
        <w:pStyle w:val="Compact"/>
        <w:numPr>
          <w:ilvl w:val="0"/>
          <w:numId w:val="1073"/>
        </w:numPr>
      </w:pPr>
      <w:r>
        <w:t xml:space="preserve">upload grandi file;</w:t>
      </w:r>
    </w:p>
    <w:p>
      <w:pPr>
        <w:pStyle w:val="Compact"/>
        <w:numPr>
          <w:ilvl w:val="0"/>
          <w:numId w:val="1073"/>
        </w:numPr>
      </w:pPr>
      <w:r>
        <w:t xml:space="preserve">ricerca;</w:t>
      </w:r>
    </w:p>
    <w:p>
      <w:pPr>
        <w:pStyle w:val="Compact"/>
        <w:numPr>
          <w:ilvl w:val="0"/>
          <w:numId w:val="1073"/>
        </w:numPr>
      </w:pPr>
      <w:r>
        <w:t xml:space="preserve">export;</w:t>
      </w:r>
    </w:p>
    <w:p>
      <w:pPr>
        <w:pStyle w:val="Compact"/>
        <w:numPr>
          <w:ilvl w:val="0"/>
          <w:numId w:val="1073"/>
        </w:numPr>
      </w:pPr>
      <w:r>
        <w:t xml:space="preserve">contemporaneità;</w:t>
      </w:r>
    </w:p>
    <w:p>
      <w:pPr>
        <w:pStyle w:val="Compact"/>
        <w:numPr>
          <w:ilvl w:val="0"/>
          <w:numId w:val="1073"/>
        </w:numPr>
      </w:pPr>
      <w:r>
        <w:t xml:space="preserve">code asincrone;</w:t>
      </w:r>
    </w:p>
    <w:p>
      <w:pPr>
        <w:pStyle w:val="Compact"/>
        <w:numPr>
          <w:ilvl w:val="0"/>
          <w:numId w:val="1073"/>
        </w:numPr>
      </w:pPr>
      <w:r>
        <w:t xml:space="preserve">degradazione controllata.</w:t>
      </w:r>
    </w:p>
    <w:bookmarkEnd w:id="128"/>
    <w:bookmarkEnd w:id="129"/>
    <w:bookmarkStart w:id="133" w:name="X2cff7e23d64e8eeb2b663db885e3d6ea4b17a74"/>
    <w:p>
      <w:pPr>
        <w:pStyle w:val="Heading1"/>
      </w:pPr>
      <w:r>
        <w:t xml:space="preserve">20. Formazione e change management</w:t>
      </w:r>
    </w:p>
    <w:bookmarkStart w:id="130" w:name="Xfc0a432ddc5a234d948e7a7578be66786342b58"/>
    <w:p>
      <w:pPr>
        <w:pStyle w:val="Heading2"/>
      </w:pPr>
      <w:r>
        <w:t xml:space="preserve">20.1 Formazione per ruolo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Ruolo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Moduli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Segreteria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identità, appuntamenti, privacy, documenti, escalation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Odontoiatra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cartella, firma, rettifica, consensi, imaging, AI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Igienista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workflow assegnati, parodontologia, note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Amministratore clinico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ruoli, audit, template, qualità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IT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sicurezza, backup, integrazioni, incidenti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DPO/Quality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report, diritti, DPIA, audit, conservazione</w:t>
            </w:r>
          </w:p>
        </w:tc>
      </w:tr>
    </w:tbl>
    <w:bookmarkEnd w:id="130"/>
    <w:bookmarkStart w:id="131" w:name="X5f865cdf70440702144b9068469a48c6a323d69"/>
    <w:p>
      <w:pPr>
        <w:pStyle w:val="Heading2"/>
      </w:pPr>
      <w:r>
        <w:t xml:space="preserve">20.2 Esercitazioni obbligatorie</w:t>
      </w:r>
    </w:p>
    <w:p>
      <w:pPr>
        <w:pStyle w:val="Compact"/>
        <w:numPr>
          <w:ilvl w:val="0"/>
          <w:numId w:val="1074"/>
        </w:numPr>
      </w:pPr>
      <w:r>
        <w:t xml:space="preserve">paziente duplicato;</w:t>
      </w:r>
    </w:p>
    <w:p>
      <w:pPr>
        <w:pStyle w:val="Compact"/>
        <w:numPr>
          <w:ilvl w:val="0"/>
          <w:numId w:val="1074"/>
        </w:numPr>
      </w:pPr>
      <w:r>
        <w:t xml:space="preserve">cartella sbagliata;</w:t>
      </w:r>
    </w:p>
    <w:p>
      <w:pPr>
        <w:pStyle w:val="Compact"/>
        <w:numPr>
          <w:ilvl w:val="0"/>
          <w:numId w:val="1074"/>
        </w:numPr>
      </w:pPr>
      <w:r>
        <w:t xml:space="preserve">rettifica;</w:t>
      </w:r>
    </w:p>
    <w:p>
      <w:pPr>
        <w:pStyle w:val="Compact"/>
        <w:numPr>
          <w:ilvl w:val="0"/>
          <w:numId w:val="1074"/>
        </w:numPr>
      </w:pPr>
      <w:r>
        <w:t xml:space="preserve">downtime;</w:t>
      </w:r>
    </w:p>
    <w:p>
      <w:pPr>
        <w:pStyle w:val="Compact"/>
        <w:numPr>
          <w:ilvl w:val="0"/>
          <w:numId w:val="1074"/>
        </w:numPr>
      </w:pPr>
      <w:r>
        <w:t xml:space="preserve">richiesta copia;</w:t>
      </w:r>
    </w:p>
    <w:p>
      <w:pPr>
        <w:pStyle w:val="Compact"/>
        <w:numPr>
          <w:ilvl w:val="0"/>
          <w:numId w:val="1074"/>
        </w:numPr>
      </w:pPr>
      <w:r>
        <w:t xml:space="preserve">accesso di emergenza;</w:t>
      </w:r>
    </w:p>
    <w:p>
      <w:pPr>
        <w:pStyle w:val="Compact"/>
        <w:numPr>
          <w:ilvl w:val="0"/>
          <w:numId w:val="1074"/>
        </w:numPr>
      </w:pPr>
      <w:r>
        <w:t xml:space="preserve">data breach;</w:t>
      </w:r>
    </w:p>
    <w:p>
      <w:pPr>
        <w:pStyle w:val="Compact"/>
        <w:numPr>
          <w:ilvl w:val="0"/>
          <w:numId w:val="1074"/>
        </w:numPr>
      </w:pPr>
      <w:r>
        <w:t xml:space="preserve">output AI errato;</w:t>
      </w:r>
    </w:p>
    <w:p>
      <w:pPr>
        <w:pStyle w:val="Compact"/>
        <w:numPr>
          <w:ilvl w:val="0"/>
          <w:numId w:val="1074"/>
        </w:numPr>
      </w:pPr>
      <w:r>
        <w:t xml:space="preserve">revoca di un consenso;</w:t>
      </w:r>
    </w:p>
    <w:p>
      <w:pPr>
        <w:pStyle w:val="Compact"/>
        <w:numPr>
          <w:ilvl w:val="0"/>
          <w:numId w:val="1074"/>
        </w:numPr>
      </w:pPr>
      <w:r>
        <w:t xml:space="preserve">caricamento DICOM incoerente.</w:t>
      </w:r>
    </w:p>
    <w:bookmarkEnd w:id="131"/>
    <w:bookmarkStart w:id="132" w:name="X38fa1b507a87b2b796898cc1b49d1e17fe6f048"/>
    <w:p>
      <w:pPr>
        <w:pStyle w:val="Heading2"/>
      </w:pPr>
      <w:r>
        <w:t xml:space="preserve">20.3 Super-user</w:t>
      </w:r>
    </w:p>
    <w:p>
      <w:pPr>
        <w:pStyle w:val="FirstParagraph"/>
      </w:pPr>
      <w:r>
        <w:t xml:space="preserve">Ogni sede deve avere super-user clinici e amministrativi, ma non devono ottenere privilegi tecnici indiscriminati.</w:t>
      </w:r>
    </w:p>
    <w:bookmarkEnd w:id="132"/>
    <w:bookmarkEnd w:id="133"/>
    <w:bookmarkStart w:id="136" w:name="X5cab4f01806d752adb2753aab7699023b0f2fc9"/>
    <w:p>
      <w:pPr>
        <w:pStyle w:val="Heading1"/>
      </w:pPr>
      <w:r>
        <w:t xml:space="preserve">21. Go-live</w:t>
      </w:r>
    </w:p>
    <w:bookmarkStart w:id="134" w:name="X25eead532ba48a3fa35df602f4a9239c984640f"/>
    <w:p>
      <w:pPr>
        <w:pStyle w:val="Heading2"/>
      </w:pPr>
      <w:r>
        <w:t xml:space="preserve">21.1 Checklist</w:t>
      </w:r>
    </w:p>
    <w:p>
      <w:pPr>
        <w:pStyle w:val="Compact"/>
        <w:numPr>
          <w:ilvl w:val="0"/>
          <w:numId w:val="1075"/>
        </w:numPr>
      </w:pPr>
      <w:r>
        <w:t xml:space="preserve">☐ DPIA approvata;</w:t>
      </w:r>
    </w:p>
    <w:p>
      <w:pPr>
        <w:pStyle w:val="Compact"/>
        <w:numPr>
          <w:ilvl w:val="0"/>
          <w:numId w:val="1075"/>
        </w:numPr>
      </w:pPr>
      <w:r>
        <w:t xml:space="preserve">☐ informative aggiornate;</w:t>
      </w:r>
    </w:p>
    <w:p>
      <w:pPr>
        <w:pStyle w:val="Compact"/>
        <w:numPr>
          <w:ilvl w:val="0"/>
          <w:numId w:val="1075"/>
        </w:numPr>
      </w:pPr>
      <w:r>
        <w:t xml:space="preserve">☐ DPA fornitori;</w:t>
      </w:r>
    </w:p>
    <w:p>
      <w:pPr>
        <w:pStyle w:val="Compact"/>
        <w:numPr>
          <w:ilvl w:val="0"/>
          <w:numId w:val="1075"/>
        </w:numPr>
      </w:pPr>
      <w:r>
        <w:t xml:space="preserve">☐ ruoli validati;</w:t>
      </w:r>
    </w:p>
    <w:p>
      <w:pPr>
        <w:pStyle w:val="Compact"/>
        <w:numPr>
          <w:ilvl w:val="0"/>
          <w:numId w:val="1075"/>
        </w:numPr>
      </w:pPr>
      <w:r>
        <w:t xml:space="preserve">☐ MFA attiva;</w:t>
      </w:r>
    </w:p>
    <w:p>
      <w:pPr>
        <w:pStyle w:val="Compact"/>
        <w:numPr>
          <w:ilvl w:val="0"/>
          <w:numId w:val="1075"/>
        </w:numPr>
      </w:pPr>
      <w:r>
        <w:t xml:space="preserve">☐ backup e restore testati;</w:t>
      </w:r>
    </w:p>
    <w:p>
      <w:pPr>
        <w:pStyle w:val="Compact"/>
        <w:numPr>
          <w:ilvl w:val="0"/>
          <w:numId w:val="1075"/>
        </w:numPr>
      </w:pPr>
      <w:r>
        <w:t xml:space="preserve">☐ audit funzionante;</w:t>
      </w:r>
    </w:p>
    <w:p>
      <w:pPr>
        <w:pStyle w:val="Compact"/>
        <w:numPr>
          <w:ilvl w:val="0"/>
          <w:numId w:val="1075"/>
        </w:numPr>
      </w:pPr>
      <w:r>
        <w:t xml:space="preserve">☐ migration report approvato;</w:t>
      </w:r>
    </w:p>
    <w:p>
      <w:pPr>
        <w:pStyle w:val="Compact"/>
        <w:numPr>
          <w:ilvl w:val="0"/>
          <w:numId w:val="1075"/>
        </w:numPr>
      </w:pPr>
      <w:r>
        <w:t xml:space="preserve">☐ formazione completata;</w:t>
      </w:r>
    </w:p>
    <w:p>
      <w:pPr>
        <w:pStyle w:val="Compact"/>
        <w:numPr>
          <w:ilvl w:val="0"/>
          <w:numId w:val="1075"/>
        </w:numPr>
      </w:pPr>
      <w:r>
        <w:t xml:space="preserve">☐ supporto e escalation;</w:t>
      </w:r>
    </w:p>
    <w:p>
      <w:pPr>
        <w:pStyle w:val="Compact"/>
        <w:numPr>
          <w:ilvl w:val="0"/>
          <w:numId w:val="1075"/>
        </w:numPr>
      </w:pPr>
      <w:r>
        <w:t xml:space="preserve">☐ piano downtime;</w:t>
      </w:r>
    </w:p>
    <w:p>
      <w:pPr>
        <w:pStyle w:val="Compact"/>
        <w:numPr>
          <w:ilvl w:val="0"/>
          <w:numId w:val="1075"/>
        </w:numPr>
      </w:pPr>
      <w:r>
        <w:t xml:space="preserve">☐ monitoraggio;</w:t>
      </w:r>
    </w:p>
    <w:p>
      <w:pPr>
        <w:pStyle w:val="Compact"/>
        <w:numPr>
          <w:ilvl w:val="0"/>
          <w:numId w:val="1075"/>
        </w:numPr>
      </w:pPr>
      <w:r>
        <w:t xml:space="preserve">☐ template finali;</w:t>
      </w:r>
    </w:p>
    <w:p>
      <w:pPr>
        <w:pStyle w:val="Compact"/>
        <w:numPr>
          <w:ilvl w:val="0"/>
          <w:numId w:val="1075"/>
        </w:numPr>
      </w:pPr>
      <w:r>
        <w:t xml:space="preserve">☐ politica firma;</w:t>
      </w:r>
    </w:p>
    <w:p>
      <w:pPr>
        <w:pStyle w:val="Compact"/>
        <w:numPr>
          <w:ilvl w:val="0"/>
          <w:numId w:val="1075"/>
        </w:numPr>
      </w:pPr>
      <w:r>
        <w:t xml:space="preserve">☐ politica conservazione;</w:t>
      </w:r>
    </w:p>
    <w:p>
      <w:pPr>
        <w:pStyle w:val="Compact"/>
        <w:numPr>
          <w:ilvl w:val="0"/>
          <w:numId w:val="1075"/>
        </w:numPr>
      </w:pPr>
      <w:r>
        <w:t xml:space="preserve">☐ pen test e remediation;</w:t>
      </w:r>
    </w:p>
    <w:p>
      <w:pPr>
        <w:pStyle w:val="Compact"/>
        <w:numPr>
          <w:ilvl w:val="0"/>
          <w:numId w:val="1075"/>
        </w:numPr>
      </w:pPr>
      <w:r>
        <w:t xml:space="preserve">☐ approvazione clinica.</w:t>
      </w:r>
    </w:p>
    <w:bookmarkEnd w:id="134"/>
    <w:bookmarkStart w:id="135" w:name="X03034a41e5906feecc2e70333e9457a375b2525"/>
    <w:p>
      <w:pPr>
        <w:pStyle w:val="Heading2"/>
      </w:pPr>
      <w:r>
        <w:t xml:space="preserve">21.2 Downtime procedure</w:t>
      </w:r>
    </w:p>
    <w:p>
      <w:pPr>
        <w:pStyle w:val="FirstParagraph"/>
      </w:pPr>
      <w:r>
        <w:t xml:space="preserve">In caso di indisponibilità:</w:t>
      </w:r>
    </w:p>
    <w:p>
      <w:pPr>
        <w:pStyle w:val="Compact"/>
        <w:numPr>
          <w:ilvl w:val="0"/>
          <w:numId w:val="1076"/>
        </w:numPr>
      </w:pPr>
      <w:r>
        <w:t xml:space="preserve">identificazione paziente;</w:t>
      </w:r>
    </w:p>
    <w:p>
      <w:pPr>
        <w:pStyle w:val="Compact"/>
        <w:numPr>
          <w:ilvl w:val="0"/>
          <w:numId w:val="1076"/>
        </w:numPr>
      </w:pPr>
      <w:r>
        <w:t xml:space="preserve">modulo temporaneo controllato;</w:t>
      </w:r>
    </w:p>
    <w:p>
      <w:pPr>
        <w:pStyle w:val="Compact"/>
        <w:numPr>
          <w:ilvl w:val="0"/>
          <w:numId w:val="1076"/>
        </w:numPr>
      </w:pPr>
      <w:r>
        <w:t xml:space="preserve">registrazione minima sicura;</w:t>
      </w:r>
    </w:p>
    <w:p>
      <w:pPr>
        <w:pStyle w:val="Compact"/>
        <w:numPr>
          <w:ilvl w:val="0"/>
          <w:numId w:val="1076"/>
        </w:numPr>
      </w:pPr>
      <w:r>
        <w:t xml:space="preserve">accesso a dati critici offline, se previsto;</w:t>
      </w:r>
    </w:p>
    <w:p>
      <w:pPr>
        <w:pStyle w:val="Compact"/>
        <w:numPr>
          <w:ilvl w:val="0"/>
          <w:numId w:val="1076"/>
        </w:numPr>
      </w:pPr>
      <w:r>
        <w:t xml:space="preserve">numerazione univoca;</w:t>
      </w:r>
    </w:p>
    <w:p>
      <w:pPr>
        <w:pStyle w:val="Compact"/>
        <w:numPr>
          <w:ilvl w:val="0"/>
          <w:numId w:val="1076"/>
        </w:numPr>
      </w:pPr>
      <w:r>
        <w:t xml:space="preserve">successiva riconciliazione;</w:t>
      </w:r>
    </w:p>
    <w:p>
      <w:pPr>
        <w:pStyle w:val="Compact"/>
        <w:numPr>
          <w:ilvl w:val="0"/>
          <w:numId w:val="1076"/>
        </w:numPr>
      </w:pPr>
      <w:r>
        <w:t xml:space="preserve">verifica del professionista;</w:t>
      </w:r>
    </w:p>
    <w:p>
      <w:pPr>
        <w:pStyle w:val="Compact"/>
        <w:numPr>
          <w:ilvl w:val="0"/>
          <w:numId w:val="1076"/>
        </w:numPr>
      </w:pPr>
      <w:r>
        <w:t xml:space="preserve">distruzione/conservazione del supporto temporaneo secondo policy;</w:t>
      </w:r>
    </w:p>
    <w:p>
      <w:pPr>
        <w:pStyle w:val="Compact"/>
        <w:numPr>
          <w:ilvl w:val="0"/>
          <w:numId w:val="1076"/>
        </w:numPr>
      </w:pPr>
      <w:r>
        <w:t xml:space="preserve">post-incident review.</w:t>
      </w:r>
    </w:p>
    <w:bookmarkEnd w:id="135"/>
    <w:bookmarkEnd w:id="136"/>
    <w:bookmarkStart w:id="140" w:name="X787a9e97c037f592e6501d71fd70aeef78cda88"/>
    <w:p>
      <w:pPr>
        <w:pStyle w:val="Heading1"/>
      </w:pPr>
      <w:r>
        <w:t xml:space="preserve">22. Gestione operativa</w:t>
      </w:r>
    </w:p>
    <w:bookmarkStart w:id="137" w:name="X776fa2d740578a97c63b308dbd4020f9bd14f62"/>
    <w:p>
      <w:pPr>
        <w:pStyle w:val="Heading2"/>
      </w:pPr>
      <w:r>
        <w:t xml:space="preserve">22.1 Change control</w:t>
      </w:r>
    </w:p>
    <w:p>
      <w:pPr>
        <w:pStyle w:val="FirstParagraph"/>
      </w:pPr>
      <w:r>
        <w:t xml:space="preserve">Ogni modifica deve indicare:</w:t>
      </w:r>
    </w:p>
    <w:p>
      <w:pPr>
        <w:pStyle w:val="Compact"/>
        <w:numPr>
          <w:ilvl w:val="0"/>
          <w:numId w:val="1077"/>
        </w:numPr>
      </w:pPr>
      <w:r>
        <w:t xml:space="preserve">richiesta;</w:t>
      </w:r>
    </w:p>
    <w:p>
      <w:pPr>
        <w:pStyle w:val="Compact"/>
        <w:numPr>
          <w:ilvl w:val="0"/>
          <w:numId w:val="1077"/>
        </w:numPr>
      </w:pPr>
      <w:r>
        <w:t xml:space="preserve">motivazione;</w:t>
      </w:r>
    </w:p>
    <w:p>
      <w:pPr>
        <w:pStyle w:val="Compact"/>
        <w:numPr>
          <w:ilvl w:val="0"/>
          <w:numId w:val="1077"/>
        </w:numPr>
      </w:pPr>
      <w:r>
        <w:t xml:space="preserve">impatto clinico;</w:t>
      </w:r>
    </w:p>
    <w:p>
      <w:pPr>
        <w:pStyle w:val="Compact"/>
        <w:numPr>
          <w:ilvl w:val="0"/>
          <w:numId w:val="1077"/>
        </w:numPr>
      </w:pPr>
      <w:r>
        <w:t xml:space="preserve">impatto privacy;</w:t>
      </w:r>
    </w:p>
    <w:p>
      <w:pPr>
        <w:pStyle w:val="Compact"/>
        <w:numPr>
          <w:ilvl w:val="0"/>
          <w:numId w:val="1077"/>
        </w:numPr>
      </w:pPr>
      <w:r>
        <w:t xml:space="preserve">impatto sicurezza;</w:t>
      </w:r>
    </w:p>
    <w:p>
      <w:pPr>
        <w:pStyle w:val="Compact"/>
        <w:numPr>
          <w:ilvl w:val="0"/>
          <w:numId w:val="1077"/>
        </w:numPr>
      </w:pPr>
      <w:r>
        <w:t xml:space="preserve">impatto interoperabilità;</w:t>
      </w:r>
    </w:p>
    <w:p>
      <w:pPr>
        <w:pStyle w:val="Compact"/>
        <w:numPr>
          <w:ilvl w:val="0"/>
          <w:numId w:val="1077"/>
        </w:numPr>
      </w:pPr>
      <w:r>
        <w:t xml:space="preserve">test;</w:t>
      </w:r>
    </w:p>
    <w:p>
      <w:pPr>
        <w:pStyle w:val="Compact"/>
        <w:numPr>
          <w:ilvl w:val="0"/>
          <w:numId w:val="1077"/>
        </w:numPr>
      </w:pPr>
      <w:r>
        <w:t xml:space="preserve">migrazione;</w:t>
      </w:r>
    </w:p>
    <w:p>
      <w:pPr>
        <w:pStyle w:val="Compact"/>
        <w:numPr>
          <w:ilvl w:val="0"/>
          <w:numId w:val="1077"/>
        </w:numPr>
      </w:pPr>
      <w:r>
        <w:t xml:space="preserve">formazione;</w:t>
      </w:r>
    </w:p>
    <w:p>
      <w:pPr>
        <w:pStyle w:val="Compact"/>
        <w:numPr>
          <w:ilvl w:val="0"/>
          <w:numId w:val="1077"/>
        </w:numPr>
      </w:pPr>
      <w:r>
        <w:t xml:space="preserve">rollback;</w:t>
      </w:r>
    </w:p>
    <w:p>
      <w:pPr>
        <w:pStyle w:val="Compact"/>
        <w:numPr>
          <w:ilvl w:val="0"/>
          <w:numId w:val="1077"/>
        </w:numPr>
      </w:pPr>
      <w:r>
        <w:t xml:space="preserve">approvazione.</w:t>
      </w:r>
    </w:p>
    <w:bookmarkEnd w:id="137"/>
    <w:bookmarkStart w:id="138" w:name="X8b927175b2109bd7022c30711c3e80c49ef67e5"/>
    <w:p>
      <w:pPr>
        <w:pStyle w:val="Heading2"/>
      </w:pPr>
      <w:r>
        <w:t xml:space="preserve">22.2 Gestione terminologie</w:t>
      </w:r>
    </w:p>
    <w:p>
      <w:pPr>
        <w:pStyle w:val="Compact"/>
        <w:numPr>
          <w:ilvl w:val="0"/>
          <w:numId w:val="1078"/>
        </w:numPr>
      </w:pPr>
      <w:r>
        <w:t xml:space="preserve">catalogo versionato;</w:t>
      </w:r>
    </w:p>
    <w:p>
      <w:pPr>
        <w:pStyle w:val="Compact"/>
        <w:numPr>
          <w:ilvl w:val="0"/>
          <w:numId w:val="1078"/>
        </w:numPr>
      </w:pPr>
      <w:r>
        <w:t xml:space="preserve">proprietario;</w:t>
      </w:r>
    </w:p>
    <w:p>
      <w:pPr>
        <w:pStyle w:val="Compact"/>
        <w:numPr>
          <w:ilvl w:val="0"/>
          <w:numId w:val="1078"/>
        </w:numPr>
      </w:pPr>
      <w:r>
        <w:t xml:space="preserve">mapping;</w:t>
      </w:r>
    </w:p>
    <w:p>
      <w:pPr>
        <w:pStyle w:val="Compact"/>
        <w:numPr>
          <w:ilvl w:val="0"/>
          <w:numId w:val="1078"/>
        </w:numPr>
      </w:pPr>
      <w:r>
        <w:t xml:space="preserve">data efficacia;</w:t>
      </w:r>
    </w:p>
    <w:p>
      <w:pPr>
        <w:pStyle w:val="Compact"/>
        <w:numPr>
          <w:ilvl w:val="0"/>
          <w:numId w:val="1078"/>
        </w:numPr>
      </w:pPr>
      <w:r>
        <w:t xml:space="preserve">deprecazioni;</w:t>
      </w:r>
    </w:p>
    <w:p>
      <w:pPr>
        <w:pStyle w:val="Compact"/>
        <w:numPr>
          <w:ilvl w:val="0"/>
          <w:numId w:val="1078"/>
        </w:numPr>
      </w:pPr>
      <w:r>
        <w:t xml:space="preserve">test;</w:t>
      </w:r>
    </w:p>
    <w:p>
      <w:pPr>
        <w:pStyle w:val="Compact"/>
        <w:numPr>
          <w:ilvl w:val="0"/>
          <w:numId w:val="1078"/>
        </w:numPr>
      </w:pPr>
      <w:r>
        <w:t xml:space="preserve">tracciabilità nei record storici;</w:t>
      </w:r>
    </w:p>
    <w:p>
      <w:pPr>
        <w:pStyle w:val="Compact"/>
        <w:numPr>
          <w:ilvl w:val="0"/>
          <w:numId w:val="1078"/>
        </w:numPr>
      </w:pPr>
      <w:r>
        <w:t xml:space="preserve">aggiornamento non retroattivo senza regole esplicite.</w:t>
      </w:r>
    </w:p>
    <w:bookmarkEnd w:id="138"/>
    <w:bookmarkStart w:id="139" w:name="X13c9c7477860ab866df9e12e513c7e4c0e16e63"/>
    <w:p>
      <w:pPr>
        <w:pStyle w:val="Heading2"/>
      </w:pPr>
      <w:r>
        <w:t xml:space="preserve">22.3 Qualità dei dati</w:t>
      </w:r>
    </w:p>
    <w:p>
      <w:pPr>
        <w:pStyle w:val="FirstParagraph"/>
      </w:pPr>
      <w:r>
        <w:t xml:space="preserve">Controlli periodici:</w:t>
      </w:r>
    </w:p>
    <w:p>
      <w:pPr>
        <w:pStyle w:val="Compact"/>
        <w:numPr>
          <w:ilvl w:val="0"/>
          <w:numId w:val="1079"/>
        </w:numPr>
      </w:pPr>
      <w:r>
        <w:t xml:space="preserve">duplicati;</w:t>
      </w:r>
    </w:p>
    <w:p>
      <w:pPr>
        <w:pStyle w:val="Compact"/>
        <w:numPr>
          <w:ilvl w:val="0"/>
          <w:numId w:val="1079"/>
        </w:numPr>
      </w:pPr>
      <w:r>
        <w:t xml:space="preserve">campi mancanti;</w:t>
      </w:r>
    </w:p>
    <w:p>
      <w:pPr>
        <w:pStyle w:val="Compact"/>
        <w:numPr>
          <w:ilvl w:val="0"/>
          <w:numId w:val="1079"/>
        </w:numPr>
      </w:pPr>
      <w:r>
        <w:t xml:space="preserve">diagnosi senza piano;</w:t>
      </w:r>
    </w:p>
    <w:p>
      <w:pPr>
        <w:pStyle w:val="Compact"/>
        <w:numPr>
          <w:ilvl w:val="0"/>
          <w:numId w:val="1079"/>
        </w:numPr>
      </w:pPr>
      <w:r>
        <w:t xml:space="preserve">procedure senza sito;</w:t>
      </w:r>
    </w:p>
    <w:p>
      <w:pPr>
        <w:pStyle w:val="Compact"/>
        <w:numPr>
          <w:ilvl w:val="0"/>
          <w:numId w:val="1079"/>
        </w:numPr>
      </w:pPr>
      <w:r>
        <w:t xml:space="preserve">consensi mancanti;</w:t>
      </w:r>
    </w:p>
    <w:p>
      <w:pPr>
        <w:pStyle w:val="Compact"/>
        <w:numPr>
          <w:ilvl w:val="0"/>
          <w:numId w:val="1079"/>
        </w:numPr>
      </w:pPr>
      <w:r>
        <w:t xml:space="preserve">immagini orfane;</w:t>
      </w:r>
    </w:p>
    <w:p>
      <w:pPr>
        <w:pStyle w:val="Compact"/>
        <w:numPr>
          <w:ilvl w:val="0"/>
          <w:numId w:val="1079"/>
        </w:numPr>
      </w:pPr>
      <w:r>
        <w:t xml:space="preserve">note non finalizzate;</w:t>
      </w:r>
    </w:p>
    <w:p>
      <w:pPr>
        <w:pStyle w:val="Compact"/>
        <w:numPr>
          <w:ilvl w:val="0"/>
          <w:numId w:val="1079"/>
        </w:numPr>
      </w:pPr>
      <w:r>
        <w:t xml:space="preserve">account inattivi;</w:t>
      </w:r>
    </w:p>
    <w:p>
      <w:pPr>
        <w:pStyle w:val="Compact"/>
        <w:numPr>
          <w:ilvl w:val="0"/>
          <w:numId w:val="1079"/>
        </w:numPr>
      </w:pPr>
      <w:r>
        <w:t xml:space="preserve">accessi anomali;</w:t>
      </w:r>
    </w:p>
    <w:p>
      <w:pPr>
        <w:pStyle w:val="Compact"/>
        <w:numPr>
          <w:ilvl w:val="0"/>
          <w:numId w:val="1079"/>
        </w:numPr>
      </w:pPr>
      <w:r>
        <w:t xml:space="preserve">errori FSE;</w:t>
      </w:r>
    </w:p>
    <w:p>
      <w:pPr>
        <w:pStyle w:val="Compact"/>
        <w:numPr>
          <w:ilvl w:val="0"/>
          <w:numId w:val="1079"/>
        </w:numPr>
      </w:pPr>
      <w:r>
        <w:t xml:space="preserve">dati non verificati dal legacy.</w:t>
      </w:r>
    </w:p>
    <w:bookmarkEnd w:id="139"/>
    <w:bookmarkEnd w:id="140"/>
    <w:bookmarkStart w:id="144" w:name="X35e7f63255d8053126616d146ac974fe831af5a"/>
    <w:p>
      <w:pPr>
        <w:pStyle w:val="Heading1"/>
      </w:pPr>
      <w:r>
        <w:t xml:space="preserve">23. Indicatori</w:t>
      </w:r>
    </w:p>
    <w:bookmarkStart w:id="141" w:name="X4a2b9de5377e05b0a409f14f0a258676fb37047"/>
    <w:p>
      <w:pPr>
        <w:pStyle w:val="Heading2"/>
      </w:pPr>
      <w:r>
        <w:t xml:space="preserve">23.1 KPI clinico-operativi</w:t>
      </w:r>
    </w:p>
    <w:p>
      <w:pPr>
        <w:pStyle w:val="Compact"/>
        <w:numPr>
          <w:ilvl w:val="0"/>
          <w:numId w:val="1080"/>
        </w:numPr>
      </w:pPr>
      <w:r>
        <w:t xml:space="preserve">percentuale cartelle complete;</w:t>
      </w:r>
    </w:p>
    <w:p>
      <w:pPr>
        <w:pStyle w:val="Compact"/>
        <w:numPr>
          <w:ilvl w:val="0"/>
          <w:numId w:val="1080"/>
        </w:numPr>
      </w:pPr>
      <w:r>
        <w:t xml:space="preserve">anamnesi aggiornata negli ultimi intervalli definiti;</w:t>
      </w:r>
    </w:p>
    <w:p>
      <w:pPr>
        <w:pStyle w:val="Compact"/>
        <w:numPr>
          <w:ilvl w:val="0"/>
          <w:numId w:val="1080"/>
        </w:numPr>
      </w:pPr>
      <w:r>
        <w:t xml:space="preserve">note finalizzate entro la giornata;</w:t>
      </w:r>
    </w:p>
    <w:p>
      <w:pPr>
        <w:pStyle w:val="Compact"/>
        <w:numPr>
          <w:ilvl w:val="0"/>
          <w:numId w:val="1080"/>
        </w:numPr>
      </w:pPr>
      <w:r>
        <w:t xml:space="preserve">procedure con dente/sito valorizzato;</w:t>
      </w:r>
    </w:p>
    <w:p>
      <w:pPr>
        <w:pStyle w:val="Compact"/>
        <w:numPr>
          <w:ilvl w:val="0"/>
          <w:numId w:val="1080"/>
        </w:numPr>
      </w:pPr>
      <w:r>
        <w:t xml:space="preserve">piani con consenso collegato;</w:t>
      </w:r>
    </w:p>
    <w:p>
      <w:pPr>
        <w:pStyle w:val="Compact"/>
        <w:numPr>
          <w:ilvl w:val="0"/>
          <w:numId w:val="1080"/>
        </w:numPr>
      </w:pPr>
      <w:r>
        <w:t xml:space="preserve">immagini correttamente associate;</w:t>
      </w:r>
    </w:p>
    <w:p>
      <w:pPr>
        <w:pStyle w:val="Compact"/>
        <w:numPr>
          <w:ilvl w:val="0"/>
          <w:numId w:val="1080"/>
        </w:numPr>
      </w:pPr>
      <w:r>
        <w:t xml:space="preserve">duplicati per 1.000 pazienti;</w:t>
      </w:r>
    </w:p>
    <w:p>
      <w:pPr>
        <w:pStyle w:val="Compact"/>
        <w:numPr>
          <w:ilvl w:val="0"/>
          <w:numId w:val="1080"/>
        </w:numPr>
      </w:pPr>
      <w:r>
        <w:t xml:space="preserve">tempo medio di apertura cartella;</w:t>
      </w:r>
    </w:p>
    <w:p>
      <w:pPr>
        <w:pStyle w:val="Compact"/>
        <w:numPr>
          <w:ilvl w:val="0"/>
          <w:numId w:val="1080"/>
        </w:numPr>
      </w:pPr>
      <w:r>
        <w:t xml:space="preserve">rettifiche per modulo;</w:t>
      </w:r>
    </w:p>
    <w:p>
      <w:pPr>
        <w:pStyle w:val="Compact"/>
        <w:numPr>
          <w:ilvl w:val="0"/>
          <w:numId w:val="1080"/>
        </w:numPr>
      </w:pPr>
      <w:r>
        <w:t xml:space="preserve">incidenti di identificazione.</w:t>
      </w:r>
    </w:p>
    <w:bookmarkEnd w:id="141"/>
    <w:bookmarkStart w:id="142" w:name="Xd06d62fb3a8247a4c6a4f67b4cb4a7be20fb127"/>
    <w:p>
      <w:pPr>
        <w:pStyle w:val="Heading2"/>
      </w:pPr>
      <w:r>
        <w:t xml:space="preserve">23.2 KPI sicurezza e privacy</w:t>
      </w:r>
    </w:p>
    <w:p>
      <w:pPr>
        <w:pStyle w:val="Compact"/>
        <w:numPr>
          <w:ilvl w:val="0"/>
          <w:numId w:val="1081"/>
        </w:numPr>
      </w:pPr>
      <w:r>
        <w:t xml:space="preserve">MFA coverage;</w:t>
      </w:r>
    </w:p>
    <w:p>
      <w:pPr>
        <w:pStyle w:val="Compact"/>
        <w:numPr>
          <w:ilvl w:val="0"/>
          <w:numId w:val="1081"/>
        </w:numPr>
      </w:pPr>
      <w:r>
        <w:t xml:space="preserve">access review completate;</w:t>
      </w:r>
    </w:p>
    <w:p>
      <w:pPr>
        <w:pStyle w:val="Compact"/>
        <w:numPr>
          <w:ilvl w:val="0"/>
          <w:numId w:val="1081"/>
        </w:numPr>
      </w:pPr>
      <w:r>
        <w:t xml:space="preserve">tentativi cross-tenant;</w:t>
      </w:r>
    </w:p>
    <w:p>
      <w:pPr>
        <w:pStyle w:val="Compact"/>
        <w:numPr>
          <w:ilvl w:val="0"/>
          <w:numId w:val="1081"/>
        </w:numPr>
      </w:pPr>
      <w:r>
        <w:t xml:space="preserve">esportazioni massive;</w:t>
      </w:r>
    </w:p>
    <w:p>
      <w:pPr>
        <w:pStyle w:val="Compact"/>
        <w:numPr>
          <w:ilvl w:val="0"/>
          <w:numId w:val="1081"/>
        </w:numPr>
      </w:pPr>
      <w:r>
        <w:t xml:space="preserve">tempo di revoca account;</w:t>
      </w:r>
    </w:p>
    <w:p>
      <w:pPr>
        <w:pStyle w:val="Compact"/>
        <w:numPr>
          <w:ilvl w:val="0"/>
          <w:numId w:val="1081"/>
        </w:numPr>
      </w:pPr>
      <w:r>
        <w:t xml:space="preserve">vulnerabilità aperte;</w:t>
      </w:r>
    </w:p>
    <w:p>
      <w:pPr>
        <w:pStyle w:val="Compact"/>
        <w:numPr>
          <w:ilvl w:val="0"/>
          <w:numId w:val="1081"/>
        </w:numPr>
      </w:pPr>
      <w:r>
        <w:t xml:space="preserve">esito restore test;</w:t>
      </w:r>
    </w:p>
    <w:p>
      <w:pPr>
        <w:pStyle w:val="Compact"/>
        <w:numPr>
          <w:ilvl w:val="0"/>
          <w:numId w:val="1081"/>
        </w:numPr>
      </w:pPr>
      <w:r>
        <w:t xml:space="preserve">data breach;</w:t>
      </w:r>
    </w:p>
    <w:p>
      <w:pPr>
        <w:pStyle w:val="Compact"/>
        <w:numPr>
          <w:ilvl w:val="0"/>
          <w:numId w:val="1081"/>
        </w:numPr>
      </w:pPr>
      <w:r>
        <w:t xml:space="preserve">richieste interessati e tempi;</w:t>
      </w:r>
    </w:p>
    <w:p>
      <w:pPr>
        <w:pStyle w:val="Compact"/>
        <w:numPr>
          <w:ilvl w:val="0"/>
          <w:numId w:val="1081"/>
        </w:numPr>
      </w:pPr>
      <w:r>
        <w:t xml:space="preserve">accessi break glass.</w:t>
      </w:r>
    </w:p>
    <w:bookmarkEnd w:id="142"/>
    <w:bookmarkStart w:id="143" w:name="X9a5e4ed21bc6d6ad5cc89d342ef951f4f14592b"/>
    <w:p>
      <w:pPr>
        <w:pStyle w:val="Heading2"/>
      </w:pPr>
      <w:r>
        <w:t xml:space="preserve">23.3 KPI interoperabilità</w:t>
      </w:r>
    </w:p>
    <w:p>
      <w:pPr>
        <w:pStyle w:val="Compact"/>
        <w:numPr>
          <w:ilvl w:val="0"/>
          <w:numId w:val="1082"/>
        </w:numPr>
      </w:pPr>
      <w:r>
        <w:t xml:space="preserve">documenti validati;</w:t>
      </w:r>
    </w:p>
    <w:p>
      <w:pPr>
        <w:pStyle w:val="Compact"/>
        <w:numPr>
          <w:ilvl w:val="0"/>
          <w:numId w:val="1082"/>
        </w:numPr>
      </w:pPr>
      <w:r>
        <w:t xml:space="preserve">errori per regola;</w:t>
      </w:r>
    </w:p>
    <w:p>
      <w:pPr>
        <w:pStyle w:val="Compact"/>
        <w:numPr>
          <w:ilvl w:val="0"/>
          <w:numId w:val="1082"/>
        </w:numPr>
      </w:pPr>
      <w:r>
        <w:t xml:space="preserve">retry;</w:t>
      </w:r>
    </w:p>
    <w:p>
      <w:pPr>
        <w:pStyle w:val="Compact"/>
        <w:numPr>
          <w:ilvl w:val="0"/>
          <w:numId w:val="1082"/>
        </w:numPr>
      </w:pPr>
      <w:r>
        <w:t xml:space="preserve">invii falliti;</w:t>
      </w:r>
    </w:p>
    <w:p>
      <w:pPr>
        <w:pStyle w:val="Compact"/>
        <w:numPr>
          <w:ilvl w:val="0"/>
          <w:numId w:val="1082"/>
        </w:numPr>
      </w:pPr>
      <w:r>
        <w:t xml:space="preserve">tempo di pubblicazione;</w:t>
      </w:r>
    </w:p>
    <w:p>
      <w:pPr>
        <w:pStyle w:val="Compact"/>
        <w:numPr>
          <w:ilvl w:val="0"/>
          <w:numId w:val="1082"/>
        </w:numPr>
      </w:pPr>
      <w:r>
        <w:t xml:space="preserve">sostituzioni/annullamenti;</w:t>
      </w:r>
    </w:p>
    <w:p>
      <w:pPr>
        <w:pStyle w:val="Compact"/>
        <w:numPr>
          <w:ilvl w:val="0"/>
          <w:numId w:val="1082"/>
        </w:numPr>
      </w:pPr>
      <w:r>
        <w:t xml:space="preserve">mismatch terminologici;</w:t>
      </w:r>
    </w:p>
    <w:p>
      <w:pPr>
        <w:pStyle w:val="Compact"/>
        <w:numPr>
          <w:ilvl w:val="0"/>
          <w:numId w:val="1082"/>
        </w:numPr>
      </w:pPr>
      <w:r>
        <w:t xml:space="preserve">certificati in scadenza.</w:t>
      </w:r>
    </w:p>
    <w:bookmarkEnd w:id="143"/>
    <w:bookmarkEnd w:id="144"/>
    <w:bookmarkStart w:id="147" w:name="Xcc309c10a9e4ea2b955fae094c8e7b07b589a82"/>
    <w:p>
      <w:pPr>
        <w:pStyle w:val="Heading1"/>
      </w:pPr>
      <w:r>
        <w:t xml:space="preserve">24. Preparazione ai controlli</w:t>
      </w:r>
    </w:p>
    <w:bookmarkStart w:id="145" w:name="Xa6a5ad2f41e15add330ba31db277fbd2e5b95f2"/>
    <w:p>
      <w:pPr>
        <w:pStyle w:val="Heading2"/>
      </w:pPr>
      <w:r>
        <w:t xml:space="preserve">24.1 Evidence pack</w:t>
      </w:r>
    </w:p>
    <w:p>
      <w:pPr>
        <w:pStyle w:val="FirstParagraph"/>
      </w:pPr>
      <w:r>
        <w:t xml:space="preserve">Cartelle consigliate:</w:t>
      </w:r>
    </w:p>
    <w:p>
      <w:pPr>
        <w:pStyle w:val="Compact"/>
        <w:numPr>
          <w:ilvl w:val="0"/>
          <w:numId w:val="1083"/>
        </w:numPr>
      </w:pPr>
      <w:r>
        <w:t xml:space="preserve">governance;</w:t>
      </w:r>
    </w:p>
    <w:p>
      <w:pPr>
        <w:pStyle w:val="Compact"/>
        <w:numPr>
          <w:ilvl w:val="0"/>
          <w:numId w:val="1083"/>
        </w:numPr>
      </w:pPr>
      <w:r>
        <w:t xml:space="preserve">mappa dati;</w:t>
      </w:r>
    </w:p>
    <w:p>
      <w:pPr>
        <w:pStyle w:val="Compact"/>
        <w:numPr>
          <w:ilvl w:val="0"/>
          <w:numId w:val="1083"/>
        </w:numPr>
      </w:pPr>
      <w:r>
        <w:t xml:space="preserve">DPIA e privacy;</w:t>
      </w:r>
    </w:p>
    <w:p>
      <w:pPr>
        <w:pStyle w:val="Compact"/>
        <w:numPr>
          <w:ilvl w:val="0"/>
          <w:numId w:val="1083"/>
        </w:numPr>
      </w:pPr>
      <w:r>
        <w:t xml:space="preserve">contratti fornitori;</w:t>
      </w:r>
    </w:p>
    <w:p>
      <w:pPr>
        <w:pStyle w:val="Compact"/>
        <w:numPr>
          <w:ilvl w:val="0"/>
          <w:numId w:val="1083"/>
        </w:numPr>
      </w:pPr>
      <w:r>
        <w:t xml:space="preserve">architettura e sicurezza;</w:t>
      </w:r>
    </w:p>
    <w:p>
      <w:pPr>
        <w:pStyle w:val="Compact"/>
        <w:numPr>
          <w:ilvl w:val="0"/>
          <w:numId w:val="1083"/>
        </w:numPr>
      </w:pPr>
      <w:r>
        <w:t xml:space="preserve">matrice ruoli;</w:t>
      </w:r>
    </w:p>
    <w:p>
      <w:pPr>
        <w:pStyle w:val="Compact"/>
        <w:numPr>
          <w:ilvl w:val="0"/>
          <w:numId w:val="1083"/>
        </w:numPr>
      </w:pPr>
      <w:r>
        <w:t xml:space="preserve">audit e access review;</w:t>
      </w:r>
    </w:p>
    <w:p>
      <w:pPr>
        <w:pStyle w:val="Compact"/>
        <w:numPr>
          <w:ilvl w:val="0"/>
          <w:numId w:val="1083"/>
        </w:numPr>
      </w:pPr>
      <w:r>
        <w:t xml:space="preserve">politica documentale;</w:t>
      </w:r>
    </w:p>
    <w:p>
      <w:pPr>
        <w:pStyle w:val="Compact"/>
        <w:numPr>
          <w:ilvl w:val="0"/>
          <w:numId w:val="1083"/>
        </w:numPr>
      </w:pPr>
      <w:r>
        <w:t xml:space="preserve">firma e conservazione;</w:t>
      </w:r>
    </w:p>
    <w:p>
      <w:pPr>
        <w:pStyle w:val="Compact"/>
        <w:numPr>
          <w:ilvl w:val="0"/>
          <w:numId w:val="1083"/>
        </w:numPr>
      </w:pPr>
      <w:r>
        <w:t xml:space="preserve">migrazione;</w:t>
      </w:r>
    </w:p>
    <w:p>
      <w:pPr>
        <w:pStyle w:val="Compact"/>
        <w:numPr>
          <w:ilvl w:val="0"/>
          <w:numId w:val="1083"/>
        </w:numPr>
      </w:pPr>
      <w:r>
        <w:t xml:space="preserve">test;</w:t>
      </w:r>
    </w:p>
    <w:p>
      <w:pPr>
        <w:pStyle w:val="Compact"/>
        <w:numPr>
          <w:ilvl w:val="0"/>
          <w:numId w:val="1083"/>
        </w:numPr>
      </w:pPr>
      <w:r>
        <w:t xml:space="preserve">formazione;</w:t>
      </w:r>
    </w:p>
    <w:p>
      <w:pPr>
        <w:pStyle w:val="Compact"/>
        <w:numPr>
          <w:ilvl w:val="0"/>
          <w:numId w:val="1083"/>
        </w:numPr>
      </w:pPr>
      <w:r>
        <w:t xml:space="preserve">incidenti;</w:t>
      </w:r>
    </w:p>
    <w:p>
      <w:pPr>
        <w:pStyle w:val="Compact"/>
        <w:numPr>
          <w:ilvl w:val="0"/>
          <w:numId w:val="1083"/>
        </w:numPr>
      </w:pPr>
      <w:r>
        <w:t xml:space="preserve">interoperabilità;</w:t>
      </w:r>
    </w:p>
    <w:p>
      <w:pPr>
        <w:pStyle w:val="Compact"/>
        <w:numPr>
          <w:ilvl w:val="0"/>
          <w:numId w:val="1083"/>
        </w:numPr>
      </w:pPr>
      <w:r>
        <w:t xml:space="preserve">AI;</w:t>
      </w:r>
    </w:p>
    <w:p>
      <w:pPr>
        <w:pStyle w:val="Compact"/>
        <w:numPr>
          <w:ilvl w:val="0"/>
          <w:numId w:val="1083"/>
        </w:numPr>
      </w:pPr>
      <w:r>
        <w:t xml:space="preserve">change e release.</w:t>
      </w:r>
    </w:p>
    <w:bookmarkEnd w:id="145"/>
    <w:bookmarkStart w:id="146" w:name="Xad1255191b62ccd049c57d73380bc2bca9407f2"/>
    <w:p>
      <w:pPr>
        <w:pStyle w:val="Heading2"/>
      </w:pPr>
      <w:r>
        <w:t xml:space="preserve">24.2 Domande tipiche</w:t>
      </w:r>
    </w:p>
    <w:p>
      <w:pPr>
        <w:pStyle w:val="Compact"/>
        <w:numPr>
          <w:ilvl w:val="0"/>
          <w:numId w:val="1084"/>
        </w:numPr>
      </w:pPr>
      <w:r>
        <w:t xml:space="preserve">Come impedite alla segreteria di vedere le diagnosi?</w:t>
      </w:r>
    </w:p>
    <w:p>
      <w:pPr>
        <w:pStyle w:val="Compact"/>
        <w:numPr>
          <w:ilvl w:val="0"/>
          <w:numId w:val="1084"/>
        </w:numPr>
      </w:pPr>
      <w:r>
        <w:t xml:space="preserve">Come ricostruite la cartella a una data storica?</w:t>
      </w:r>
    </w:p>
    <w:p>
      <w:pPr>
        <w:pStyle w:val="Compact"/>
        <w:numPr>
          <w:ilvl w:val="0"/>
          <w:numId w:val="1084"/>
        </w:numPr>
      </w:pPr>
      <w:r>
        <w:t xml:space="preserve">Che cosa accade quando una nota è errata?</w:t>
      </w:r>
    </w:p>
    <w:p>
      <w:pPr>
        <w:pStyle w:val="Compact"/>
        <w:numPr>
          <w:ilvl w:val="0"/>
          <w:numId w:val="1084"/>
        </w:numPr>
      </w:pPr>
      <w:r>
        <w:t xml:space="preserve">Chi ha scaricato il documento?</w:t>
      </w:r>
    </w:p>
    <w:p>
      <w:pPr>
        <w:pStyle w:val="Compact"/>
        <w:numPr>
          <w:ilvl w:val="0"/>
          <w:numId w:val="1084"/>
        </w:numPr>
      </w:pPr>
      <w:r>
        <w:t xml:space="preserve">Come individuate accessi fuori dalla relazione di cura?</w:t>
      </w:r>
    </w:p>
    <w:p>
      <w:pPr>
        <w:pStyle w:val="Compact"/>
        <w:numPr>
          <w:ilvl w:val="0"/>
          <w:numId w:val="1084"/>
        </w:numPr>
      </w:pPr>
      <w:r>
        <w:t xml:space="preserve">Come provate il consenso informato?</w:t>
      </w:r>
    </w:p>
    <w:p>
      <w:pPr>
        <w:pStyle w:val="Compact"/>
        <w:numPr>
          <w:ilvl w:val="0"/>
          <w:numId w:val="1084"/>
        </w:numPr>
      </w:pPr>
      <w:r>
        <w:t xml:space="preserve">Come verificate che il DICOM appartenga al paziente?</w:t>
      </w:r>
    </w:p>
    <w:p>
      <w:pPr>
        <w:pStyle w:val="Compact"/>
        <w:numPr>
          <w:ilvl w:val="0"/>
          <w:numId w:val="1084"/>
        </w:numPr>
      </w:pPr>
      <w:r>
        <w:t xml:space="preserve">Dove sono conservate le immagini?</w:t>
      </w:r>
    </w:p>
    <w:p>
      <w:pPr>
        <w:pStyle w:val="Compact"/>
        <w:numPr>
          <w:ilvl w:val="0"/>
          <w:numId w:val="1084"/>
        </w:numPr>
      </w:pPr>
      <w:r>
        <w:t xml:space="preserve">Il backup è stato ripristinato almeno una volta?</w:t>
      </w:r>
    </w:p>
    <w:p>
      <w:pPr>
        <w:pStyle w:val="Compact"/>
        <w:numPr>
          <w:ilvl w:val="0"/>
          <w:numId w:val="1084"/>
        </w:numPr>
      </w:pPr>
      <w:r>
        <w:t xml:space="preserve">Quali fornitori possono vedere dati sanitari?</w:t>
      </w:r>
    </w:p>
    <w:p>
      <w:pPr>
        <w:pStyle w:val="Compact"/>
        <w:numPr>
          <w:ilvl w:val="0"/>
          <w:numId w:val="1084"/>
        </w:numPr>
      </w:pPr>
      <w:r>
        <w:t xml:space="preserve">Come rispondete a una richiesta di accesso?</w:t>
      </w:r>
    </w:p>
    <w:p>
      <w:pPr>
        <w:pStyle w:val="Compact"/>
        <w:numPr>
          <w:ilvl w:val="0"/>
          <w:numId w:val="1084"/>
        </w:numPr>
      </w:pPr>
      <w:r>
        <w:t xml:space="preserve">Come separate i tenant?</w:t>
      </w:r>
    </w:p>
    <w:p>
      <w:pPr>
        <w:pStyle w:val="Compact"/>
        <w:numPr>
          <w:ilvl w:val="0"/>
          <w:numId w:val="1084"/>
        </w:numPr>
      </w:pPr>
      <w:r>
        <w:t xml:space="preserve">Come viene autorizzato un addetto all'assistenza?</w:t>
      </w:r>
    </w:p>
    <w:p>
      <w:pPr>
        <w:pStyle w:val="Compact"/>
        <w:numPr>
          <w:ilvl w:val="0"/>
          <w:numId w:val="1084"/>
        </w:numPr>
      </w:pPr>
      <w:r>
        <w:t xml:space="preserve">Quale versione del modello AI ha generato un reperto?</w:t>
      </w:r>
    </w:p>
    <w:p>
      <w:pPr>
        <w:pStyle w:val="Compact"/>
        <w:numPr>
          <w:ilvl w:val="0"/>
          <w:numId w:val="1084"/>
        </w:numPr>
      </w:pPr>
      <w:r>
        <w:t xml:space="preserve">Come trasmettete un documento al FSE?</w:t>
      </w:r>
    </w:p>
    <w:bookmarkEnd w:id="146"/>
    <w:bookmarkEnd w:id="147"/>
    <w:bookmarkStart w:id="151" w:name="X40ce8fa398afae7085c013249791e769de403d0"/>
    <w:p>
      <w:pPr>
        <w:pStyle w:val="Heading1"/>
      </w:pPr>
      <w:r>
        <w:t xml:space="preserve">25. Requisiti di prodotto per DentalCare Pro</w:t>
      </w:r>
    </w:p>
    <w:bookmarkStart w:id="148" w:name="X22c9c3c77d89d3197a2eca2e0a3e59134855382"/>
    <w:p>
      <w:pPr>
        <w:pStyle w:val="Heading2"/>
      </w:pPr>
      <w:r>
        <w:t xml:space="preserve">25.1 Requisiti P0</w:t>
      </w:r>
    </w:p>
    <w:p>
      <w:pPr>
        <w:pStyle w:val="Compact"/>
        <w:numPr>
          <w:ilvl w:val="0"/>
          <w:numId w:val="1085"/>
        </w:numPr>
      </w:pPr>
      <w:r>
        <w:t xml:space="preserve">identità paziente e merge duplicati;</w:t>
      </w:r>
    </w:p>
    <w:p>
      <w:pPr>
        <w:pStyle w:val="Compact"/>
        <w:numPr>
          <w:ilvl w:val="0"/>
          <w:numId w:val="1085"/>
        </w:numPr>
      </w:pPr>
      <w:r>
        <w:t xml:space="preserve">tenant isolation;</w:t>
      </w:r>
    </w:p>
    <w:p>
      <w:pPr>
        <w:pStyle w:val="Compact"/>
        <w:numPr>
          <w:ilvl w:val="0"/>
          <w:numId w:val="1085"/>
        </w:numPr>
      </w:pPr>
      <w:r>
        <w:t xml:space="preserve">RBAC e assegnazione;</w:t>
      </w:r>
    </w:p>
    <w:p>
      <w:pPr>
        <w:pStyle w:val="Compact"/>
        <w:numPr>
          <w:ilvl w:val="0"/>
          <w:numId w:val="1085"/>
        </w:numPr>
      </w:pPr>
      <w:r>
        <w:t xml:space="preserve">anamnesi versionata;</w:t>
      </w:r>
    </w:p>
    <w:p>
      <w:pPr>
        <w:pStyle w:val="Compact"/>
        <w:numPr>
          <w:ilvl w:val="0"/>
          <w:numId w:val="1085"/>
        </w:numPr>
      </w:pPr>
      <w:r>
        <w:t xml:space="preserve">odontogramma strutturato e temporale;</w:t>
      </w:r>
    </w:p>
    <w:p>
      <w:pPr>
        <w:pStyle w:val="Compact"/>
        <w:numPr>
          <w:ilvl w:val="0"/>
          <w:numId w:val="1085"/>
        </w:numPr>
      </w:pPr>
      <w:r>
        <w:t xml:space="preserve">encounter;</w:t>
      </w:r>
    </w:p>
    <w:p>
      <w:pPr>
        <w:pStyle w:val="Compact"/>
        <w:numPr>
          <w:ilvl w:val="0"/>
          <w:numId w:val="1085"/>
        </w:numPr>
      </w:pPr>
      <w:r>
        <w:t xml:space="preserve">diagnosi e lista problemi;</w:t>
      </w:r>
    </w:p>
    <w:p>
      <w:pPr>
        <w:pStyle w:val="Compact"/>
        <w:numPr>
          <w:ilvl w:val="0"/>
          <w:numId w:val="1085"/>
        </w:numPr>
      </w:pPr>
      <w:r>
        <w:t xml:space="preserve">piano e procedure;</w:t>
      </w:r>
    </w:p>
    <w:p>
      <w:pPr>
        <w:pStyle w:val="Compact"/>
        <w:numPr>
          <w:ilvl w:val="0"/>
          <w:numId w:val="1085"/>
        </w:numPr>
      </w:pPr>
      <w:r>
        <w:t xml:space="preserve">consensi versionati;</w:t>
      </w:r>
    </w:p>
    <w:p>
      <w:pPr>
        <w:pStyle w:val="Compact"/>
        <w:numPr>
          <w:ilvl w:val="0"/>
          <w:numId w:val="1085"/>
        </w:numPr>
      </w:pPr>
      <w:r>
        <w:t xml:space="preserve">documenti e immagini;</w:t>
      </w:r>
    </w:p>
    <w:p>
      <w:pPr>
        <w:pStyle w:val="Compact"/>
        <w:numPr>
          <w:ilvl w:val="0"/>
          <w:numId w:val="1085"/>
        </w:numPr>
      </w:pPr>
      <w:r>
        <w:t xml:space="preserve">finalizzazione e addendum;</w:t>
      </w:r>
    </w:p>
    <w:p>
      <w:pPr>
        <w:pStyle w:val="Compact"/>
        <w:numPr>
          <w:ilvl w:val="0"/>
          <w:numId w:val="1085"/>
        </w:numPr>
      </w:pPr>
      <w:r>
        <w:t xml:space="preserve">audit;</w:t>
      </w:r>
    </w:p>
    <w:p>
      <w:pPr>
        <w:pStyle w:val="Compact"/>
        <w:numPr>
          <w:ilvl w:val="0"/>
          <w:numId w:val="1085"/>
        </w:numPr>
      </w:pPr>
      <w:r>
        <w:t xml:space="preserve">export completo;</w:t>
      </w:r>
    </w:p>
    <w:p>
      <w:pPr>
        <w:pStyle w:val="Compact"/>
        <w:numPr>
          <w:ilvl w:val="0"/>
          <w:numId w:val="1085"/>
        </w:numPr>
      </w:pPr>
      <w:r>
        <w:t xml:space="preserve">backup/restore;</w:t>
      </w:r>
    </w:p>
    <w:p>
      <w:pPr>
        <w:pStyle w:val="Compact"/>
        <w:numPr>
          <w:ilvl w:val="0"/>
          <w:numId w:val="1085"/>
        </w:numPr>
      </w:pPr>
      <w:r>
        <w:t xml:space="preserve">privacy workflow.</w:t>
      </w:r>
    </w:p>
    <w:bookmarkEnd w:id="148"/>
    <w:bookmarkStart w:id="149" w:name="Xa76ea5f7b73af25067a6146be8e6fcfb6dbabdc"/>
    <w:p>
      <w:pPr>
        <w:pStyle w:val="Heading2"/>
      </w:pPr>
      <w:r>
        <w:t xml:space="preserve">25.2 Requisiti P1</w:t>
      </w:r>
    </w:p>
    <w:p>
      <w:pPr>
        <w:pStyle w:val="Compact"/>
        <w:numPr>
          <w:ilvl w:val="0"/>
          <w:numId w:val="1086"/>
        </w:numPr>
      </w:pPr>
      <w:r>
        <w:t xml:space="preserve">portale paziente;</w:t>
      </w:r>
    </w:p>
    <w:p>
      <w:pPr>
        <w:pStyle w:val="Compact"/>
        <w:numPr>
          <w:ilvl w:val="0"/>
          <w:numId w:val="1086"/>
        </w:numPr>
      </w:pPr>
      <w:r>
        <w:t xml:space="preserve">firma avanzata/qualificata integrata;</w:t>
      </w:r>
    </w:p>
    <w:p>
      <w:pPr>
        <w:pStyle w:val="Compact"/>
        <w:numPr>
          <w:ilvl w:val="0"/>
          <w:numId w:val="1086"/>
        </w:numPr>
      </w:pPr>
      <w:r>
        <w:t xml:space="preserve">conservazione;</w:t>
      </w:r>
    </w:p>
    <w:p>
      <w:pPr>
        <w:pStyle w:val="Compact"/>
        <w:numPr>
          <w:ilvl w:val="0"/>
          <w:numId w:val="1086"/>
        </w:numPr>
      </w:pPr>
      <w:r>
        <w:t xml:space="preserve">DICOMweb;</w:t>
      </w:r>
    </w:p>
    <w:p>
      <w:pPr>
        <w:pStyle w:val="Compact"/>
        <w:numPr>
          <w:ilvl w:val="0"/>
          <w:numId w:val="1086"/>
        </w:numPr>
      </w:pPr>
      <w:r>
        <w:t xml:space="preserve">FHIR API;</w:t>
      </w:r>
    </w:p>
    <w:p>
      <w:pPr>
        <w:pStyle w:val="Compact"/>
        <w:numPr>
          <w:ilvl w:val="0"/>
          <w:numId w:val="1086"/>
        </w:numPr>
      </w:pPr>
      <w:r>
        <w:t xml:space="preserve">terminology service;</w:t>
      </w:r>
    </w:p>
    <w:p>
      <w:pPr>
        <w:pStyle w:val="Compact"/>
        <w:numPr>
          <w:ilvl w:val="0"/>
          <w:numId w:val="1086"/>
        </w:numPr>
      </w:pPr>
      <w:r>
        <w:t xml:space="preserve">connettore FSE;</w:t>
      </w:r>
    </w:p>
    <w:p>
      <w:pPr>
        <w:pStyle w:val="Compact"/>
        <w:numPr>
          <w:ilvl w:val="0"/>
          <w:numId w:val="1086"/>
        </w:numPr>
      </w:pPr>
      <w:r>
        <w:t xml:space="preserve">report accessi;</w:t>
      </w:r>
    </w:p>
    <w:p>
      <w:pPr>
        <w:pStyle w:val="Compact"/>
        <w:numPr>
          <w:ilvl w:val="0"/>
          <w:numId w:val="1086"/>
        </w:numPr>
      </w:pPr>
      <w:r>
        <w:t xml:space="preserve">analytics qualità;</w:t>
      </w:r>
    </w:p>
    <w:p>
      <w:pPr>
        <w:pStyle w:val="Compact"/>
        <w:numPr>
          <w:ilvl w:val="0"/>
          <w:numId w:val="1086"/>
        </w:numPr>
      </w:pPr>
      <w:r>
        <w:t xml:space="preserve">moduli parodontali avanzati.</w:t>
      </w:r>
    </w:p>
    <w:bookmarkEnd w:id="149"/>
    <w:bookmarkStart w:id="150" w:name="Xb983a752a8ba964eac90a922280e2ee2ed3a0ef"/>
    <w:p>
      <w:pPr>
        <w:pStyle w:val="Heading2"/>
      </w:pPr>
      <w:r>
        <w:t xml:space="preserve">25.3 Requisiti P2</w:t>
      </w:r>
    </w:p>
    <w:p>
      <w:pPr>
        <w:pStyle w:val="Compact"/>
        <w:numPr>
          <w:ilvl w:val="0"/>
          <w:numId w:val="1087"/>
        </w:numPr>
      </w:pPr>
      <w:r>
        <w:t xml:space="preserve">AI radiologica certificata;</w:t>
      </w:r>
    </w:p>
    <w:p>
      <w:pPr>
        <w:pStyle w:val="Compact"/>
        <w:numPr>
          <w:ilvl w:val="0"/>
          <w:numId w:val="1087"/>
        </w:numPr>
      </w:pPr>
      <w:r>
        <w:t xml:space="preserve">dettatura e summarization controllata;</w:t>
      </w:r>
    </w:p>
    <w:p>
      <w:pPr>
        <w:pStyle w:val="Compact"/>
        <w:numPr>
          <w:ilvl w:val="0"/>
          <w:numId w:val="1087"/>
        </w:numPr>
      </w:pPr>
      <w:r>
        <w:t xml:space="preserve">federazione tra reti;</w:t>
      </w:r>
    </w:p>
    <w:p>
      <w:pPr>
        <w:pStyle w:val="Compact"/>
        <w:numPr>
          <w:ilvl w:val="0"/>
          <w:numId w:val="1087"/>
        </w:numPr>
      </w:pPr>
      <w:r>
        <w:t xml:space="preserve">ricerca e secondary use;</w:t>
      </w:r>
    </w:p>
    <w:p>
      <w:pPr>
        <w:pStyle w:val="Compact"/>
        <w:numPr>
          <w:ilvl w:val="0"/>
          <w:numId w:val="1087"/>
        </w:numPr>
      </w:pPr>
      <w:r>
        <w:t xml:space="preserve">EHDS readiness avanzata;</w:t>
      </w:r>
    </w:p>
    <w:p>
      <w:pPr>
        <w:pStyle w:val="Compact"/>
        <w:numPr>
          <w:ilvl w:val="0"/>
          <w:numId w:val="1087"/>
        </w:numPr>
      </w:pPr>
      <w:r>
        <w:t xml:space="preserve">integrazione laboratori e dispositivi;</w:t>
      </w:r>
    </w:p>
    <w:p>
      <w:pPr>
        <w:pStyle w:val="Compact"/>
        <w:numPr>
          <w:ilvl w:val="0"/>
          <w:numId w:val="1087"/>
        </w:numPr>
      </w:pPr>
      <w:r>
        <w:t xml:space="preserve">mobile offline controllato.</w:t>
      </w:r>
    </w:p>
    <w:bookmarkEnd w:id="150"/>
    <w:bookmarkEnd w:id="151"/>
    <w:bookmarkStart w:id="156" w:name="Xee5844c489b7b043d62e977babc3ec1d18cbfc5"/>
    <w:p>
      <w:pPr>
        <w:pStyle w:val="Heading1"/>
      </w:pPr>
      <w:r>
        <w:t xml:space="preserve">26. Criteri di accettazione esemplificativi</w:t>
      </w:r>
    </w:p>
    <w:bookmarkStart w:id="152" w:name="Xc9bcf1fd7c58158cc65b3bc676122ede6f8a8ae"/>
    <w:p>
      <w:pPr>
        <w:pStyle w:val="Heading2"/>
      </w:pPr>
      <w:r>
        <w:t xml:space="preserve">26.1 Nota finalizzata</w:t>
      </w:r>
    </w:p>
    <w:p>
      <w:pPr>
        <w:pStyle w:val="SourceCode"/>
      </w:pPr>
      <w:r>
        <w:rPr>
          <w:rStyle w:val="VerbatimChar"/>
        </w:rPr>
        <w:t xml:space="preserve">Dato un odontoiatra autenticato e assegnato al paziente</w:t>
      </w:r>
      <w:r>
        <w:br/>
      </w:r>
      <w:r>
        <w:rPr>
          <w:rStyle w:val="VerbatimChar"/>
        </w:rPr>
        <w:t xml:space="preserve">Quando finalizza una nota clinica completa</w:t>
      </w:r>
      <w:r>
        <w:br/>
      </w:r>
      <w:r>
        <w:rPr>
          <w:rStyle w:val="VerbatimChar"/>
        </w:rPr>
        <w:t xml:space="preserve">Allora il contenuto riceve identificatore, autore, timestamp e hash</w:t>
      </w:r>
      <w:r>
        <w:br/>
      </w:r>
      <w:r>
        <w:rPr>
          <w:rStyle w:val="VerbatimChar"/>
        </w:rPr>
        <w:t xml:space="preserve">E non può più essere modificato direttamente</w:t>
      </w:r>
      <w:r>
        <w:br/>
      </w:r>
      <w:r>
        <w:rPr>
          <w:rStyle w:val="VerbatimChar"/>
        </w:rPr>
        <w:t xml:space="preserve">E ogni correzione avviene tramite addendum</w:t>
      </w:r>
      <w:r>
        <w:br/>
      </w:r>
      <w:r>
        <w:rPr>
          <w:rStyle w:val="VerbatimChar"/>
        </w:rPr>
        <w:t xml:space="preserve">E l'evento è registrato nell'audit trail</w:t>
      </w:r>
    </w:p>
    <w:bookmarkEnd w:id="152"/>
    <w:bookmarkStart w:id="153" w:name="X6a576f714642eb677f492b71a198e6e02c7370d"/>
    <w:p>
      <w:pPr>
        <w:pStyle w:val="Heading2"/>
      </w:pPr>
      <w:r>
        <w:t xml:space="preserve">26.2 Segreteria</w:t>
      </w:r>
    </w:p>
    <w:p>
      <w:pPr>
        <w:pStyle w:val="SourceCode"/>
      </w:pPr>
      <w:r>
        <w:rPr>
          <w:rStyle w:val="VerbatimChar"/>
        </w:rPr>
        <w:t xml:space="preserve">Dato un utente con ruolo Segreteria</w:t>
      </w:r>
      <w:r>
        <w:br/>
      </w:r>
      <w:r>
        <w:rPr>
          <w:rStyle w:val="VerbatimChar"/>
        </w:rPr>
        <w:t xml:space="preserve">Quando apre il profilo di un paziente</w:t>
      </w:r>
      <w:r>
        <w:br/>
      </w:r>
      <w:r>
        <w:rPr>
          <w:rStyle w:val="VerbatimChar"/>
        </w:rPr>
        <w:t xml:space="preserve">Allora vede anagrafica e appuntamenti</w:t>
      </w:r>
      <w:r>
        <w:br/>
      </w:r>
      <w:r>
        <w:rPr>
          <w:rStyle w:val="VerbatimChar"/>
        </w:rPr>
        <w:t xml:space="preserve">Ma non vede anamnesi, diagnosi, odontogramma o note cliniche</w:t>
      </w:r>
      <w:r>
        <w:br/>
      </w:r>
      <w:r>
        <w:rPr>
          <w:rStyle w:val="VerbatimChar"/>
        </w:rPr>
        <w:t xml:space="preserve">E ogni tentativo diretto alle API cliniche viene negato e registrato</w:t>
      </w:r>
    </w:p>
    <w:bookmarkEnd w:id="153"/>
    <w:bookmarkStart w:id="154" w:name="Xf8ffc8f60c0bedb5f0265a9dac9b16dc8fc75be"/>
    <w:p>
      <w:pPr>
        <w:pStyle w:val="Heading2"/>
      </w:pPr>
      <w:r>
        <w:t xml:space="preserve">26.3 Cross-tenant</w:t>
      </w:r>
    </w:p>
    <w:p>
      <w:pPr>
        <w:pStyle w:val="SourceCode"/>
      </w:pPr>
      <w:r>
        <w:rPr>
          <w:rStyle w:val="VerbatimChar"/>
        </w:rPr>
        <w:t xml:space="preserve">Dato un token valido per il tenant A</w:t>
      </w:r>
      <w:r>
        <w:br/>
      </w:r>
      <w:r>
        <w:rPr>
          <w:rStyle w:val="VerbatimChar"/>
        </w:rPr>
        <w:t xml:space="preserve">Quando l'utente usa l'identificatore di un paziente del tenant B</w:t>
      </w:r>
      <w:r>
        <w:br/>
      </w:r>
      <w:r>
        <w:rPr>
          <w:rStyle w:val="VerbatimChar"/>
        </w:rPr>
        <w:t xml:space="preserve">Allora la risposta non rivela l'esistenza del record</w:t>
      </w:r>
      <w:r>
        <w:br/>
      </w:r>
      <w:r>
        <w:rPr>
          <w:rStyle w:val="VerbatimChar"/>
        </w:rPr>
        <w:t xml:space="preserve">E l'evento è registrato come tentativo anomalo</w:t>
      </w:r>
    </w:p>
    <w:bookmarkEnd w:id="154"/>
    <w:bookmarkStart w:id="155" w:name="X44f029c5fbd2ce72bea5d75cf6a180c66125f83"/>
    <w:p>
      <w:pPr>
        <w:pStyle w:val="Heading2"/>
      </w:pPr>
      <w:r>
        <w:t xml:space="preserve">26.4 Output AI</w:t>
      </w:r>
    </w:p>
    <w:p>
      <w:pPr>
        <w:pStyle w:val="SourceCode"/>
      </w:pPr>
      <w:r>
        <w:rPr>
          <w:rStyle w:val="VerbatimChar"/>
        </w:rPr>
        <w:t xml:space="preserve">Dato un risultato AI su una ortopanoramica</w:t>
      </w:r>
      <w:r>
        <w:br/>
      </w:r>
      <w:r>
        <w:rPr>
          <w:rStyle w:val="VerbatimChar"/>
        </w:rPr>
        <w:t xml:space="preserve">Quando l'odontoiatra lo revisiona</w:t>
      </w:r>
      <w:r>
        <w:br/>
      </w:r>
      <w:r>
        <w:rPr>
          <w:rStyle w:val="VerbatimChar"/>
        </w:rPr>
        <w:t xml:space="preserve">Allora il sistema conserva risultato originale, modello e confidence</w:t>
      </w:r>
      <w:r>
        <w:br/>
      </w:r>
      <w:r>
        <w:rPr>
          <w:rStyle w:val="VerbatimChar"/>
        </w:rPr>
        <w:t xml:space="preserve">E registra accettazione, modifica o rifiuto</w:t>
      </w:r>
      <w:r>
        <w:br/>
      </w:r>
      <w:r>
        <w:rPr>
          <w:rStyle w:val="VerbatimChar"/>
        </w:rPr>
        <w:t xml:space="preserve">E la diagnosi finale è un oggetto distinto firmato dal professionista</w:t>
      </w:r>
    </w:p>
    <w:bookmarkEnd w:id="155"/>
    <w:bookmarkEnd w:id="156"/>
    <w:bookmarkStart w:id="157" w:name="Xe9f7860c33093c28862567b305449ed2827c8fe"/>
    <w:p>
      <w:pPr>
        <w:pStyle w:val="Heading1"/>
      </w:pPr>
      <w:r>
        <w:t xml:space="preserve">27. Checklist di valutazione di un fornitore</w:t>
      </w:r>
    </w:p>
    <w:p>
      <w:pPr>
        <w:pStyle w:val="Compact"/>
        <w:numPr>
          <w:ilvl w:val="0"/>
          <w:numId w:val="1088"/>
        </w:numPr>
      </w:pPr>
      <w:r>
        <w:t xml:space="preserve">☐ data residency dichiarata;</w:t>
      </w:r>
    </w:p>
    <w:p>
      <w:pPr>
        <w:pStyle w:val="Compact"/>
        <w:numPr>
          <w:ilvl w:val="0"/>
          <w:numId w:val="1088"/>
        </w:numPr>
      </w:pPr>
      <w:r>
        <w:t xml:space="preserve">☐ DPA e sub-responsabili;</w:t>
      </w:r>
    </w:p>
    <w:p>
      <w:pPr>
        <w:pStyle w:val="Compact"/>
        <w:numPr>
          <w:ilvl w:val="0"/>
          <w:numId w:val="1088"/>
        </w:numPr>
      </w:pPr>
      <w:r>
        <w:t xml:space="preserve">☐ cifratura;</w:t>
      </w:r>
    </w:p>
    <w:p>
      <w:pPr>
        <w:pStyle w:val="Compact"/>
        <w:numPr>
          <w:ilvl w:val="0"/>
          <w:numId w:val="1088"/>
        </w:numPr>
      </w:pPr>
      <w:r>
        <w:t xml:space="preserve">☐ MFA/SSO;</w:t>
      </w:r>
    </w:p>
    <w:p>
      <w:pPr>
        <w:pStyle w:val="Compact"/>
        <w:numPr>
          <w:ilvl w:val="0"/>
          <w:numId w:val="1088"/>
        </w:numPr>
      </w:pPr>
      <w:r>
        <w:t xml:space="preserve">☐ segregazione tenant;</w:t>
      </w:r>
    </w:p>
    <w:p>
      <w:pPr>
        <w:pStyle w:val="Compact"/>
        <w:numPr>
          <w:ilvl w:val="0"/>
          <w:numId w:val="1088"/>
        </w:numPr>
      </w:pPr>
      <w:r>
        <w:t xml:space="preserve">☐ audit accessi;</w:t>
      </w:r>
    </w:p>
    <w:p>
      <w:pPr>
        <w:pStyle w:val="Compact"/>
        <w:numPr>
          <w:ilvl w:val="0"/>
          <w:numId w:val="1088"/>
        </w:numPr>
      </w:pPr>
      <w:r>
        <w:t xml:space="preserve">☐ export completo;</w:t>
      </w:r>
    </w:p>
    <w:p>
      <w:pPr>
        <w:pStyle w:val="Compact"/>
        <w:numPr>
          <w:ilvl w:val="0"/>
          <w:numId w:val="1088"/>
        </w:numPr>
      </w:pPr>
      <w:r>
        <w:t xml:space="preserve">☐ API documentate;</w:t>
      </w:r>
    </w:p>
    <w:p>
      <w:pPr>
        <w:pStyle w:val="Compact"/>
        <w:numPr>
          <w:ilvl w:val="0"/>
          <w:numId w:val="1088"/>
        </w:numPr>
      </w:pPr>
      <w:r>
        <w:t xml:space="preserve">☐ DICOM/FHIR;</w:t>
      </w:r>
    </w:p>
    <w:p>
      <w:pPr>
        <w:pStyle w:val="Compact"/>
        <w:numPr>
          <w:ilvl w:val="0"/>
          <w:numId w:val="1088"/>
        </w:numPr>
      </w:pPr>
      <w:r>
        <w:t xml:space="preserve">☐ firma e conservazione;</w:t>
      </w:r>
    </w:p>
    <w:p>
      <w:pPr>
        <w:pStyle w:val="Compact"/>
        <w:numPr>
          <w:ilvl w:val="0"/>
          <w:numId w:val="1088"/>
        </w:numPr>
      </w:pPr>
      <w:r>
        <w:t xml:space="preserve">☐ RPO/RTO;</w:t>
      </w:r>
    </w:p>
    <w:p>
      <w:pPr>
        <w:pStyle w:val="Compact"/>
        <w:numPr>
          <w:ilvl w:val="0"/>
          <w:numId w:val="1088"/>
        </w:numPr>
      </w:pPr>
      <w:r>
        <w:t xml:space="preserve">☐ restore test;</w:t>
      </w:r>
    </w:p>
    <w:p>
      <w:pPr>
        <w:pStyle w:val="Compact"/>
        <w:numPr>
          <w:ilvl w:val="0"/>
          <w:numId w:val="1088"/>
        </w:numPr>
      </w:pPr>
      <w:r>
        <w:t xml:space="preserve">☐ incident notification;</w:t>
      </w:r>
    </w:p>
    <w:p>
      <w:pPr>
        <w:pStyle w:val="Compact"/>
        <w:numPr>
          <w:ilvl w:val="0"/>
          <w:numId w:val="1088"/>
        </w:numPr>
      </w:pPr>
      <w:r>
        <w:t xml:space="preserve">☐ pen test;</w:t>
      </w:r>
    </w:p>
    <w:p>
      <w:pPr>
        <w:pStyle w:val="Compact"/>
        <w:numPr>
          <w:ilvl w:val="0"/>
          <w:numId w:val="1088"/>
        </w:numPr>
      </w:pPr>
      <w:r>
        <w:t xml:space="preserve">☐ vulnerability management;</w:t>
      </w:r>
    </w:p>
    <w:p>
      <w:pPr>
        <w:pStyle w:val="Compact"/>
        <w:numPr>
          <w:ilvl w:val="0"/>
          <w:numId w:val="1088"/>
        </w:numPr>
      </w:pPr>
      <w:r>
        <w:t xml:space="preserve">☐ exit plan;</w:t>
      </w:r>
    </w:p>
    <w:p>
      <w:pPr>
        <w:pStyle w:val="Compact"/>
        <w:numPr>
          <w:ilvl w:val="0"/>
          <w:numId w:val="1088"/>
        </w:numPr>
      </w:pPr>
      <w:r>
        <w:t xml:space="preserve">☐ cancellazione verificabile;</w:t>
      </w:r>
    </w:p>
    <w:p>
      <w:pPr>
        <w:pStyle w:val="Compact"/>
        <w:numPr>
          <w:ilvl w:val="0"/>
          <w:numId w:val="1088"/>
        </w:numPr>
      </w:pPr>
      <w:r>
        <w:t xml:space="preserve">☐ no training sui dati;</w:t>
      </w:r>
    </w:p>
    <w:p>
      <w:pPr>
        <w:pStyle w:val="Compact"/>
        <w:numPr>
          <w:ilvl w:val="0"/>
          <w:numId w:val="1088"/>
        </w:numPr>
      </w:pPr>
      <w:r>
        <w:t xml:space="preserve">☐ change notification;</w:t>
      </w:r>
    </w:p>
    <w:p>
      <w:pPr>
        <w:pStyle w:val="Compact"/>
        <w:numPr>
          <w:ilvl w:val="0"/>
          <w:numId w:val="1088"/>
        </w:numPr>
      </w:pPr>
      <w:r>
        <w:t xml:space="preserve">☐ supporto accreditamento FSE;</w:t>
      </w:r>
    </w:p>
    <w:p>
      <w:pPr>
        <w:pStyle w:val="Compact"/>
        <w:numPr>
          <w:ilvl w:val="0"/>
          <w:numId w:val="1088"/>
        </w:numPr>
      </w:pPr>
      <w:r>
        <w:t xml:space="preserve">☐ disponibilità di evidenze.</w:t>
      </w:r>
    </w:p>
    <w:bookmarkEnd w:id="157"/>
    <w:bookmarkStart w:id="158" w:name="Xa09e07fbb6fc1673f6a2ddaa0011725bbe48ca5"/>
    <w:p>
      <w:pPr>
        <w:pStyle w:val="Heading1"/>
      </w:pPr>
      <w:r>
        <w:t xml:space="preserve">28. Errori da evitare</w:t>
      </w:r>
    </w:p>
    <w:p>
      <w:pPr>
        <w:pStyle w:val="Compact"/>
        <w:numPr>
          <w:ilvl w:val="0"/>
          <w:numId w:val="1089"/>
        </w:numPr>
      </w:pPr>
      <w:r>
        <w:t xml:space="preserve">scansionare tutto e chiamarlo cartella digitale;</w:t>
      </w:r>
    </w:p>
    <w:p>
      <w:pPr>
        <w:pStyle w:val="Compact"/>
        <w:numPr>
          <w:ilvl w:val="0"/>
          <w:numId w:val="1089"/>
        </w:numPr>
      </w:pPr>
      <w:r>
        <w:t xml:space="preserve">usare account condivisi;</w:t>
      </w:r>
    </w:p>
    <w:p>
      <w:pPr>
        <w:pStyle w:val="Compact"/>
        <w:numPr>
          <w:ilvl w:val="0"/>
          <w:numId w:val="1089"/>
        </w:numPr>
      </w:pPr>
      <w:r>
        <w:t xml:space="preserve">consentire alla segreteria l'accesso indiscriminato;</w:t>
      </w:r>
    </w:p>
    <w:p>
      <w:pPr>
        <w:pStyle w:val="Compact"/>
        <w:numPr>
          <w:ilvl w:val="0"/>
          <w:numId w:val="1089"/>
        </w:numPr>
      </w:pPr>
      <w:r>
        <w:t xml:space="preserve">sovrascrivere note finalizzate;</w:t>
      </w:r>
    </w:p>
    <w:p>
      <w:pPr>
        <w:pStyle w:val="Compact"/>
        <w:numPr>
          <w:ilvl w:val="0"/>
          <w:numId w:val="1089"/>
        </w:numPr>
      </w:pPr>
      <w:r>
        <w:t xml:space="preserve">salvare immagini con nome paziente nel filesystem;</w:t>
      </w:r>
    </w:p>
    <w:p>
      <w:pPr>
        <w:pStyle w:val="Compact"/>
        <w:numPr>
          <w:ilvl w:val="0"/>
          <w:numId w:val="1089"/>
        </w:numPr>
      </w:pPr>
      <w:r>
        <w:t xml:space="preserve">usare il codice fiscale come chiave primaria;</w:t>
      </w:r>
    </w:p>
    <w:p>
      <w:pPr>
        <w:pStyle w:val="Compact"/>
        <w:numPr>
          <w:ilvl w:val="0"/>
          <w:numId w:val="1089"/>
        </w:numPr>
      </w:pPr>
      <w:r>
        <w:t xml:space="preserve">confondere backup e conservazione;</w:t>
      </w:r>
    </w:p>
    <w:p>
      <w:pPr>
        <w:pStyle w:val="Compact"/>
        <w:numPr>
          <w:ilvl w:val="0"/>
          <w:numId w:val="1089"/>
        </w:numPr>
      </w:pPr>
      <w:r>
        <w:t xml:space="preserve">inviare dati sanitari a LLM pubblici;</w:t>
      </w:r>
    </w:p>
    <w:p>
      <w:pPr>
        <w:pStyle w:val="Compact"/>
        <w:numPr>
          <w:ilvl w:val="0"/>
          <w:numId w:val="1089"/>
        </w:numPr>
      </w:pPr>
      <w:r>
        <w:t xml:space="preserve">generare note precompilate non veritiere;</w:t>
      </w:r>
    </w:p>
    <w:p>
      <w:pPr>
        <w:pStyle w:val="Compact"/>
        <w:numPr>
          <w:ilvl w:val="0"/>
          <w:numId w:val="1089"/>
        </w:numPr>
      </w:pPr>
      <w:r>
        <w:t xml:space="preserve">migrare senza riconciliazione;</w:t>
      </w:r>
    </w:p>
    <w:p>
      <w:pPr>
        <w:pStyle w:val="Compact"/>
        <w:numPr>
          <w:ilvl w:val="0"/>
          <w:numId w:val="1089"/>
        </w:numPr>
      </w:pPr>
      <w:r>
        <w:t xml:space="preserve">cancellare il cartaceo senza policy;</w:t>
      </w:r>
    </w:p>
    <w:p>
      <w:pPr>
        <w:pStyle w:val="Compact"/>
        <w:numPr>
          <w:ilvl w:val="0"/>
          <w:numId w:val="1089"/>
        </w:numPr>
      </w:pPr>
      <w:r>
        <w:t xml:space="preserve">costruire il database copiando un unico standard di scambio;</w:t>
      </w:r>
    </w:p>
    <w:p>
      <w:pPr>
        <w:pStyle w:val="Compact"/>
        <w:numPr>
          <w:ilvl w:val="0"/>
          <w:numId w:val="1089"/>
        </w:numPr>
      </w:pPr>
      <w:r>
        <w:t xml:space="preserve">aggiungere il FSE come esportazione manuale non tracciata;</w:t>
      </w:r>
    </w:p>
    <w:p>
      <w:pPr>
        <w:pStyle w:val="Compact"/>
        <w:numPr>
          <w:ilvl w:val="0"/>
          <w:numId w:val="1089"/>
        </w:numPr>
      </w:pPr>
      <w:r>
        <w:t xml:space="preserve">addestrare l'AI con correzioni non validate;</w:t>
      </w:r>
    </w:p>
    <w:p>
      <w:pPr>
        <w:pStyle w:val="Compact"/>
        <w:numPr>
          <w:ilvl w:val="0"/>
          <w:numId w:val="1089"/>
        </w:numPr>
      </w:pPr>
      <w:r>
        <w:t xml:space="preserve">ignorare la provenienza dei dati;</w:t>
      </w:r>
    </w:p>
    <w:p>
      <w:pPr>
        <w:pStyle w:val="Compact"/>
        <w:numPr>
          <w:ilvl w:val="0"/>
          <w:numId w:val="1089"/>
        </w:numPr>
      </w:pPr>
      <w:r>
        <w:t xml:space="preserve">non testare il ripristino;</w:t>
      </w:r>
    </w:p>
    <w:p>
      <w:pPr>
        <w:pStyle w:val="Compact"/>
        <w:numPr>
          <w:ilvl w:val="0"/>
          <w:numId w:val="1089"/>
        </w:numPr>
      </w:pPr>
      <w:r>
        <w:t xml:space="preserve">non registrare download e stampe;</w:t>
      </w:r>
    </w:p>
    <w:p>
      <w:pPr>
        <w:pStyle w:val="Compact"/>
        <w:numPr>
          <w:ilvl w:val="0"/>
          <w:numId w:val="1089"/>
        </w:numPr>
      </w:pPr>
      <w:r>
        <w:t xml:space="preserve">permettere agli amministratori tecnici di leggere tutto;</w:t>
      </w:r>
    </w:p>
    <w:p>
      <w:pPr>
        <w:pStyle w:val="Compact"/>
        <w:numPr>
          <w:ilvl w:val="0"/>
          <w:numId w:val="1089"/>
        </w:numPr>
      </w:pPr>
      <w:r>
        <w:t xml:space="preserve">fare go-live senza downtime procedure;</w:t>
      </w:r>
    </w:p>
    <w:p>
      <w:pPr>
        <w:pStyle w:val="Compact"/>
        <w:numPr>
          <w:ilvl w:val="0"/>
          <w:numId w:val="1089"/>
        </w:numPr>
      </w:pPr>
      <w:r>
        <w:t xml:space="preserve">non coinvolgere odontoiatri nei test.</w:t>
      </w:r>
    </w:p>
    <w:bookmarkEnd w:id="158"/>
    <w:bookmarkStart w:id="163" w:name="Xd5d051dbc1a3bdf3eb790ae8ff526f9dc7c7f5d"/>
    <w:p>
      <w:pPr>
        <w:pStyle w:val="Heading1"/>
      </w:pPr>
      <w:r>
        <w:t xml:space="preserve">29. Roadmap consigliata per DentalCare Pro</w:t>
      </w:r>
    </w:p>
    <w:bookmarkStart w:id="159" w:name="X9b473fc90309eec7c1ac7104335ce10361b99c1"/>
    <w:p>
      <w:pPr>
        <w:pStyle w:val="Heading2"/>
      </w:pPr>
      <w:r>
        <w:t xml:space="preserve">0–3 mesi</w:t>
      </w:r>
    </w:p>
    <w:p>
      <w:pPr>
        <w:pStyle w:val="Compact"/>
        <w:numPr>
          <w:ilvl w:val="0"/>
          <w:numId w:val="1090"/>
        </w:numPr>
      </w:pPr>
      <w:r>
        <w:t xml:space="preserve">governance;</w:t>
      </w:r>
    </w:p>
    <w:p>
      <w:pPr>
        <w:pStyle w:val="Compact"/>
        <w:numPr>
          <w:ilvl w:val="0"/>
          <w:numId w:val="1090"/>
        </w:numPr>
      </w:pPr>
      <w:r>
        <w:t xml:space="preserve">modello dati;</w:t>
      </w:r>
    </w:p>
    <w:p>
      <w:pPr>
        <w:pStyle w:val="Compact"/>
        <w:numPr>
          <w:ilvl w:val="0"/>
          <w:numId w:val="1090"/>
        </w:numPr>
      </w:pPr>
      <w:r>
        <w:t xml:space="preserve">RBAC;</w:t>
      </w:r>
    </w:p>
    <w:p>
      <w:pPr>
        <w:pStyle w:val="Compact"/>
        <w:numPr>
          <w:ilvl w:val="0"/>
          <w:numId w:val="1090"/>
        </w:numPr>
      </w:pPr>
      <w:r>
        <w:t xml:space="preserve">prototipo clinico;</w:t>
      </w:r>
    </w:p>
    <w:p>
      <w:pPr>
        <w:pStyle w:val="Compact"/>
        <w:numPr>
          <w:ilvl w:val="0"/>
          <w:numId w:val="1090"/>
        </w:numPr>
      </w:pPr>
      <w:r>
        <w:t xml:space="preserve">DPIA;</w:t>
      </w:r>
    </w:p>
    <w:p>
      <w:pPr>
        <w:pStyle w:val="Compact"/>
        <w:numPr>
          <w:ilvl w:val="0"/>
          <w:numId w:val="1090"/>
        </w:numPr>
      </w:pPr>
      <w:r>
        <w:t xml:space="preserve">audit;</w:t>
      </w:r>
    </w:p>
    <w:p>
      <w:pPr>
        <w:pStyle w:val="Compact"/>
        <w:numPr>
          <w:ilvl w:val="0"/>
          <w:numId w:val="1090"/>
        </w:numPr>
      </w:pPr>
      <w:r>
        <w:t xml:space="preserve">policy documentale;</w:t>
      </w:r>
    </w:p>
    <w:p>
      <w:pPr>
        <w:pStyle w:val="Compact"/>
        <w:numPr>
          <w:ilvl w:val="0"/>
          <w:numId w:val="1090"/>
        </w:numPr>
      </w:pPr>
      <w:r>
        <w:t xml:space="preserve">piano migrazione.</w:t>
      </w:r>
    </w:p>
    <w:bookmarkEnd w:id="159"/>
    <w:bookmarkStart w:id="160" w:name="X9211a3623e1862a763fffc35b3aaee321b2d298"/>
    <w:p>
      <w:pPr>
        <w:pStyle w:val="Heading2"/>
      </w:pPr>
      <w:r>
        <w:t xml:space="preserve">3–6 mesi</w:t>
      </w:r>
    </w:p>
    <w:p>
      <w:pPr>
        <w:pStyle w:val="Compact"/>
        <w:numPr>
          <w:ilvl w:val="0"/>
          <w:numId w:val="1091"/>
        </w:numPr>
      </w:pPr>
      <w:r>
        <w:t xml:space="preserve">MVP;</w:t>
      </w:r>
    </w:p>
    <w:p>
      <w:pPr>
        <w:pStyle w:val="Compact"/>
        <w:numPr>
          <w:ilvl w:val="0"/>
          <w:numId w:val="1091"/>
        </w:numPr>
      </w:pPr>
      <w:r>
        <w:t xml:space="preserve">MinIO clinico;</w:t>
      </w:r>
    </w:p>
    <w:p>
      <w:pPr>
        <w:pStyle w:val="Compact"/>
        <w:numPr>
          <w:ilvl w:val="0"/>
          <w:numId w:val="1091"/>
        </w:numPr>
      </w:pPr>
      <w:r>
        <w:t xml:space="preserve">firme/finalizzazione;</w:t>
      </w:r>
    </w:p>
    <w:p>
      <w:pPr>
        <w:pStyle w:val="Compact"/>
        <w:numPr>
          <w:ilvl w:val="0"/>
          <w:numId w:val="1091"/>
        </w:numPr>
      </w:pPr>
      <w:r>
        <w:t xml:space="preserve">odontogramma;</w:t>
      </w:r>
    </w:p>
    <w:p>
      <w:pPr>
        <w:pStyle w:val="Compact"/>
        <w:numPr>
          <w:ilvl w:val="0"/>
          <w:numId w:val="1091"/>
        </w:numPr>
      </w:pPr>
      <w:r>
        <w:t xml:space="preserve">export;</w:t>
      </w:r>
    </w:p>
    <w:p>
      <w:pPr>
        <w:pStyle w:val="Compact"/>
        <w:numPr>
          <w:ilvl w:val="0"/>
          <w:numId w:val="1091"/>
        </w:numPr>
      </w:pPr>
      <w:r>
        <w:t xml:space="preserve">test;</w:t>
      </w:r>
    </w:p>
    <w:p>
      <w:pPr>
        <w:pStyle w:val="Compact"/>
        <w:numPr>
          <w:ilvl w:val="0"/>
          <w:numId w:val="1091"/>
        </w:numPr>
      </w:pPr>
      <w:r>
        <w:t xml:space="preserve">pilot.</w:t>
      </w:r>
    </w:p>
    <w:bookmarkEnd w:id="160"/>
    <w:bookmarkStart w:id="161" w:name="X5145636cd75dd25bd37aa389e02bc18ccee2704"/>
    <w:p>
      <w:pPr>
        <w:pStyle w:val="Heading2"/>
      </w:pPr>
      <w:r>
        <w:t xml:space="preserve">6–12 mesi</w:t>
      </w:r>
    </w:p>
    <w:p>
      <w:pPr>
        <w:pStyle w:val="Compact"/>
        <w:numPr>
          <w:ilvl w:val="0"/>
          <w:numId w:val="1092"/>
        </w:numPr>
      </w:pPr>
      <w:r>
        <w:t xml:space="preserve">multi-sede;</w:t>
      </w:r>
    </w:p>
    <w:p>
      <w:pPr>
        <w:pStyle w:val="Compact"/>
        <w:numPr>
          <w:ilvl w:val="0"/>
          <w:numId w:val="1092"/>
        </w:numPr>
      </w:pPr>
      <w:r>
        <w:t xml:space="preserve">portale;</w:t>
      </w:r>
    </w:p>
    <w:p>
      <w:pPr>
        <w:pStyle w:val="Compact"/>
        <w:numPr>
          <w:ilvl w:val="0"/>
          <w:numId w:val="1092"/>
        </w:numPr>
      </w:pPr>
      <w:r>
        <w:t xml:space="preserve">DICOMweb;</w:t>
      </w:r>
    </w:p>
    <w:p>
      <w:pPr>
        <w:pStyle w:val="Compact"/>
        <w:numPr>
          <w:ilvl w:val="0"/>
          <w:numId w:val="1092"/>
        </w:numPr>
      </w:pPr>
      <w:r>
        <w:t xml:space="preserve">terminology service;</w:t>
      </w:r>
    </w:p>
    <w:p>
      <w:pPr>
        <w:pStyle w:val="Compact"/>
        <w:numPr>
          <w:ilvl w:val="0"/>
          <w:numId w:val="1092"/>
        </w:numPr>
      </w:pPr>
      <w:r>
        <w:t xml:space="preserve">conservazione;</w:t>
      </w:r>
    </w:p>
    <w:p>
      <w:pPr>
        <w:pStyle w:val="Compact"/>
        <w:numPr>
          <w:ilvl w:val="0"/>
          <w:numId w:val="1092"/>
        </w:numPr>
      </w:pPr>
      <w:r>
        <w:t xml:space="preserve">FHIR API;</w:t>
      </w:r>
    </w:p>
    <w:p>
      <w:pPr>
        <w:pStyle w:val="Compact"/>
        <w:numPr>
          <w:ilvl w:val="0"/>
          <w:numId w:val="1092"/>
        </w:numPr>
      </w:pPr>
      <w:r>
        <w:t xml:space="preserve">connettore FSE proof of concept.</w:t>
      </w:r>
    </w:p>
    <w:bookmarkEnd w:id="161"/>
    <w:bookmarkStart w:id="162" w:name="Xfe1cec2aa01be36e18bdaaffe1895bb93dd7169"/>
    <w:p>
      <w:pPr>
        <w:pStyle w:val="Heading2"/>
      </w:pPr>
      <w:r>
        <w:t xml:space="preserve">12–18 mesi</w:t>
      </w:r>
    </w:p>
    <w:p>
      <w:pPr>
        <w:pStyle w:val="Compact"/>
        <w:numPr>
          <w:ilvl w:val="0"/>
          <w:numId w:val="1093"/>
        </w:numPr>
      </w:pPr>
      <w:r>
        <w:t xml:space="preserve">accreditamento FSE per documenti scelti;</w:t>
      </w:r>
    </w:p>
    <w:p>
      <w:pPr>
        <w:pStyle w:val="Compact"/>
        <w:numPr>
          <w:ilvl w:val="0"/>
          <w:numId w:val="1093"/>
        </w:numPr>
      </w:pPr>
      <w:r>
        <w:t xml:space="preserve">AI imaging con percorso regolatorio;</w:t>
      </w:r>
    </w:p>
    <w:p>
      <w:pPr>
        <w:pStyle w:val="Compact"/>
        <w:numPr>
          <w:ilvl w:val="0"/>
          <w:numId w:val="1093"/>
        </w:numPr>
      </w:pPr>
      <w:r>
        <w:t xml:space="preserve">analytics qualità;</w:t>
      </w:r>
    </w:p>
    <w:p>
      <w:pPr>
        <w:pStyle w:val="Compact"/>
        <w:numPr>
          <w:ilvl w:val="0"/>
          <w:numId w:val="1093"/>
        </w:numPr>
      </w:pPr>
      <w:r>
        <w:t xml:space="preserve">integrazioni enterprise;</w:t>
      </w:r>
    </w:p>
    <w:p>
      <w:pPr>
        <w:pStyle w:val="Compact"/>
        <w:numPr>
          <w:ilvl w:val="0"/>
          <w:numId w:val="1093"/>
        </w:numPr>
      </w:pPr>
      <w:r>
        <w:t xml:space="preserve">EHDS readiness.</w:t>
      </w:r>
    </w:p>
    <w:bookmarkEnd w:id="162"/>
    <w:bookmarkEnd w:id="163"/>
    <w:bookmarkStart w:id="164" w:name="Xc30b3545fffbd59289385db798d2a9b3cf0e0bc"/>
    <w:p>
      <w:pPr>
        <w:pStyle w:val="Heading1"/>
      </w:pPr>
      <w:r>
        <w:t xml:space="preserve">30. Allegato A — Data dictionary minimo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Obbligatorio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patient.id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sì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interno, non significativo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patient.tenant_id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sì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confine di sicurezza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patient.fiscal_code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no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validato, non PK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encounter.id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sì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episodio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encounter.status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sì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planned/in-progress/finished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clinical_entry.author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sì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professionista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clinical_entry.recorded_at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instant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sì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UTC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clinical_entry.status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sì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draft/final/amended/void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clinical_entry.version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integer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sì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concorrenza/versione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clinical_entry.hash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final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integrità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tooth.code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se applicabile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FDI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surface.code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no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superficie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document.object_id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sì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riferimento MinIO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document.mime_type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sì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verificato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document.sha256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sì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impronta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ai_result.model_version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se AI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versione esatta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provenance.source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266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sì</w:t>
            </w:r>
          </w:p>
        </w:tc>
        <w:tc>
          <w:tcPr>
            <w:tcW w:type="dxa" w:w="272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6"/>
              </w:rPr>
              <w:t>manuale/import/AI</w:t>
            </w:r>
          </w:p>
        </w:tc>
      </w:tr>
    </w:tbl>
    <w:bookmarkEnd w:id="164"/>
    <w:bookmarkStart w:id="165" w:name="X94a93838010bbcf45ff22452c6bf5ada04da13d"/>
    <w:p>
      <w:pPr>
        <w:pStyle w:val="Heading1"/>
      </w:pPr>
      <w:r>
        <w:t xml:space="preserve">31. Allegato B — Template di nota odontoiatrica</w:t>
      </w:r>
    </w:p>
    <w:p>
      <w:pPr>
        <w:pStyle w:val="SourceCode"/>
      </w:pPr>
      <w:r>
        <w:rPr>
          <w:rStyle w:val="VerbatimChar"/>
        </w:rPr>
        <w:t xml:space="preserve">DATA/ORA:</w:t>
      </w:r>
      <w:r>
        <w:br/>
      </w:r>
      <w:r>
        <w:rPr>
          <w:rStyle w:val="VerbatimChar"/>
        </w:rPr>
        <w:t xml:space="preserve">STRUTTURA:</w:t>
      </w:r>
      <w:r>
        <w:br/>
      </w:r>
      <w:r>
        <w:rPr>
          <w:rStyle w:val="VerbatimChar"/>
        </w:rPr>
        <w:t xml:space="preserve">PROFESSIONISTA:</w:t>
      </w:r>
      <w:r>
        <w:br/>
      </w:r>
      <w:r>
        <w:rPr>
          <w:rStyle w:val="VerbatimChar"/>
        </w:rPr>
        <w:t xml:space="preserve">MOTIVO DELLA VISITA:</w:t>
      </w:r>
      <w:r>
        <w:br/>
      </w:r>
      <w:r>
        <w:rPr>
          <w:rStyle w:val="VerbatimChar"/>
        </w:rPr>
        <w:t xml:space="preserve">ANAMNESI AGGIORNATA: sì/no — variazioni:</w:t>
      </w:r>
      <w:r>
        <w:br/>
      </w:r>
      <w:r>
        <w:rPr>
          <w:rStyle w:val="VerbatimChar"/>
        </w:rPr>
        <w:t xml:space="preserve">ALLERGIE/FARMACI CRITICI:</w:t>
      </w:r>
      <w:r>
        <w:br/>
      </w:r>
      <w:r>
        <w:rPr>
          <w:rStyle w:val="VerbatimChar"/>
        </w:rPr>
        <w:t xml:space="preserve">ESAME CLINICO:</w:t>
      </w:r>
      <w:r>
        <w:br/>
      </w:r>
      <w:r>
        <w:rPr>
          <w:rStyle w:val="VerbatimChar"/>
        </w:rPr>
        <w:t xml:space="preserve">IMMAGINI/ESAMI CONSULTATI:</w:t>
      </w:r>
      <w:r>
        <w:br/>
      </w:r>
      <w:r>
        <w:rPr>
          <w:rStyle w:val="VerbatimChar"/>
        </w:rPr>
        <w:t xml:space="preserve">DIAGNOSI/PROBLEMI:</w:t>
      </w:r>
      <w:r>
        <w:br/>
      </w:r>
      <w:r>
        <w:rPr>
          <w:rStyle w:val="VerbatimChar"/>
        </w:rPr>
        <w:t xml:space="preserve">ALTERNATIVE DISCUSSE:</w:t>
      </w:r>
      <w:r>
        <w:br/>
      </w:r>
      <w:r>
        <w:rPr>
          <w:rStyle w:val="VerbatimChar"/>
        </w:rPr>
        <w:t xml:space="preserve">PIANO CONCORDATO:</w:t>
      </w:r>
      <w:r>
        <w:br/>
      </w:r>
      <w:r>
        <w:rPr>
          <w:rStyle w:val="VerbatimChar"/>
        </w:rPr>
        <w:t xml:space="preserve">PROCEDURA ESEGUITA:</w:t>
      </w:r>
      <w:r>
        <w:br/>
      </w:r>
      <w:r>
        <w:rPr>
          <w:rStyle w:val="VerbatimChar"/>
        </w:rPr>
        <w:t xml:space="preserve">DENTE/SITO:</w:t>
      </w:r>
      <w:r>
        <w:br/>
      </w:r>
      <w:r>
        <w:rPr>
          <w:rStyle w:val="VerbatimChar"/>
        </w:rPr>
        <w:t xml:space="preserve">ANESTESIA E MATERIALI:</w:t>
      </w:r>
      <w:r>
        <w:br/>
      </w:r>
      <w:r>
        <w:rPr>
          <w:rStyle w:val="VerbatimChar"/>
        </w:rPr>
        <w:t xml:space="preserve">COMPLICANZE:</w:t>
      </w:r>
      <w:r>
        <w:br/>
      </w:r>
      <w:r>
        <w:rPr>
          <w:rStyle w:val="VerbatimChar"/>
        </w:rPr>
        <w:t xml:space="preserve">PRESCRIZIONI/ISTRUZIONI:</w:t>
      </w:r>
      <w:r>
        <w:br/>
      </w:r>
      <w:r>
        <w:rPr>
          <w:rStyle w:val="VerbatimChar"/>
        </w:rPr>
        <w:t xml:space="preserve">FOLLOW-UP:</w:t>
      </w:r>
      <w:r>
        <w:br/>
      </w:r>
      <w:r>
        <w:rPr>
          <w:rStyle w:val="VerbatimChar"/>
        </w:rPr>
        <w:t xml:space="preserve">CONSENSO COLLEGATO:</w:t>
      </w:r>
      <w:r>
        <w:br/>
      </w:r>
      <w:r>
        <w:rPr>
          <w:rStyle w:val="VerbatimChar"/>
        </w:rPr>
        <w:t xml:space="preserve">ALLEGATI:</w:t>
      </w:r>
      <w:r>
        <w:br/>
      </w:r>
      <w:r>
        <w:rPr>
          <w:rStyle w:val="VerbatimChar"/>
        </w:rPr>
        <w:t xml:space="preserve">FIRMA/FINALIZZAZIONE:</w:t>
      </w:r>
    </w:p>
    <w:bookmarkEnd w:id="165"/>
    <w:bookmarkStart w:id="166" w:name="Xb4b89bf4b3f319520ecef9fdc4cba966fb81567"/>
    <w:p>
      <w:pPr>
        <w:pStyle w:val="Heading1"/>
      </w:pPr>
      <w:r>
        <w:t xml:space="preserve">32. Allegato C — Registro di migrazione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tblHeader w:val="true"/>
        </w:trP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4"/>
              </w:rPr>
              <w:t>Batch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4"/>
              </w:rPr>
              <w:t>Sorgente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4"/>
              </w:rPr>
              <w:t>Pazienti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4"/>
              </w:rPr>
              <w:t>Documenti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4"/>
              </w:rPr>
              <w:t>Immagini</w:t>
            </w:r>
          </w:p>
        </w:tc>
        <w:tc>
          <w:tcPr>
            <w:tcW w:type="dxa" w:w="73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4"/>
              </w:rPr>
              <w:t>Errori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4"/>
              </w:rPr>
              <w:t>Verifica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5B70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/>
                <w:color w:val="FFFFFF"/>
                <w:sz w:val="14"/>
              </w:rPr>
              <w:t>Approvazione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MIG-001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gestionale legacy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  <w:tc>
          <w:tcPr>
            <w:tcW w:type="dxa" w:w="73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MIG-002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cartelle cartacee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  <w:tc>
          <w:tcPr>
            <w:tcW w:type="dxa" w:w="73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5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MIG-003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  <w:t>archivio radiologico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  <w:tc>
          <w:tcPr>
            <w:tcW w:type="dxa" w:w="73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keepNext w:val="0"/>
              <w:keepLines w:val="0"/>
              <w:spacing w:before="0" w:after="40"/>
            </w:pPr>
            <w:r>
              <w:rPr>
                <w:rFonts w:ascii="Carlito" w:hAnsi="Carlito"/>
                <w:b w:val="0"/>
                <w:color w:val="1E1E1E"/>
                <w:sz w:val="14"/>
              </w:rPr>
            </w:r>
          </w:p>
        </w:tc>
      </w:tr>
    </w:tbl>
    <w:bookmarkEnd w:id="166"/>
    <w:bookmarkStart w:id="167" w:name="X8ba08b8303986ecdb4e368b7208bcb50b54eabd"/>
    <w:p>
      <w:pPr>
        <w:pStyle w:val="Heading1"/>
      </w:pPr>
      <w:r>
        <w:t xml:space="preserve">33. Allegato D — Inspection readiness checklist</w:t>
      </w:r>
    </w:p>
    <w:p>
      <w:pPr>
        <w:pStyle w:val="Compact"/>
        <w:numPr>
          <w:ilvl w:val="0"/>
          <w:numId w:val="1094"/>
        </w:numPr>
      </w:pPr>
      <w:r>
        <w:t xml:space="preserve">☐ inventario sistemi e dati;</w:t>
      </w:r>
    </w:p>
    <w:p>
      <w:pPr>
        <w:pStyle w:val="Compact"/>
        <w:numPr>
          <w:ilvl w:val="0"/>
          <w:numId w:val="1094"/>
        </w:numPr>
      </w:pPr>
      <w:r>
        <w:t xml:space="preserve">☐ organigramma e deleghe;</w:t>
      </w:r>
    </w:p>
    <w:p>
      <w:pPr>
        <w:pStyle w:val="Compact"/>
        <w:numPr>
          <w:ilvl w:val="0"/>
          <w:numId w:val="1094"/>
        </w:numPr>
      </w:pPr>
      <w:r>
        <w:t xml:space="preserve">☐ RACI;</w:t>
      </w:r>
    </w:p>
    <w:p>
      <w:pPr>
        <w:pStyle w:val="Compact"/>
        <w:numPr>
          <w:ilvl w:val="0"/>
          <w:numId w:val="1094"/>
        </w:numPr>
      </w:pPr>
      <w:r>
        <w:t xml:space="preserve">☐ DPIA;</w:t>
      </w:r>
    </w:p>
    <w:p>
      <w:pPr>
        <w:pStyle w:val="Compact"/>
        <w:numPr>
          <w:ilvl w:val="0"/>
          <w:numId w:val="1094"/>
        </w:numPr>
      </w:pPr>
      <w:r>
        <w:t xml:space="preserve">☐ registro trattamenti;</w:t>
      </w:r>
    </w:p>
    <w:p>
      <w:pPr>
        <w:pStyle w:val="Compact"/>
        <w:numPr>
          <w:ilvl w:val="0"/>
          <w:numId w:val="1094"/>
        </w:numPr>
      </w:pPr>
      <w:r>
        <w:t xml:space="preserve">☐ informative;</w:t>
      </w:r>
    </w:p>
    <w:p>
      <w:pPr>
        <w:pStyle w:val="Compact"/>
        <w:numPr>
          <w:ilvl w:val="0"/>
          <w:numId w:val="1094"/>
        </w:numPr>
      </w:pPr>
      <w:r>
        <w:t xml:space="preserve">☐ DPA;</w:t>
      </w:r>
    </w:p>
    <w:p>
      <w:pPr>
        <w:pStyle w:val="Compact"/>
        <w:numPr>
          <w:ilvl w:val="0"/>
          <w:numId w:val="1094"/>
        </w:numPr>
      </w:pPr>
      <w:r>
        <w:t xml:space="preserve">☐ matrice accessi;</w:t>
      </w:r>
    </w:p>
    <w:p>
      <w:pPr>
        <w:pStyle w:val="Compact"/>
        <w:numPr>
          <w:ilvl w:val="0"/>
          <w:numId w:val="1094"/>
        </w:numPr>
      </w:pPr>
      <w:r>
        <w:t xml:space="preserve">☐ access review;</w:t>
      </w:r>
    </w:p>
    <w:p>
      <w:pPr>
        <w:pStyle w:val="Compact"/>
        <w:numPr>
          <w:ilvl w:val="0"/>
          <w:numId w:val="1094"/>
        </w:numPr>
      </w:pPr>
      <w:r>
        <w:t xml:space="preserve">☐ audit report;</w:t>
      </w:r>
    </w:p>
    <w:p>
      <w:pPr>
        <w:pStyle w:val="Compact"/>
        <w:numPr>
          <w:ilvl w:val="0"/>
          <w:numId w:val="1094"/>
        </w:numPr>
      </w:pPr>
      <w:r>
        <w:t xml:space="preserve">☐ document retention schedule;</w:t>
      </w:r>
    </w:p>
    <w:p>
      <w:pPr>
        <w:pStyle w:val="Compact"/>
        <w:numPr>
          <w:ilvl w:val="0"/>
          <w:numId w:val="1094"/>
        </w:numPr>
      </w:pPr>
      <w:r>
        <w:t xml:space="preserve">☐ firma e conservazione;</w:t>
      </w:r>
    </w:p>
    <w:p>
      <w:pPr>
        <w:pStyle w:val="Compact"/>
        <w:numPr>
          <w:ilvl w:val="0"/>
          <w:numId w:val="1094"/>
        </w:numPr>
      </w:pPr>
      <w:r>
        <w:t xml:space="preserve">☐ backup/restore evidence;</w:t>
      </w:r>
    </w:p>
    <w:p>
      <w:pPr>
        <w:pStyle w:val="Compact"/>
        <w:numPr>
          <w:ilvl w:val="0"/>
          <w:numId w:val="1094"/>
        </w:numPr>
      </w:pPr>
      <w:r>
        <w:t xml:space="preserve">☐ migration report;</w:t>
      </w:r>
    </w:p>
    <w:p>
      <w:pPr>
        <w:pStyle w:val="Compact"/>
        <w:numPr>
          <w:ilvl w:val="0"/>
          <w:numId w:val="1094"/>
        </w:numPr>
      </w:pPr>
      <w:r>
        <w:t xml:space="preserve">☐ test report;</w:t>
      </w:r>
    </w:p>
    <w:p>
      <w:pPr>
        <w:pStyle w:val="Compact"/>
        <w:numPr>
          <w:ilvl w:val="0"/>
          <w:numId w:val="1094"/>
        </w:numPr>
      </w:pPr>
      <w:r>
        <w:t xml:space="preserve">☐ training evidence;</w:t>
      </w:r>
    </w:p>
    <w:p>
      <w:pPr>
        <w:pStyle w:val="Compact"/>
        <w:numPr>
          <w:ilvl w:val="0"/>
          <w:numId w:val="1094"/>
        </w:numPr>
      </w:pPr>
      <w:r>
        <w:t xml:space="preserve">☐ incident register;</w:t>
      </w:r>
    </w:p>
    <w:p>
      <w:pPr>
        <w:pStyle w:val="Compact"/>
        <w:numPr>
          <w:ilvl w:val="0"/>
          <w:numId w:val="1094"/>
        </w:numPr>
      </w:pPr>
      <w:r>
        <w:t xml:space="preserve">☐ FSE conformance evidence;</w:t>
      </w:r>
    </w:p>
    <w:p>
      <w:pPr>
        <w:pStyle w:val="Compact"/>
        <w:numPr>
          <w:ilvl w:val="0"/>
          <w:numId w:val="1094"/>
        </w:numPr>
      </w:pPr>
      <w:r>
        <w:t xml:space="preserve">☐ AI model and output traceability;</w:t>
      </w:r>
    </w:p>
    <w:p>
      <w:pPr>
        <w:pStyle w:val="Compact"/>
        <w:numPr>
          <w:ilvl w:val="0"/>
          <w:numId w:val="1094"/>
        </w:numPr>
      </w:pPr>
      <w:r>
        <w:t xml:space="preserve">☐ release e change records.</w:t>
      </w:r>
    </w:p>
    <w:bookmarkEnd w:id="167"/>
    <w:bookmarkStart w:id="168" w:name="Xe2b4a2ca57519432df3cd572a0550c82d6da87a"/>
    <w:p>
      <w:pPr>
        <w:pStyle w:val="Heading1"/>
      </w:pPr>
      <w:r>
        <w:t xml:space="preserve">34. Conclusione</w:t>
      </w:r>
    </w:p>
    <w:p>
      <w:pPr>
        <w:pStyle w:val="FirstParagraph"/>
      </w:pPr>
      <w:r>
        <w:t xml:space="preserve">Una cartella clinica dentale è realmente digitale quando il sistema non si limita a custodire file, ma governa identità, contesto, significato, responsabilità e storia di ogni informazione.</w:t>
      </w:r>
    </w:p>
    <w:p>
      <w:pPr>
        <w:pStyle w:val="BodyText"/>
      </w:pPr>
      <w:r>
        <w:t xml:space="preserve">Per DentalCare Pro la sequenza corretta è:</w:t>
      </w:r>
    </w:p>
    <w:p>
      <w:pPr>
        <w:pStyle w:val="SourceCode"/>
      </w:pPr>
      <w:r>
        <w:rPr>
          <w:rStyle w:val="VerbatimChar"/>
        </w:rPr>
        <w:t xml:space="preserve">Governance</w:t>
      </w:r>
      <w:r>
        <w:br/>
      </w:r>
      <w:r>
        <w:rPr>
          <w:rStyle w:val="VerbatimChar"/>
        </w:rPr>
        <w:t xml:space="preserve">   -&gt; modello clinico</w:t>
      </w:r>
      <w:r>
        <w:br/>
      </w:r>
      <w:r>
        <w:rPr>
          <w:rStyle w:val="VerbatimChar"/>
        </w:rPr>
        <w:t xml:space="preserve">      -&gt; identità e accessi</w:t>
      </w:r>
      <w:r>
        <w:br/>
      </w:r>
      <w:r>
        <w:rPr>
          <w:rStyle w:val="VerbatimChar"/>
        </w:rPr>
        <w:t xml:space="preserve">         -&gt; dati strutturati e documenti</w:t>
      </w:r>
      <w:r>
        <w:br/>
      </w:r>
      <w:r>
        <w:rPr>
          <w:rStyle w:val="VerbatimChar"/>
        </w:rPr>
        <w:t xml:space="preserve">            -&gt; integrità e audit</w:t>
      </w:r>
      <w:r>
        <w:br/>
      </w:r>
      <w:r>
        <w:rPr>
          <w:rStyle w:val="VerbatimChar"/>
        </w:rPr>
        <w:t xml:space="preserve">               -&gt; immagini e interoperabilità</w:t>
      </w:r>
      <w:r>
        <w:br/>
      </w:r>
      <w:r>
        <w:rPr>
          <w:rStyle w:val="VerbatimChar"/>
        </w:rPr>
        <w:t xml:space="preserve">                  -&gt; migrazione controllata</w:t>
      </w:r>
      <w:r>
        <w:br/>
      </w:r>
      <w:r>
        <w:rPr>
          <w:rStyle w:val="VerbatimChar"/>
        </w:rPr>
        <w:t xml:space="preserve">                     -&gt; validazione clinica</w:t>
      </w:r>
      <w:r>
        <w:br/>
      </w:r>
      <w:r>
        <w:rPr>
          <w:rStyle w:val="VerbatimChar"/>
        </w:rPr>
        <w:t xml:space="preserve">                        -&gt; go-live</w:t>
      </w:r>
      <w:r>
        <w:br/>
      </w:r>
      <w:r>
        <w:rPr>
          <w:rStyle w:val="VerbatimChar"/>
        </w:rPr>
        <w:t xml:space="preserve">                           -&gt; monitoraggio e miglioramento</w:t>
      </w:r>
    </w:p>
    <w:p>
      <w:pPr>
        <w:pStyle w:val="FirstParagraph"/>
      </w:pPr>
      <w:r>
        <w:t xml:space="preserve">La priorità iniziale deve essere un nucleo clinico affidabile, semplice da usare e dimostrabile. FSE, portale, AI e automazioni devono essere costruiti sopra questo nucleo, non al suo posto.</w:t>
      </w:r>
    </w:p>
    <w:bookmarkEnd w:id="168"/>
    <w:bookmarkStart w:id="184" w:name="riferimenti-normativi-e-tecnici"/>
    <w:p>
      <w:pPr>
        <w:pStyle w:val="Heading1"/>
      </w:pPr>
      <w:r>
        <w:t xml:space="preserve">Riferimenti normativi e tecnici</w:t>
      </w:r>
    </w:p>
    <w:p>
      <w:pPr>
        <w:pStyle w:val="FirstParagraph"/>
      </w:pPr>
      <w:r>
        <w:rPr>
          <w:b/>
          <w:bCs/>
        </w:rPr>
        <w:t xml:space="preserve">[R1] Regolamento (UE) 2016/679 — GDPR</w:t>
      </w:r>
      <w:r>
        <w:br/>
      </w:r>
      <w:hyperlink r:id="rId169">
        <w:r>
          <w:rPr>
            <w:rStyle w:val="Hyperlink"/>
          </w:rPr>
          <w:t xml:space="preserve">https://eur-lex.europa.eu/eli/reg/2016/679/oj/ita</w:t>
        </w:r>
      </w:hyperlink>
    </w:p>
    <w:p>
      <w:pPr>
        <w:pStyle w:val="BodyText"/>
      </w:pPr>
      <w:r>
        <w:rPr>
          <w:b/>
          <w:bCs/>
        </w:rPr>
        <w:t xml:space="preserve">[R2] Garante — Linee guida in tema di FSE e dossier sanitario</w:t>
      </w:r>
      <w:r>
        <w:br/>
      </w:r>
      <w:hyperlink r:id="rId170">
        <w:r>
          <w:rPr>
            <w:rStyle w:val="Hyperlink"/>
          </w:rPr>
          <w:t xml:space="preserve">https://www.garanteprivacy.it/home/docweb/-/docweb-display/docweb/1634116</w:t>
        </w:r>
      </w:hyperlink>
    </w:p>
    <w:p>
      <w:pPr>
        <w:pStyle w:val="BodyText"/>
      </w:pPr>
      <w:r>
        <w:rPr>
          <w:b/>
          <w:bCs/>
        </w:rPr>
        <w:t xml:space="preserve">[R3] Garante — FAQ sul dossier sanitario</w:t>
      </w:r>
      <w:r>
        <w:br/>
      </w:r>
      <w:hyperlink r:id="rId171">
        <w:r>
          <w:rPr>
            <w:rStyle w:val="Hyperlink"/>
          </w:rPr>
          <w:t xml:space="preserve">https://www.garanteprivacy.it/faq/dossier-sanitario</w:t>
        </w:r>
      </w:hyperlink>
    </w:p>
    <w:p>
      <w:pPr>
        <w:pStyle w:val="BodyText"/>
      </w:pPr>
      <w:r>
        <w:rPr>
          <w:b/>
          <w:bCs/>
        </w:rPr>
        <w:t xml:space="preserve">[R4] Garante — Cartelle cliniche e diritto di accesso</w:t>
      </w:r>
      <w:r>
        <w:br/>
      </w:r>
      <w:hyperlink r:id="rId172">
        <w:r>
          <w:rPr>
            <w:rStyle w:val="Hyperlink"/>
          </w:rPr>
          <w:t xml:space="preserve">https://www.garanteprivacy.it/temi/sanita-e-ricerca-scientifica/cartelle-cliniche</w:t>
        </w:r>
      </w:hyperlink>
    </w:p>
    <w:p>
      <w:pPr>
        <w:pStyle w:val="BodyText"/>
      </w:pPr>
      <w:r>
        <w:rPr>
          <w:b/>
          <w:bCs/>
        </w:rPr>
        <w:t xml:space="preserve">[R5] Decreto 7 settembre 2023 — Fascicolo Sanitario Elettronico 2.0 e modifiche successive</w:t>
      </w:r>
      <w:r>
        <w:br/>
      </w:r>
      <w:hyperlink r:id="rId173">
        <w:r>
          <w:rPr>
            <w:rStyle w:val="Hyperlink"/>
          </w:rPr>
          <w:t xml:space="preserve">https://www.gazzettaufficiale.it/eli/id/2023/10/24/23A05829/sg</w:t>
        </w:r>
      </w:hyperlink>
    </w:p>
    <w:p>
      <w:pPr>
        <w:pStyle w:val="BodyText"/>
      </w:pPr>
      <w:r>
        <w:rPr>
          <w:b/>
          <w:bCs/>
        </w:rPr>
        <w:t xml:space="preserve">[R6] Ministero della salute — Supporto tecnico FSE 2.0</w:t>
      </w:r>
      <w:r>
        <w:br/>
      </w:r>
      <w:hyperlink r:id="rId174">
        <w:r>
          <w:rPr>
            <w:rStyle w:val="Hyperlink"/>
          </w:rPr>
          <w:t xml:space="preserve">https://github.com/ministero-salute/it-fse-support</w:t>
        </w:r>
      </w:hyperlink>
      <w:r>
        <w:br/>
      </w:r>
      <w:hyperlink r:id="rId175">
        <w:r>
          <w:rPr>
            <w:rStyle w:val="Hyperlink"/>
          </w:rPr>
          <w:t xml:space="preserve">https://github.com/ministero-salute/it-fse-catalogs</w:t>
        </w:r>
      </w:hyperlink>
    </w:p>
    <w:p>
      <w:pPr>
        <w:pStyle w:val="BodyText"/>
      </w:pPr>
      <w:r>
        <w:rPr>
          <w:b/>
          <w:bCs/>
        </w:rPr>
        <w:t xml:space="preserve">[R7] AgID — Gestione documentale e conservazione</w:t>
      </w:r>
      <w:r>
        <w:br/>
      </w:r>
      <w:hyperlink r:id="rId176">
        <w:r>
          <w:rPr>
            <w:rStyle w:val="Hyperlink"/>
          </w:rPr>
          <w:t xml:space="preserve">https://www.agid.gov.it/it/ambiti-intervento/gestione-documentale</w:t>
        </w:r>
      </w:hyperlink>
    </w:p>
    <w:p>
      <w:pPr>
        <w:pStyle w:val="BodyText"/>
      </w:pPr>
      <w:r>
        <w:rPr>
          <w:b/>
          <w:bCs/>
        </w:rPr>
        <w:t xml:space="preserve">[R8] AgID — Linee guida sulla formazione, gestione e conservazione dei documenti informatici</w:t>
      </w:r>
      <w:r>
        <w:br/>
      </w:r>
      <w:hyperlink r:id="rId177">
        <w:r>
          <w:rPr>
            <w:rStyle w:val="Hyperlink"/>
          </w:rPr>
          <w:t xml:space="preserve">https://www.agid.gov.it/it/linee-guida</w:t>
        </w:r>
      </w:hyperlink>
    </w:p>
    <w:p>
      <w:pPr>
        <w:pStyle w:val="BodyText"/>
      </w:pPr>
      <w:r>
        <w:rPr>
          <w:b/>
          <w:bCs/>
        </w:rPr>
        <w:t xml:space="preserve">[R9] Decreto legislativo 7 marzo 2005, n. 82 — Codice dell'amministrazione digitale</w:t>
      </w:r>
      <w:r>
        <w:br/>
      </w:r>
      <w:hyperlink r:id="rId178">
        <w:r>
          <w:rPr>
            <w:rStyle w:val="Hyperlink"/>
          </w:rPr>
          <w:t xml:space="preserve">https://www.normattiva.it/uri-res/N2Ls?urn:nir:stato:decreto.legislativo:2005-03-07;82</w:t>
        </w:r>
      </w:hyperlink>
    </w:p>
    <w:p>
      <w:pPr>
        <w:pStyle w:val="BodyText"/>
      </w:pPr>
      <w:r>
        <w:rPr>
          <w:b/>
          <w:bCs/>
        </w:rPr>
        <w:t xml:space="preserve">[R10] Regolamento (UE) 2025/327 — European Health Data Space</w:t>
      </w:r>
      <w:r>
        <w:br/>
      </w:r>
      <w:hyperlink r:id="rId179">
        <w:r>
          <w:rPr>
            <w:rStyle w:val="Hyperlink"/>
          </w:rPr>
          <w:t xml:space="preserve">https://eur-lex.europa.eu/eli/reg/2025/327/oj/ita</w:t>
        </w:r>
      </w:hyperlink>
    </w:p>
    <w:p>
      <w:pPr>
        <w:pStyle w:val="BodyText"/>
      </w:pPr>
      <w:r>
        <w:rPr>
          <w:b/>
          <w:bCs/>
        </w:rPr>
        <w:t xml:space="preserve">[R11] HL7 FHIR</w:t>
      </w:r>
      <w:r>
        <w:br/>
      </w:r>
      <w:hyperlink r:id="rId180">
        <w:r>
          <w:rPr>
            <w:rStyle w:val="Hyperlink"/>
          </w:rPr>
          <w:t xml:space="preserve">https://hl7.org/fhir/</w:t>
        </w:r>
      </w:hyperlink>
    </w:p>
    <w:p>
      <w:pPr>
        <w:pStyle w:val="BodyText"/>
      </w:pPr>
      <w:r>
        <w:rPr>
          <w:b/>
          <w:bCs/>
        </w:rPr>
        <w:t xml:space="preserve">[R12] DICOM Standard</w:t>
      </w:r>
      <w:r>
        <w:br/>
      </w:r>
      <w:hyperlink r:id="rId181">
        <w:r>
          <w:rPr>
            <w:rStyle w:val="Hyperlink"/>
          </w:rPr>
          <w:t xml:space="preserve">https://www.dicomstandard.org/current</w:t>
        </w:r>
      </w:hyperlink>
    </w:p>
    <w:p>
      <w:pPr>
        <w:pStyle w:val="BodyText"/>
      </w:pPr>
      <w:r>
        <w:rPr>
          <w:b/>
          <w:bCs/>
        </w:rPr>
        <w:t xml:space="preserve">[R13] Raccomandazione (UE) 2019/243 — European Electronic Health Record exchange format</w:t>
      </w:r>
      <w:r>
        <w:br/>
      </w:r>
      <w:hyperlink r:id="rId182">
        <w:r>
          <w:rPr>
            <w:rStyle w:val="Hyperlink"/>
          </w:rPr>
          <w:t xml:space="preserve">https://eur-lex.europa.eu/eli/reco/2019/243/oj/ita</w:t>
        </w:r>
      </w:hyperlink>
    </w:p>
    <w:p>
      <w:pPr>
        <w:pStyle w:val="BodyText"/>
      </w:pPr>
      <w:r>
        <w:rPr>
          <w:b/>
          <w:bCs/>
        </w:rPr>
        <w:t xml:space="preserve">[R14] FNOMCeO — Codice deontologico</w:t>
      </w:r>
      <w:r>
        <w:br/>
      </w:r>
      <w:hyperlink r:id="rId183">
        <w:r>
          <w:rPr>
            <w:rStyle w:val="Hyperlink"/>
          </w:rPr>
          <w:t xml:space="preserve">https://portale.fnomceo.it/codice-deontologico/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Versione del documento: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16 luglio 2026</w:t>
      </w:r>
      <w:r>
        <w:br/>
      </w:r>
      <w:r>
        <w:rPr>
          <w:b/>
          <w:bCs/>
        </w:rPr>
        <w:t xml:space="preserve">Ambito:</w:t>
      </w:r>
      <w:r>
        <w:t xml:space="preserve"> </w:t>
      </w:r>
      <w:r>
        <w:t xml:space="preserve">Italia/Unione europea — DentalCare Pro</w:t>
      </w:r>
    </w:p>
    <w:bookmarkEnd w:id="184"/>
    <w:sectPr>
      <w:headerReference r:id="rId9" w:type="default"/>
      <w:footerReference r:id="rId10" w:type="default"/>
      <w:pgSz w:h="16838" w:w="11906"/>
      <w:pgMar w:bottom="1020" w:footer="454" w:gutter="0" w:header="454" w:left="1247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/>
        <w:color w:val="5A5A5A"/>
        <w:sz w:val="16"/>
      </w:rPr>
      <w:t xml:space="preserve">DentalCare Pro  •  Guida operativa  •  </w:t>
    </w:r>
    <w:fldChar w:fldCharType="begin"/>
    <w:instrText xml:space="preserve"> PAGE </w:instrText>
    <w:fldChar w:fldCharType="end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A9C1CC"/>
      </w:pBdr>
    </w:pPr>
    <w:r>
      <w:rPr>
        <w:rFonts w:ascii="Carlito" w:hAnsi="Carlito"/>
        <w:b/>
        <w:color w:val="1F5B70"/>
        <w:sz w:val="16"/>
      </w:rPr>
      <w:t>DENTALCARE PRO  |  CARTELLA CLINICA DIGITALE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it-IT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69" w:lineRule="auto"/>
    </w:pPr>
    <w:rPr>
      <w:rFonts w:ascii="Carlito" w:hAnsi="Carlito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Carlito" w:asciiTheme="majorHAnsi" w:cstheme="majorBidi" w:eastAsiaTheme="majorEastAsia" w:hAnsi="Carlito" w:hAnsiTheme="majorHAnsi"/>
      <w:b/>
      <w:bCs/>
      <w:color w:val="12344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Carlito" w:asciiTheme="majorHAnsi" w:cstheme="majorBidi" w:eastAsiaTheme="majorEastAsia" w:hAnsi="Carlito" w:hAnsiTheme="majorHAnsi"/>
      <w:b/>
      <w:bCs/>
      <w:color w:val="1F5B7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Carlito" w:asciiTheme="majorHAnsi" w:cstheme="majorBidi" w:eastAsiaTheme="majorEastAsia" w:hAnsi="Carlito" w:hAnsiTheme="majorHAnsi"/>
      <w:b/>
      <w:bCs/>
      <w:color w:val="3A6B7C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Carlito" w:asciiTheme="majorHAnsi" w:cstheme="majorBidi" w:eastAsiaTheme="majorEastAsia" w:hAnsi="Carlito" w:hAnsiTheme="majorHAnsi"/>
      <w:b/>
      <w:bCs/>
      <w:i/>
      <w:iCs/>
      <w:color w:val="4A6572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60" w:before="0" w:line="240" w:lineRule="auto"/>
      <w:contextualSpacing/>
    </w:pPr>
    <w:rPr>
      <w:rFonts w:ascii="Carlito" w:asciiTheme="majorHAnsi" w:cstheme="majorBidi" w:eastAsiaTheme="majorEastAsia" w:hAnsi="Carlito" w:hAnsiTheme="majorHAnsi"/>
      <w:b/>
      <w:color w:val="12344D"/>
      <w:spacing w:val="5"/>
      <w:kern w:val="28"/>
      <w:sz w:val="6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 w:before="0"/>
    </w:pPr>
    <w:rPr>
      <w:rFonts w:ascii="Carlito" w:asciiTheme="majorHAnsi" w:cstheme="majorBidi" w:eastAsiaTheme="majorEastAsia" w:hAnsi="Carlito" w:hAnsiTheme="majorHAnsi"/>
      <w:b/>
      <w:i/>
      <w:iCs/>
      <w:color w:val="4A6572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Carlito" w:hAnsi="Carlito"/>
      <w:sz w:val="18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ascii="Carlito" w:hAnsi="Carlito"/>
      <w:color w:themeColor="accent1" w:themeShade="BF" w:val="365F91"/>
      <w:sz w:val="18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82" Type="http://schemas.openxmlformats.org/officeDocument/2006/relationships/hyperlink" Target="https://eur-lex.europa.eu/eli/reco/2019/243/oj/ita" TargetMode="External"/><Relationship Id="rId169" Type="http://schemas.openxmlformats.org/officeDocument/2006/relationships/hyperlink" Target="https://eur-lex.europa.eu/eli/reg/2016/679/oj/ita" TargetMode="External"/><Relationship Id="rId179" Type="http://schemas.openxmlformats.org/officeDocument/2006/relationships/hyperlink" Target="https://eur-lex.europa.eu/eli/reg/2025/327/oj/ita" TargetMode="External"/><Relationship Id="rId175" Type="http://schemas.openxmlformats.org/officeDocument/2006/relationships/hyperlink" Target="https://github.com/ministero-salute/it-fse-catalogs" TargetMode="External"/><Relationship Id="rId174" Type="http://schemas.openxmlformats.org/officeDocument/2006/relationships/hyperlink" Target="https://github.com/ministero-salute/it-fse-support" TargetMode="External"/><Relationship Id="rId180" Type="http://schemas.openxmlformats.org/officeDocument/2006/relationships/hyperlink" Target="https://hl7.org/fhir/" TargetMode="External"/><Relationship Id="rId183" Type="http://schemas.openxmlformats.org/officeDocument/2006/relationships/hyperlink" Target="https://portale.fnomceo.it/codice-deontologico/" TargetMode="External"/><Relationship Id="rId176" Type="http://schemas.openxmlformats.org/officeDocument/2006/relationships/hyperlink" Target="https://www.agid.gov.it/it/ambiti-intervento/gestione-documentale" TargetMode="External"/><Relationship Id="rId177" Type="http://schemas.openxmlformats.org/officeDocument/2006/relationships/hyperlink" Target="https://www.agid.gov.it/it/linee-guida" TargetMode="External"/><Relationship Id="rId181" Type="http://schemas.openxmlformats.org/officeDocument/2006/relationships/hyperlink" Target="https://www.dicomstandard.org/current" TargetMode="External"/><Relationship Id="rId171" Type="http://schemas.openxmlformats.org/officeDocument/2006/relationships/hyperlink" Target="https://www.garanteprivacy.it/faq/dossier-sanitario" TargetMode="External"/><Relationship Id="rId170" Type="http://schemas.openxmlformats.org/officeDocument/2006/relationships/hyperlink" Target="https://www.garanteprivacy.it/home/docweb/-/docweb-display/docweb/1634116" TargetMode="External"/><Relationship Id="rId172" Type="http://schemas.openxmlformats.org/officeDocument/2006/relationships/hyperlink" Target="https://www.garanteprivacy.it/temi/sanita-e-ricerca-scientifica/cartelle-cliniche" TargetMode="External"/><Relationship Id="rId173" Type="http://schemas.openxmlformats.org/officeDocument/2006/relationships/hyperlink" Target="https://www.gazzettaufficiale.it/eli/id/2023/10/24/23A05829/sg" TargetMode="External"/><Relationship Id="rId178" Type="http://schemas.openxmlformats.org/officeDocument/2006/relationships/hyperlink" Target="https://www.normattiva.it/uri-res/N2Ls?urn:nir:stato:decreto.legislativo:2005-03-07;82" TargetMode="External"/></Relationships>
</file>

<file path=word/_rels/footnotes.xml.rels><?xml version='1.0' encoding='UTF-8' standalone='yes'?>
<Relationships xmlns="http://schemas.openxmlformats.org/package/2006/relationships"><Relationship Id="rId182" Type="http://schemas.openxmlformats.org/officeDocument/2006/relationships/hyperlink" Target="https://eur-lex.europa.eu/eli/reco/2019/243/oj/ita" TargetMode="External"/><Relationship Id="rId169" Type="http://schemas.openxmlformats.org/officeDocument/2006/relationships/hyperlink" Target="https://eur-lex.europa.eu/eli/reg/2016/679/oj/ita" TargetMode="External"/><Relationship Id="rId179" Type="http://schemas.openxmlformats.org/officeDocument/2006/relationships/hyperlink" Target="https://eur-lex.europa.eu/eli/reg/2025/327/oj/ita" TargetMode="External"/><Relationship Id="rId175" Type="http://schemas.openxmlformats.org/officeDocument/2006/relationships/hyperlink" Target="https://github.com/ministero-salute/it-fse-catalogs" TargetMode="External"/><Relationship Id="rId174" Type="http://schemas.openxmlformats.org/officeDocument/2006/relationships/hyperlink" Target="https://github.com/ministero-salute/it-fse-support" TargetMode="External"/><Relationship Id="rId180" Type="http://schemas.openxmlformats.org/officeDocument/2006/relationships/hyperlink" Target="https://hl7.org/fhir/" TargetMode="External"/><Relationship Id="rId183" Type="http://schemas.openxmlformats.org/officeDocument/2006/relationships/hyperlink" Target="https://portale.fnomceo.it/codice-deontologico/" TargetMode="External"/><Relationship Id="rId176" Type="http://schemas.openxmlformats.org/officeDocument/2006/relationships/hyperlink" Target="https://www.agid.gov.it/it/ambiti-intervento/gestione-documentale" TargetMode="External"/><Relationship Id="rId177" Type="http://schemas.openxmlformats.org/officeDocument/2006/relationships/hyperlink" Target="https://www.agid.gov.it/it/linee-guida" TargetMode="External"/><Relationship Id="rId181" Type="http://schemas.openxmlformats.org/officeDocument/2006/relationships/hyperlink" Target="https://www.dicomstandard.org/current" TargetMode="External"/><Relationship Id="rId171" Type="http://schemas.openxmlformats.org/officeDocument/2006/relationships/hyperlink" Target="https://www.garanteprivacy.it/faq/dossier-sanitario" TargetMode="External"/><Relationship Id="rId170" Type="http://schemas.openxmlformats.org/officeDocument/2006/relationships/hyperlink" Target="https://www.garanteprivacy.it/home/docweb/-/docweb-display/docweb/1634116" TargetMode="External"/><Relationship Id="rId172" Type="http://schemas.openxmlformats.org/officeDocument/2006/relationships/hyperlink" Target="https://www.garanteprivacy.it/temi/sanita-e-ricerca-scientifica/cartelle-cliniche" TargetMode="External"/><Relationship Id="rId173" Type="http://schemas.openxmlformats.org/officeDocument/2006/relationships/hyperlink" Target="https://www.gazzettaufficiale.it/eli/id/2023/10/24/23A05829/sg" TargetMode="External"/><Relationship Id="rId178" Type="http://schemas.openxmlformats.org/officeDocument/2006/relationships/hyperlink" Target="https://www.normattiva.it/uri-res/N2Ls?urn:nir:stato:decreto.legislativo:2005-03-07;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DentalCare Pro — Guida alla digitalizzazione della cartella clinica dentale</dc:title>
  <dc:creator/>
  <dc:language>it-IT</dc:language>
  <cp:keywords>cartella clinica odontoiatrica, digitalizzazione, GDPR, FSE 2.0, DICOM, FHIR</cp:keywords>
  <dcterms:created xsi:type="dcterms:W3CDTF">2026-07-16T13:53:13Z</dcterms:created>
  <dcterms:modified xsi:type="dcterms:W3CDTF">2026-07-16T13:53:13Z</dcterms:modified>
  <dc:subject>Manuale clinico, normativo e tecnico</dc:subject>
</cp:coreProperties>
</file>