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595959"/>
          <w:sz w:val="36"/>
          <w:szCs w:val="27"/>
          <w:u w:val="single"/>
          <w:lang w:val="en-US" w:eastAsia="es-AR"/>
        </w:rPr>
      </w:pPr>
      <w:proofErr w:type="gramStart"/>
      <w:r w:rsidRPr="00736A71">
        <w:rPr>
          <w:rFonts w:ascii="Arial" w:eastAsia="Times New Roman" w:hAnsi="Arial" w:cs="Arial"/>
          <w:b/>
          <w:bCs/>
          <w:color w:val="595959"/>
          <w:sz w:val="36"/>
          <w:szCs w:val="27"/>
          <w:u w:val="single"/>
          <w:lang w:val="en-US" w:eastAsia="es-AR"/>
        </w:rPr>
        <w:t>rpart</w:t>
      </w:r>
      <w:proofErr w:type="gramEnd"/>
    </w:p>
    <w:p w:rsidR="00DC17F4" w:rsidRDefault="00DC17F4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595959"/>
          <w:sz w:val="36"/>
          <w:szCs w:val="27"/>
          <w:u w:val="single"/>
          <w:lang w:val="en-US" w:eastAsia="es-AR"/>
        </w:rPr>
      </w:pPr>
    </w:p>
    <w:p w:rsidR="00DC17F4" w:rsidRPr="00DC17F4" w:rsidRDefault="00DC17F4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595959"/>
          <w:sz w:val="36"/>
          <w:szCs w:val="27"/>
          <w:u w:val="single"/>
          <w:lang w:val="en-US" w:eastAsia="es-AR"/>
        </w:rPr>
      </w:pPr>
      <w:proofErr w:type="gramStart"/>
      <w:r w:rsidRPr="00DC17F4">
        <w:rPr>
          <w:rFonts w:ascii="Courier New" w:hAnsi="Courier New" w:cs="Courier New"/>
          <w:sz w:val="25"/>
          <w:szCs w:val="25"/>
          <w:lang w:val="en-US"/>
        </w:rPr>
        <w:t>rpart(</w:t>
      </w:r>
      <w:proofErr w:type="gramEnd"/>
      <w:r w:rsidRPr="00DC17F4">
        <w:rPr>
          <w:rFonts w:ascii="Courier New" w:hAnsi="Courier New" w:cs="Courier New"/>
          <w:sz w:val="25"/>
          <w:szCs w:val="25"/>
          <w:lang w:val="en-US"/>
        </w:rPr>
        <w:t>formula, data, method, parms,</w:t>
      </w:r>
      <w:r>
        <w:rPr>
          <w:rFonts w:ascii="Courier New" w:hAnsi="Courier New" w:cs="Courier New"/>
          <w:sz w:val="25"/>
          <w:szCs w:val="25"/>
          <w:lang w:val="en-US"/>
        </w:rPr>
        <w:t xml:space="preserve"> </w:t>
      </w:r>
      <w:r w:rsidRPr="00DC17F4">
        <w:rPr>
          <w:rFonts w:ascii="Courier New" w:hAnsi="Courier New" w:cs="Courier New"/>
          <w:sz w:val="25"/>
          <w:szCs w:val="25"/>
          <w:lang w:val="en-US"/>
        </w:rPr>
        <w:t>na.action = na.rpart, control, ...)</w:t>
      </w:r>
    </w:p>
    <w:p w:rsidR="00736A71" w:rsidRDefault="00736A71" w:rsidP="00736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6A71" w:rsidRPr="00736A71" w:rsidRDefault="00736A71" w:rsidP="00736A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  <w:proofErr w:type="gramStart"/>
      <w:r w:rsidRPr="00736A71">
        <w:rPr>
          <w:rFonts w:ascii="Courier New" w:hAnsi="Courier New" w:cs="Courier New"/>
          <w:sz w:val="20"/>
          <w:lang w:val="en-US"/>
        </w:rPr>
        <w:t>formula</w:t>
      </w:r>
      <w:proofErr w:type="gramEnd"/>
      <w:r w:rsidRPr="00736A71">
        <w:rPr>
          <w:rFonts w:ascii="Courier New" w:hAnsi="Courier New" w:cs="Courier New"/>
          <w:sz w:val="20"/>
          <w:lang w:val="en-US"/>
        </w:rPr>
        <w:t>:</w:t>
      </w:r>
      <w:r w:rsidRPr="00736A71">
        <w:rPr>
          <w:rFonts w:ascii="Arial" w:hAnsi="Arial" w:cs="Arial"/>
          <w:sz w:val="20"/>
          <w:lang w:val="en-US"/>
        </w:rPr>
        <w:t xml:space="preserve"> the model formula, as in lm and other R model _tting functions. The right</w:t>
      </w:r>
    </w:p>
    <w:p w:rsidR="00736A71" w:rsidRDefault="00736A71" w:rsidP="00736A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lang w:val="en-US"/>
        </w:rPr>
      </w:pPr>
      <w:proofErr w:type="gramStart"/>
      <w:r w:rsidRPr="00736A71">
        <w:rPr>
          <w:rFonts w:ascii="Arial" w:hAnsi="Arial" w:cs="Arial"/>
          <w:sz w:val="20"/>
          <w:lang w:val="en-US"/>
        </w:rPr>
        <w:t>hand</w:t>
      </w:r>
      <w:proofErr w:type="gramEnd"/>
      <w:r w:rsidRPr="00736A71">
        <w:rPr>
          <w:rFonts w:ascii="Arial" w:hAnsi="Arial" w:cs="Arial"/>
          <w:sz w:val="20"/>
          <w:lang w:val="en-US"/>
        </w:rPr>
        <w:t xml:space="preserve"> side may contain both continuous and categorical (factor) terms. If the outcome</w:t>
      </w:r>
      <w:r w:rsidRPr="00736A71">
        <w:rPr>
          <w:rFonts w:ascii="Arial" w:hAnsi="Arial" w:cs="Arial"/>
          <w:sz w:val="20"/>
          <w:lang w:val="en-US"/>
        </w:rPr>
        <w:t xml:space="preserve"> </w:t>
      </w:r>
      <w:r w:rsidRPr="00736A71">
        <w:rPr>
          <w:rFonts w:ascii="Arial" w:hAnsi="Arial" w:cs="Arial"/>
          <w:sz w:val="20"/>
          <w:lang w:val="en-US"/>
        </w:rPr>
        <w:t>y has more than two levels, then categorical predictors must be _t by exhaustive</w:t>
      </w:r>
      <w:r w:rsidRPr="00736A71">
        <w:rPr>
          <w:rFonts w:ascii="Arial" w:hAnsi="Arial" w:cs="Arial"/>
          <w:sz w:val="20"/>
          <w:lang w:val="en-US"/>
        </w:rPr>
        <w:t xml:space="preserve"> </w:t>
      </w:r>
      <w:r w:rsidRPr="00736A71">
        <w:rPr>
          <w:rFonts w:ascii="Arial" w:hAnsi="Arial" w:cs="Arial"/>
          <w:sz w:val="20"/>
          <w:lang w:val="en-US"/>
        </w:rPr>
        <w:t>enumeration, which can take a very long time.</w:t>
      </w:r>
    </w:p>
    <w:p w:rsidR="00736A71" w:rsidRPr="00736A71" w:rsidRDefault="00736A71" w:rsidP="00736A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lang w:val="en-US"/>
        </w:rPr>
      </w:pPr>
    </w:p>
    <w:p w:rsidR="00736A71" w:rsidRDefault="00736A71" w:rsidP="00736A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  <w:proofErr w:type="gramStart"/>
      <w:r w:rsidRPr="00736A71">
        <w:rPr>
          <w:rFonts w:ascii="Courier New" w:hAnsi="Courier New" w:cs="Courier New"/>
          <w:sz w:val="20"/>
          <w:lang w:val="en-US"/>
        </w:rPr>
        <w:t>data</w:t>
      </w:r>
      <w:proofErr w:type="gramEnd"/>
      <w:r w:rsidRPr="00736A71">
        <w:rPr>
          <w:rFonts w:ascii="Courier New" w:hAnsi="Courier New" w:cs="Courier New"/>
          <w:sz w:val="20"/>
          <w:lang w:val="en-US"/>
        </w:rPr>
        <w:t>, weights, subset:</w:t>
      </w:r>
      <w:r w:rsidRPr="00736A71">
        <w:rPr>
          <w:rFonts w:ascii="Arial" w:hAnsi="Arial" w:cs="Arial"/>
          <w:sz w:val="20"/>
          <w:lang w:val="en-US"/>
        </w:rPr>
        <w:t xml:space="preserve"> as for other R models.</w:t>
      </w:r>
    </w:p>
    <w:p w:rsidR="00736A71" w:rsidRPr="00736A71" w:rsidRDefault="00736A71" w:rsidP="00736A7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</w:p>
    <w:p w:rsidR="00736A71" w:rsidRPr="00EC1596" w:rsidRDefault="00736A71" w:rsidP="00736A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lang w:val="en-US"/>
        </w:rPr>
      </w:pPr>
      <w:proofErr w:type="gramStart"/>
      <w:r w:rsidRPr="00736A71">
        <w:rPr>
          <w:rFonts w:ascii="Courier New" w:hAnsi="Courier New" w:cs="Courier New"/>
          <w:sz w:val="20"/>
          <w:lang w:val="en-US"/>
        </w:rPr>
        <w:t>method</w:t>
      </w:r>
      <w:proofErr w:type="gramEnd"/>
      <w:r w:rsidRPr="00736A71">
        <w:rPr>
          <w:rFonts w:ascii="Courier New" w:hAnsi="Courier New" w:cs="Courier New"/>
          <w:sz w:val="20"/>
          <w:lang w:val="en-US"/>
        </w:rPr>
        <w:t>:</w:t>
      </w:r>
      <w:r w:rsidRPr="00736A71">
        <w:rPr>
          <w:rFonts w:ascii="Arial" w:hAnsi="Arial" w:cs="Arial"/>
          <w:sz w:val="20"/>
          <w:lang w:val="en-US"/>
        </w:rPr>
        <w:t xml:space="preserve"> the type of splitting rule to use. Options at this point are </w:t>
      </w:r>
      <w:r w:rsidRPr="00EC1596">
        <w:rPr>
          <w:rFonts w:ascii="Arial" w:hAnsi="Arial" w:cs="Arial"/>
          <w:b/>
          <w:sz w:val="20"/>
          <w:lang w:val="en-US"/>
        </w:rPr>
        <w:t>classication,</w:t>
      </w:r>
      <w:r w:rsidRPr="00EC1596">
        <w:rPr>
          <w:rFonts w:ascii="Arial" w:hAnsi="Arial" w:cs="Arial"/>
          <w:b/>
          <w:sz w:val="20"/>
          <w:lang w:val="en-US"/>
        </w:rPr>
        <w:t xml:space="preserve"> </w:t>
      </w:r>
      <w:r w:rsidRPr="00EC1596">
        <w:rPr>
          <w:rFonts w:ascii="Arial" w:hAnsi="Arial" w:cs="Arial"/>
          <w:b/>
          <w:sz w:val="20"/>
          <w:lang w:val="en-US"/>
        </w:rPr>
        <w:t>anova, Poisson, and exponential.</w:t>
      </w:r>
    </w:p>
    <w:p w:rsidR="00736A71" w:rsidRPr="00736A71" w:rsidRDefault="00736A71" w:rsidP="00736A71">
      <w:pPr>
        <w:pStyle w:val="Prrafodelista"/>
        <w:rPr>
          <w:rFonts w:ascii="Arial" w:hAnsi="Arial" w:cs="Arial"/>
          <w:sz w:val="20"/>
          <w:lang w:val="en-US"/>
        </w:rPr>
      </w:pPr>
    </w:p>
    <w:p w:rsidR="00736A71" w:rsidRPr="004D1DF3" w:rsidRDefault="00736A71" w:rsidP="00736A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</w:rPr>
      </w:pPr>
      <w:proofErr w:type="gramStart"/>
      <w:r w:rsidRPr="00EC1596">
        <w:rPr>
          <w:rFonts w:ascii="Courier New" w:hAnsi="Courier New" w:cs="Courier New"/>
          <w:sz w:val="20"/>
          <w:lang w:val="en-US"/>
        </w:rPr>
        <w:t>parms</w:t>
      </w:r>
      <w:proofErr w:type="gramEnd"/>
      <w:r w:rsidRPr="00EC1596">
        <w:rPr>
          <w:rFonts w:ascii="Arial" w:hAnsi="Arial" w:cs="Arial"/>
          <w:sz w:val="20"/>
          <w:lang w:val="en-US"/>
        </w:rPr>
        <w:t>: a list of method speci_c optional parameters. For classi_cation, the list can</w:t>
      </w:r>
      <w:r w:rsidRPr="00EC1596">
        <w:rPr>
          <w:rFonts w:ascii="Arial" w:hAnsi="Arial" w:cs="Arial"/>
          <w:sz w:val="20"/>
          <w:lang w:val="en-US"/>
        </w:rPr>
        <w:t xml:space="preserve"> </w:t>
      </w:r>
      <w:r w:rsidRPr="00EC1596">
        <w:rPr>
          <w:rFonts w:ascii="Arial" w:hAnsi="Arial" w:cs="Arial"/>
          <w:sz w:val="20"/>
          <w:lang w:val="en-US"/>
        </w:rPr>
        <w:t>contain any of: the vector of prior probabilities (component prior), the loss matrix</w:t>
      </w:r>
      <w:r w:rsidRPr="00EC1596">
        <w:rPr>
          <w:rFonts w:ascii="Arial" w:hAnsi="Arial" w:cs="Arial"/>
          <w:sz w:val="20"/>
          <w:lang w:val="en-US"/>
        </w:rPr>
        <w:t xml:space="preserve"> </w:t>
      </w:r>
      <w:r w:rsidRPr="00EC1596">
        <w:rPr>
          <w:rFonts w:ascii="Arial" w:hAnsi="Arial" w:cs="Arial"/>
          <w:sz w:val="20"/>
          <w:lang w:val="en-US"/>
        </w:rPr>
        <w:t>(component loss) or the splitting index (component split). The priors must be</w:t>
      </w:r>
      <w:r w:rsidR="00EC1596" w:rsidRPr="00EC1596">
        <w:rPr>
          <w:rFonts w:ascii="Arial" w:hAnsi="Arial" w:cs="Arial"/>
          <w:sz w:val="20"/>
          <w:lang w:val="en-US"/>
        </w:rPr>
        <w:t xml:space="preserve"> </w:t>
      </w:r>
      <w:r w:rsidRPr="00EC1596">
        <w:rPr>
          <w:rFonts w:ascii="Arial" w:hAnsi="Arial" w:cs="Arial"/>
          <w:sz w:val="20"/>
          <w:lang w:val="en-US"/>
        </w:rPr>
        <w:t>positive and sum to 1. The loss matrix must have zeros on the diagonal and positive</w:t>
      </w:r>
      <w:r w:rsidRPr="00EC1596">
        <w:rPr>
          <w:rFonts w:ascii="Arial" w:hAnsi="Arial" w:cs="Arial"/>
          <w:sz w:val="20"/>
          <w:lang w:val="en-US"/>
        </w:rPr>
        <w:t xml:space="preserve"> </w:t>
      </w:r>
      <w:r w:rsidRPr="00EC1596">
        <w:rPr>
          <w:rFonts w:ascii="Arial" w:hAnsi="Arial" w:cs="Arial"/>
          <w:sz w:val="20"/>
          <w:lang w:val="en-US"/>
        </w:rPr>
        <w:t xml:space="preserve">o_-diagonal elements. </w:t>
      </w:r>
      <w:r w:rsidRPr="00EC1596">
        <w:rPr>
          <w:rFonts w:ascii="Arial" w:hAnsi="Arial" w:cs="Arial"/>
          <w:b/>
          <w:sz w:val="20"/>
          <w:lang w:val="en-US"/>
        </w:rPr>
        <w:t>The splitting index can be "gini" or "information"</w:t>
      </w:r>
      <w:r w:rsidRPr="00EC1596">
        <w:rPr>
          <w:rFonts w:ascii="Arial" w:hAnsi="Arial" w:cs="Arial"/>
          <w:sz w:val="20"/>
          <w:lang w:val="en-US"/>
        </w:rPr>
        <w:t>.</w:t>
      </w:r>
      <w:r w:rsidR="004D1DF3">
        <w:rPr>
          <w:rFonts w:ascii="Arial" w:hAnsi="Arial" w:cs="Arial"/>
          <w:sz w:val="20"/>
          <w:lang w:val="en-US"/>
        </w:rPr>
        <w:t xml:space="preserve"> </w:t>
      </w:r>
      <w:r w:rsidR="004D1DF3" w:rsidRPr="004D1DF3">
        <w:rPr>
          <w:rFonts w:ascii="Arial" w:hAnsi="Arial" w:cs="Arial"/>
          <w:sz w:val="20"/>
        </w:rPr>
        <w:t xml:space="preserve">Va con una LISTA: ejemplo </w:t>
      </w:r>
      <w:bookmarkStart w:id="0" w:name="_GoBack"/>
      <w:r w:rsidR="004D1DF3">
        <w:rPr>
          <w:rFonts w:ascii="Courier New" w:hAnsi="Courier New" w:cs="Courier New"/>
        </w:rPr>
        <w:t>parms = list(prior = c(.65,.35), split = "information"))</w:t>
      </w:r>
      <w:bookmarkEnd w:id="0"/>
    </w:p>
    <w:p w:rsidR="00736A71" w:rsidRPr="004D1DF3" w:rsidRDefault="00736A71" w:rsidP="00736A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</w:rPr>
      </w:pPr>
    </w:p>
    <w:p w:rsidR="00736A71" w:rsidRPr="00EC1596" w:rsidRDefault="00736A71" w:rsidP="00736A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lang w:val="en-US"/>
        </w:rPr>
      </w:pPr>
      <w:r w:rsidRPr="00736A71">
        <w:rPr>
          <w:rFonts w:ascii="Courier New" w:hAnsi="Courier New" w:cs="Courier New"/>
          <w:sz w:val="20"/>
          <w:lang w:val="en-US"/>
        </w:rPr>
        <w:t>na.action</w:t>
      </w:r>
      <w:r w:rsidRPr="00736A71">
        <w:rPr>
          <w:rFonts w:ascii="Arial" w:hAnsi="Arial" w:cs="Arial"/>
          <w:sz w:val="20"/>
          <w:lang w:val="en-US"/>
        </w:rPr>
        <w:t>: the action for missing values. The default action for rpart is na.rpart,</w:t>
      </w:r>
      <w:r w:rsidRPr="00736A71">
        <w:rPr>
          <w:rFonts w:ascii="Arial" w:hAnsi="Arial" w:cs="Arial"/>
          <w:sz w:val="20"/>
          <w:lang w:val="en-US"/>
        </w:rPr>
        <w:t xml:space="preserve"> </w:t>
      </w:r>
      <w:r w:rsidRPr="00736A71">
        <w:rPr>
          <w:rFonts w:ascii="Arial" w:hAnsi="Arial" w:cs="Arial"/>
          <w:sz w:val="20"/>
          <w:lang w:val="en-US"/>
        </w:rPr>
        <w:t xml:space="preserve">this default is not overridden by the </w:t>
      </w:r>
      <w:proofErr w:type="gramStart"/>
      <w:r w:rsidRPr="00736A71">
        <w:rPr>
          <w:rFonts w:ascii="Arial" w:hAnsi="Arial" w:cs="Arial"/>
          <w:sz w:val="20"/>
          <w:lang w:val="en-US"/>
        </w:rPr>
        <w:t>options(</w:t>
      </w:r>
      <w:proofErr w:type="gramEnd"/>
      <w:r w:rsidRPr="00736A71">
        <w:rPr>
          <w:rFonts w:ascii="Arial" w:hAnsi="Arial" w:cs="Arial"/>
          <w:sz w:val="20"/>
          <w:lang w:val="en-US"/>
        </w:rPr>
        <w:t>na.action) global option. The default</w:t>
      </w:r>
      <w:r w:rsidRPr="00736A71">
        <w:rPr>
          <w:rFonts w:ascii="Arial" w:hAnsi="Arial" w:cs="Arial"/>
          <w:sz w:val="20"/>
          <w:lang w:val="en-US"/>
        </w:rPr>
        <w:t xml:space="preserve"> </w:t>
      </w:r>
      <w:r w:rsidRPr="00736A71">
        <w:rPr>
          <w:rFonts w:ascii="Arial" w:hAnsi="Arial" w:cs="Arial"/>
          <w:sz w:val="20"/>
          <w:lang w:val="en-US"/>
        </w:rPr>
        <w:t>action removes only those rows for which either the response y or all of the predictors</w:t>
      </w:r>
      <w:r w:rsidRPr="00736A71">
        <w:rPr>
          <w:rFonts w:ascii="Arial" w:hAnsi="Arial" w:cs="Arial"/>
          <w:sz w:val="20"/>
          <w:lang w:val="en-US"/>
        </w:rPr>
        <w:t xml:space="preserve"> </w:t>
      </w:r>
      <w:r w:rsidRPr="00736A71">
        <w:rPr>
          <w:rFonts w:ascii="Arial" w:hAnsi="Arial" w:cs="Arial"/>
          <w:sz w:val="20"/>
          <w:lang w:val="en-US"/>
        </w:rPr>
        <w:t>are missing.</w:t>
      </w:r>
      <w:r w:rsidRPr="00EC1596">
        <w:rPr>
          <w:rFonts w:ascii="Arial" w:hAnsi="Arial" w:cs="Arial"/>
          <w:b/>
          <w:sz w:val="20"/>
          <w:lang w:val="en-US"/>
        </w:rPr>
        <w:t xml:space="preserve"> This ability to retain partially missing observations is perhaps the single</w:t>
      </w:r>
      <w:r w:rsidRPr="00EC1596">
        <w:rPr>
          <w:rFonts w:ascii="Arial" w:hAnsi="Arial" w:cs="Arial"/>
          <w:b/>
          <w:sz w:val="20"/>
          <w:lang w:val="en-US"/>
        </w:rPr>
        <w:t xml:space="preserve"> </w:t>
      </w:r>
      <w:r w:rsidRPr="00EC1596">
        <w:rPr>
          <w:rFonts w:ascii="Arial" w:hAnsi="Arial" w:cs="Arial"/>
          <w:b/>
          <w:sz w:val="20"/>
          <w:lang w:val="en-US"/>
        </w:rPr>
        <w:t>most useful feature of rpart models.</w:t>
      </w:r>
    </w:p>
    <w:p w:rsidR="00736A71" w:rsidRPr="00736A71" w:rsidRDefault="00736A71" w:rsidP="00736A7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</w:p>
    <w:p w:rsidR="00736A71" w:rsidRPr="00736A71" w:rsidRDefault="00736A71" w:rsidP="00736A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  <w:r w:rsidRPr="00736A71">
        <w:rPr>
          <w:rFonts w:ascii="Courier New" w:hAnsi="Courier New" w:cs="Courier New"/>
          <w:sz w:val="20"/>
          <w:lang w:val="en-US"/>
        </w:rPr>
        <w:t>control</w:t>
      </w:r>
      <w:r w:rsidRPr="00736A71">
        <w:rPr>
          <w:rFonts w:ascii="Arial" w:hAnsi="Arial" w:cs="Arial"/>
          <w:sz w:val="20"/>
          <w:lang w:val="en-US"/>
        </w:rPr>
        <w:t>: a list of control parameters, usually the result of the rpart.control function.</w:t>
      </w:r>
      <w:r w:rsidR="004D1DF3">
        <w:rPr>
          <w:rFonts w:ascii="Arial" w:hAnsi="Arial" w:cs="Arial"/>
          <w:sz w:val="20"/>
          <w:lang w:val="en-US"/>
        </w:rPr>
        <w:t xml:space="preserve">(EJEMPLO: </w:t>
      </w:r>
      <w:r w:rsidR="004D1DF3" w:rsidRPr="004D1DF3">
        <w:rPr>
          <w:rFonts w:ascii="Courier New" w:hAnsi="Courier New" w:cs="Courier New"/>
          <w:lang w:val="en-US"/>
        </w:rPr>
        <w:t>rpart.control(cp = 0.05))</w:t>
      </w:r>
    </w:p>
    <w:p w:rsidR="00736A71" w:rsidRPr="00736A71" w:rsidRDefault="00736A71" w:rsidP="00736A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lang w:val="en-US"/>
        </w:rPr>
      </w:pPr>
      <w:r w:rsidRPr="00736A71">
        <w:rPr>
          <w:rFonts w:ascii="Arial" w:hAnsi="Arial" w:cs="Arial"/>
          <w:sz w:val="20"/>
          <w:lang w:val="en-US"/>
        </w:rPr>
        <w:t>The list must contain</w:t>
      </w:r>
      <w:r w:rsidRPr="00736A71">
        <w:rPr>
          <w:rFonts w:ascii="Arial" w:hAnsi="Arial" w:cs="Arial"/>
          <w:sz w:val="20"/>
          <w:lang w:val="en-US"/>
        </w:rPr>
        <w:t xml:space="preserve"> </w:t>
      </w:r>
    </w:p>
    <w:p w:rsidR="00736A71" w:rsidRPr="00EC1596" w:rsidRDefault="00736A71" w:rsidP="00736A7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/>
          <w:sz w:val="20"/>
          <w:lang w:val="en-US"/>
        </w:rPr>
      </w:pPr>
      <w:proofErr w:type="gramStart"/>
      <w:r w:rsidRPr="00736A71">
        <w:rPr>
          <w:rFonts w:ascii="Courier New" w:hAnsi="Courier New" w:cs="Courier New"/>
          <w:sz w:val="20"/>
          <w:lang w:val="en-US"/>
        </w:rPr>
        <w:t>minsplit</w:t>
      </w:r>
      <w:proofErr w:type="gramEnd"/>
      <w:r w:rsidRPr="00736A71">
        <w:rPr>
          <w:rFonts w:ascii="Arial" w:hAnsi="Arial" w:cs="Arial"/>
          <w:sz w:val="20"/>
          <w:lang w:val="en-US"/>
        </w:rPr>
        <w:t>: The minimum number of observations in a node for which the routine</w:t>
      </w:r>
      <w:r w:rsidRPr="00736A71">
        <w:rPr>
          <w:rFonts w:ascii="Arial" w:hAnsi="Arial" w:cs="Arial"/>
          <w:sz w:val="20"/>
          <w:lang w:val="en-US"/>
        </w:rPr>
        <w:t xml:space="preserve"> </w:t>
      </w:r>
      <w:r w:rsidRPr="00736A71">
        <w:rPr>
          <w:rFonts w:ascii="Arial" w:hAnsi="Arial" w:cs="Arial"/>
          <w:sz w:val="20"/>
          <w:lang w:val="en-US"/>
        </w:rPr>
        <w:t>will even try to compute a split. The default is 20.</w:t>
      </w:r>
      <w:r w:rsidRPr="00EC1596">
        <w:rPr>
          <w:rFonts w:ascii="Arial" w:hAnsi="Arial" w:cs="Arial"/>
          <w:b/>
          <w:sz w:val="20"/>
          <w:lang w:val="en-US"/>
        </w:rPr>
        <w:t xml:space="preserve"> This parameter can save</w:t>
      </w:r>
      <w:r w:rsidRPr="00EC1596">
        <w:rPr>
          <w:rFonts w:ascii="Arial" w:hAnsi="Arial" w:cs="Arial"/>
          <w:b/>
          <w:sz w:val="20"/>
          <w:lang w:val="en-US"/>
        </w:rPr>
        <w:t xml:space="preserve"> </w:t>
      </w:r>
      <w:r w:rsidRPr="00EC1596">
        <w:rPr>
          <w:rFonts w:ascii="Arial" w:hAnsi="Arial" w:cs="Arial"/>
          <w:b/>
          <w:sz w:val="20"/>
          <w:lang w:val="en-US"/>
        </w:rPr>
        <w:t>computation time, since smaller nodes are almost always pruned away by crossvalidation.</w:t>
      </w:r>
    </w:p>
    <w:p w:rsidR="00736A71" w:rsidRPr="00EC1596" w:rsidRDefault="00736A71" w:rsidP="00736A7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lang w:val="en-US"/>
        </w:rPr>
      </w:pPr>
      <w:proofErr w:type="gramStart"/>
      <w:r w:rsidRPr="00736A71">
        <w:rPr>
          <w:rFonts w:ascii="Courier New" w:hAnsi="Courier New" w:cs="Courier New"/>
          <w:sz w:val="20"/>
          <w:lang w:val="en-US"/>
        </w:rPr>
        <w:t>minbucket</w:t>
      </w:r>
      <w:proofErr w:type="gramEnd"/>
      <w:r w:rsidRPr="00736A71">
        <w:rPr>
          <w:rFonts w:ascii="Arial" w:hAnsi="Arial" w:cs="Arial"/>
          <w:sz w:val="20"/>
          <w:lang w:val="en-US"/>
        </w:rPr>
        <w:t xml:space="preserve">: The minimum number of observations in a terminal node. </w:t>
      </w:r>
      <w:r w:rsidRPr="00EC1596">
        <w:rPr>
          <w:rFonts w:ascii="Arial" w:hAnsi="Arial" w:cs="Arial"/>
          <w:b/>
          <w:sz w:val="20"/>
          <w:lang w:val="en-US"/>
        </w:rPr>
        <w:t>This</w:t>
      </w:r>
      <w:r w:rsidRPr="00EC1596">
        <w:rPr>
          <w:rFonts w:ascii="Arial" w:hAnsi="Arial" w:cs="Arial"/>
          <w:b/>
          <w:sz w:val="20"/>
          <w:lang w:val="en-US"/>
        </w:rPr>
        <w:t xml:space="preserve"> </w:t>
      </w:r>
      <w:r w:rsidRPr="00EC1596">
        <w:rPr>
          <w:rFonts w:ascii="Arial" w:hAnsi="Arial" w:cs="Arial"/>
          <w:b/>
          <w:sz w:val="20"/>
          <w:lang w:val="en-US"/>
        </w:rPr>
        <w:t>defaults to minsplit/3.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595959"/>
          <w:sz w:val="36"/>
          <w:szCs w:val="27"/>
          <w:u w:val="single"/>
          <w:lang w:val="en-US" w:eastAsia="es-AR"/>
        </w:rPr>
      </w:pP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595959"/>
          <w:sz w:val="36"/>
          <w:szCs w:val="27"/>
          <w:u w:val="single"/>
          <w:lang w:val="en-US" w:eastAsia="es-AR"/>
        </w:rPr>
      </w:pPr>
      <w:r w:rsidRPr="00736A71">
        <w:rPr>
          <w:rFonts w:ascii="Arial" w:eastAsia="Times New Roman" w:hAnsi="Arial" w:cs="Arial"/>
          <w:b/>
          <w:bCs/>
          <w:color w:val="595959"/>
          <w:sz w:val="36"/>
          <w:szCs w:val="27"/>
          <w:u w:val="single"/>
          <w:lang w:val="en-US" w:eastAsia="es-AR"/>
        </w:rPr>
        <w:t xml:space="preserve">rpart.plot </w:t>
      </w:r>
    </w:p>
    <w:p w:rsid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es-AR"/>
        </w:rPr>
      </w:pP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rpart.plot(x = </w:t>
      </w:r>
      <w:proofErr w:type="gramStart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>stop(</w:t>
      </w:r>
      <w:proofErr w:type="gramEnd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>"no 'x' arg"),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</w:t>
      </w:r>
      <w:proofErr w:type="gramStart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>type</w:t>
      </w:r>
      <w:proofErr w:type="gramEnd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= 2, extra = "auto",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</w:t>
      </w:r>
      <w:proofErr w:type="gramStart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>under</w:t>
      </w:r>
      <w:proofErr w:type="gramEnd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= FALSE, fallen.leaves = TRUE,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</w:t>
      </w:r>
      <w:proofErr w:type="gramStart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>digits</w:t>
      </w:r>
      <w:proofErr w:type="gramEnd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= 2, varlen = 0, faclen = 0, roundint = TRUE,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</w:t>
      </w:r>
      <w:proofErr w:type="gramStart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>cex</w:t>
      </w:r>
      <w:proofErr w:type="gramEnd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= NULL, tweak = 1,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clip.facs = FALSE, clip.right.labs = TRUE,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</w:t>
      </w:r>
      <w:proofErr w:type="gramStart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>snip</w:t>
      </w:r>
      <w:proofErr w:type="gramEnd"/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= FALSE,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box.palette = "auto", shadow.col = 0,</w:t>
      </w:r>
    </w:p>
    <w:p w:rsidR="00736A71" w:rsidRPr="00736A71" w:rsidRDefault="00736A71" w:rsidP="0073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</w:pPr>
      <w:r w:rsidRPr="00736A71">
        <w:rPr>
          <w:rFonts w:ascii="Courier New" w:eastAsia="Times New Roman" w:hAnsi="Courier New" w:cs="Courier New"/>
          <w:color w:val="000000"/>
          <w:sz w:val="24"/>
          <w:szCs w:val="20"/>
          <w:lang w:val="en-US" w:eastAsia="es-AR"/>
        </w:rPr>
        <w:t xml:space="preserve">    ...)</w:t>
      </w:r>
    </w:p>
    <w:p w:rsidR="00736A71" w:rsidRPr="00736A71" w:rsidRDefault="00736A71" w:rsidP="00736A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es-AR"/>
        </w:rPr>
      </w:pPr>
      <w:r w:rsidRPr="00736A71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es-AR"/>
        </w:rPr>
        <w:t>Arguments</w:t>
      </w:r>
    </w:p>
    <w:p w:rsidR="00736A71" w:rsidRPr="00736A71" w:rsidRDefault="00736A71" w:rsidP="00736A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</w:pPr>
      <w:proofErr w:type="gramStart"/>
      <w:r w:rsidRPr="00736A7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lastRenderedPageBreak/>
        <w:t>To start off, look at the arguments </w:t>
      </w:r>
      <w:r w:rsidRPr="00736A71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x</w:t>
      </w:r>
      <w:r w:rsidRPr="00736A7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, </w:t>
      </w:r>
      <w:r w:rsidRPr="00736A71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type</w:t>
      </w:r>
      <w:r w:rsidRPr="00736A7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 and </w:t>
      </w:r>
      <w:r w:rsidRPr="00736A71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extra</w:t>
      </w:r>
      <w:r w:rsidRPr="00736A7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.</w:t>
      </w:r>
      <w:proofErr w:type="gramEnd"/>
      <w:r w:rsidRPr="00736A7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 xml:space="preserve"> Just those arguments will suffice for many users. If you don't want a colored plot, use </w:t>
      </w:r>
      <w:r w:rsidRPr="00736A71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box.palette=0</w:t>
      </w:r>
      <w:r w:rsidRPr="00736A71">
        <w:rPr>
          <w:rFonts w:ascii="Arial" w:eastAsia="Times New Roman" w:hAnsi="Arial" w:cs="Arial"/>
          <w:color w:val="000000"/>
          <w:sz w:val="20"/>
          <w:szCs w:val="20"/>
          <w:lang w:val="en-US" w:eastAsia="es-A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756"/>
        <w:gridCol w:w="8257"/>
      </w:tblGrid>
      <w:tr w:rsidR="00736A71" w:rsidRPr="00736A71" w:rsidTr="00736A71">
        <w:trPr>
          <w:tblCellSpacing w:w="15" w:type="dxa"/>
        </w:trPr>
        <w:tc>
          <w:tcPr>
            <w:tcW w:w="0" w:type="auto"/>
            <w:hideMark/>
          </w:tcPr>
          <w:p w:rsidR="00736A71" w:rsidRPr="00736A71" w:rsidRDefault="00736A71" w:rsidP="00736A7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0" w:type="auto"/>
            <w:hideMark/>
          </w:tcPr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An </w:t>
            </w:r>
            <w:hyperlink r:id="rId6" w:history="1">
              <w:r w:rsidRPr="00736A71">
                <w:rPr>
                  <w:rFonts w:ascii="Courier New" w:eastAsia="Times New Roman" w:hAnsi="Courier New" w:cs="Courier New"/>
                  <w:color w:val="800080"/>
                  <w:sz w:val="20"/>
                  <w:szCs w:val="20"/>
                  <w:u w:val="single"/>
                  <w:lang w:val="en-US" w:eastAsia="es-AR"/>
                </w:rPr>
                <w:t>rpart</w:t>
              </w:r>
            </w:hyperlink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object. The only required argument.</w:t>
            </w:r>
          </w:p>
        </w:tc>
      </w:tr>
      <w:tr w:rsidR="00736A71" w:rsidRPr="00736A71" w:rsidTr="00736A71">
        <w:trPr>
          <w:tblCellSpacing w:w="15" w:type="dxa"/>
        </w:trPr>
        <w:tc>
          <w:tcPr>
            <w:tcW w:w="0" w:type="auto"/>
            <w:hideMark/>
          </w:tcPr>
          <w:p w:rsidR="00736A71" w:rsidRPr="00736A71" w:rsidRDefault="00736A71" w:rsidP="00736A7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type</w:t>
            </w:r>
          </w:p>
        </w:tc>
        <w:tc>
          <w:tcPr>
            <w:tcW w:w="0" w:type="auto"/>
            <w:hideMark/>
          </w:tcPr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Type of plot. Possible values: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0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Draw a split label at each split and a node label at each leaf.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1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Label all nodes, not just leaves. Similar to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text.rpart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's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all=TRUE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2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</w:t>
            </w:r>
            <w:proofErr w:type="gramStart"/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Default</w:t>
            </w:r>
            <w:proofErr w:type="gramEnd"/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. Like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1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but draw the split labels below the node labels. Similar to the plots in the CART book.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3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Draw separate split labels for the left and right directions.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4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Like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3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but label all nodes, not just leaves. Similar to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text.rpart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's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fancy=TRUE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. See also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clip.right.labs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5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</w:t>
            </w: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New in version 2.2.0.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Show the split variable name in the interior nodes.</w:t>
            </w:r>
          </w:p>
        </w:tc>
      </w:tr>
      <w:tr w:rsidR="00736A71" w:rsidRPr="00736A71" w:rsidTr="00736A71">
        <w:trPr>
          <w:tblCellSpacing w:w="15" w:type="dxa"/>
        </w:trPr>
        <w:tc>
          <w:tcPr>
            <w:tcW w:w="0" w:type="auto"/>
            <w:hideMark/>
          </w:tcPr>
          <w:p w:rsidR="00736A71" w:rsidRPr="00736A71" w:rsidRDefault="00736A71" w:rsidP="00736A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extra</w:t>
            </w:r>
          </w:p>
        </w:tc>
        <w:tc>
          <w:tcPr>
            <w:tcW w:w="0" w:type="auto"/>
            <w:hideMark/>
          </w:tcPr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Display extra information at the nodes. Possible values: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"</w:t>
            </w:r>
            <w:proofErr w:type="gramStart"/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auto</w:t>
            </w:r>
            <w:proofErr w:type="gramEnd"/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"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(case insensitive) Default.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br/>
              <w:t>Automatically select a value based on the model type, as follows: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br/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extra=106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 with a binary response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br/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extra=104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 with a response having more than two levels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br/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extra=100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other models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0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No extra information.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1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Display the number of observations that fall in the node (per class for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class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objects; prefixed by the number of events for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poisson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and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exp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models). Similar to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text.rpart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's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use.n=TRUE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2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display the classification rate at the node, expressed as the number of correct classifications and the number of observations in the node.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br/>
              <w:t>Poisson and exp models: display the number of events.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3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misclassification rate at the node, expressed as the number of incorrect classifications and the number of observations in the node.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4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probability per class of observations in the node (conditioned on the node, sum across a node is 1).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5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like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4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but don't display the fitted class.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6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 xml:space="preserve"> Class models: the probability of the second class only. 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Useful for binary responses.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7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like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6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but don't display the fitted class.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8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the probability of the fitted class.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9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The probability relative to </w:t>
            </w:r>
            <w:r w:rsidRPr="00736A7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s-AR"/>
              </w:rPr>
              <w:t>all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observations – the sum of these probabilities across all leaves is 1. This is in contrast to the options above, which give the probability relative to observations falling </w:t>
            </w:r>
            <w:r w:rsidRPr="00736A7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s-AR"/>
              </w:rPr>
              <w:t>in the node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– the sum of the probabilities across the node is 1.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10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</w:t>
            </w: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New in version 2.2.0.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Like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9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but display the probability of the second class only. Useful for binary responses.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11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</w:t>
            </w:r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New in version 2.2.0.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Class models: Like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10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but don't display the fitted class.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</w:pPr>
            <w:proofErr w:type="gramStart"/>
            <w:r w:rsidRPr="00736A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AR"/>
              </w:rPr>
              <w:t>+100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Add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100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to any of the above to also display the percentage of observations in the node.</w:t>
            </w:r>
            <w:proofErr w:type="gramEnd"/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 xml:space="preserve"> For example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extra=101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displays the number and percentage of observations in the node. Actually, it's a weighted percentage using the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weights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 passed to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rpart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.</w:t>
            </w:r>
          </w:p>
          <w:p w:rsidR="00736A71" w:rsidRPr="00736A71" w:rsidRDefault="00736A71" w:rsidP="00736A7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Note: Unlike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text.rpart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>, by default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AR"/>
              </w:rPr>
              <w:t>prp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AR"/>
              </w:rPr>
              <w:t xml:space="preserve"> uses its own routine for generating node labels (not the function attached to the object). 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See the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node.fun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argument of </w:t>
            </w:r>
            <w:r w:rsidRPr="00736A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  <w:t>prp</w:t>
            </w:r>
            <w:r w:rsidRPr="00736A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:rsidR="00FE61EC" w:rsidRPr="00736A71" w:rsidRDefault="004D1DF3" w:rsidP="00736A71"/>
    <w:sectPr w:rsidR="00FE61EC" w:rsidRPr="00736A71" w:rsidSect="00DC17F4">
      <w:pgSz w:w="12240" w:h="15840"/>
      <w:pgMar w:top="851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00EE"/>
    <w:multiLevelType w:val="hybridMultilevel"/>
    <w:tmpl w:val="D48A44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54211"/>
    <w:multiLevelType w:val="hybridMultilevel"/>
    <w:tmpl w:val="62361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02BC9"/>
    <w:multiLevelType w:val="hybridMultilevel"/>
    <w:tmpl w:val="172A1F6E"/>
    <w:lvl w:ilvl="0" w:tplc="EAF41CF0">
      <w:numFmt w:val="bullet"/>
      <w:lvlText w:val="-"/>
      <w:lvlJc w:val="left"/>
      <w:pPr>
        <w:ind w:left="2136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2731EBF"/>
    <w:multiLevelType w:val="hybridMultilevel"/>
    <w:tmpl w:val="87F06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01E7D"/>
    <w:multiLevelType w:val="hybridMultilevel"/>
    <w:tmpl w:val="4C863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D06E1"/>
    <w:multiLevelType w:val="hybridMultilevel"/>
    <w:tmpl w:val="25660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71"/>
    <w:rsid w:val="004D1DF3"/>
    <w:rsid w:val="005C1F22"/>
    <w:rsid w:val="00736A71"/>
    <w:rsid w:val="007852EC"/>
    <w:rsid w:val="007A7896"/>
    <w:rsid w:val="008B1430"/>
    <w:rsid w:val="009A057D"/>
    <w:rsid w:val="00DC17F4"/>
    <w:rsid w:val="00E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6A7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6A7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unhideWhenUsed/>
    <w:rsid w:val="0073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36A71"/>
  </w:style>
  <w:style w:type="character" w:styleId="CdigoHTML">
    <w:name w:val="HTML Code"/>
    <w:basedOn w:val="Fuentedeprrafopredeter"/>
    <w:uiPriority w:val="99"/>
    <w:semiHidden/>
    <w:unhideWhenUsed/>
    <w:rsid w:val="00736A7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36A7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36A71"/>
    <w:rPr>
      <w:i/>
      <w:iCs/>
    </w:rPr>
  </w:style>
  <w:style w:type="paragraph" w:styleId="Prrafodelista">
    <w:name w:val="List Paragraph"/>
    <w:basedOn w:val="Normal"/>
    <w:uiPriority w:val="34"/>
    <w:qFormat/>
    <w:rsid w:val="0073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6A7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6A7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unhideWhenUsed/>
    <w:rsid w:val="0073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36A71"/>
  </w:style>
  <w:style w:type="character" w:styleId="CdigoHTML">
    <w:name w:val="HTML Code"/>
    <w:basedOn w:val="Fuentedeprrafopredeter"/>
    <w:uiPriority w:val="99"/>
    <w:semiHidden/>
    <w:unhideWhenUsed/>
    <w:rsid w:val="00736A7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36A7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36A71"/>
    <w:rPr>
      <w:i/>
      <w:iCs/>
    </w:rPr>
  </w:style>
  <w:style w:type="paragraph" w:styleId="Prrafodelista">
    <w:name w:val="List Paragraph"/>
    <w:basedOn w:val="Normal"/>
    <w:uiPriority w:val="34"/>
    <w:qFormat/>
    <w:rsid w:val="0073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37250/help/library/rpart.plot/help/rp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3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</dc:creator>
  <cp:lastModifiedBy>charly</cp:lastModifiedBy>
  <cp:revision>4</cp:revision>
  <cp:lastPrinted>2019-05-13T16:28:00Z</cp:lastPrinted>
  <dcterms:created xsi:type="dcterms:W3CDTF">2019-05-08T15:06:00Z</dcterms:created>
  <dcterms:modified xsi:type="dcterms:W3CDTF">2019-05-14T14:45:00Z</dcterms:modified>
</cp:coreProperties>
</file>