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5BA5E" w14:textId="77777777" w:rsidR="00003391" w:rsidRDefault="000961DE">
      <w:pPr>
        <w:spacing w:before="320"/>
        <w:rPr>
          <w:rFonts w:hint="eastAsia"/>
          <w:lang w:eastAsia="zh-CN"/>
        </w:rPr>
      </w:pPr>
      <w:r>
        <w:rPr>
          <w:b/>
          <w:color w:val="497E5E"/>
          <w:sz w:val="22"/>
          <w:lang w:eastAsia="zh-CN"/>
        </w:rPr>
        <w:t>技术洞察</w:t>
      </w:r>
    </w:p>
    <w:p w14:paraId="564B9BB0" w14:textId="77777777" w:rsidR="00003391" w:rsidRDefault="000961DE">
      <w:pPr>
        <w:rPr>
          <w:rFonts w:hint="eastAsia"/>
          <w:lang w:eastAsia="zh-CN"/>
        </w:rPr>
      </w:pPr>
      <w:r>
        <w:rPr>
          <w:b/>
          <w:color w:val="193D62"/>
          <w:sz w:val="56"/>
          <w:lang w:eastAsia="zh-CN"/>
        </w:rPr>
        <w:t>GLP-1时代的膳食纤维机会</w:t>
      </w:r>
    </w:p>
    <w:p w14:paraId="2DA08C3A" w14:textId="77777777" w:rsidR="00003391" w:rsidRDefault="000961DE">
      <w:pPr>
        <w:spacing w:after="320"/>
        <w:rPr>
          <w:rFonts w:hint="eastAsia"/>
          <w:lang w:eastAsia="zh-CN"/>
        </w:rPr>
      </w:pPr>
      <w:r>
        <w:rPr>
          <w:color w:val="4E5B69"/>
          <w:sz w:val="26"/>
          <w:lang w:eastAsia="zh-CN"/>
        </w:rPr>
        <w:t>从饱腹管理到肠道</w:t>
      </w:r>
      <w:r w:rsidR="002D7357">
        <w:rPr>
          <w:rFonts w:hint="eastAsia"/>
          <w:color w:val="4E5B69"/>
          <w:sz w:val="26"/>
          <w:lang w:eastAsia="zh-CN"/>
        </w:rPr>
        <w:t>健康</w:t>
      </w:r>
      <w:r w:rsidR="002D7357">
        <w:rPr>
          <w:color w:val="4E5B69"/>
          <w:sz w:val="26"/>
          <w:lang w:eastAsia="zh-CN"/>
        </w:rPr>
        <w:t>支持，重新理解膳食纤维在</w:t>
      </w:r>
      <w:r>
        <w:rPr>
          <w:color w:val="4E5B69"/>
          <w:sz w:val="26"/>
          <w:lang w:eastAsia="zh-CN"/>
        </w:rPr>
        <w:t>营养中的价值</w:t>
      </w:r>
    </w:p>
    <w:tbl>
      <w:tblPr>
        <w:tblW w:w="0" w:type="auto"/>
        <w:jc w:val="center"/>
        <w:tblLook w:val="04A0" w:firstRow="1" w:lastRow="0" w:firstColumn="1" w:lastColumn="0" w:noHBand="0" w:noVBand="1"/>
      </w:tblPr>
      <w:tblGrid>
        <w:gridCol w:w="9518"/>
      </w:tblGrid>
      <w:tr w:rsidR="00003391" w14:paraId="6DFAE317" w14:textId="77777777">
        <w:trPr>
          <w:jc w:val="center"/>
        </w:trPr>
        <w:tc>
          <w:tcPr>
            <w:tcW w:w="9518" w:type="dxa"/>
            <w:shd w:val="clear" w:color="auto" w:fill="EAF3EE"/>
            <w:tcMar>
              <w:top w:w="220" w:type="dxa"/>
              <w:left w:w="260" w:type="dxa"/>
              <w:bottom w:w="220" w:type="dxa"/>
              <w:right w:w="260" w:type="dxa"/>
            </w:tcMar>
          </w:tcPr>
          <w:p w14:paraId="03304605" w14:textId="77777777" w:rsidR="00003391" w:rsidRDefault="000961DE">
            <w:pPr>
              <w:spacing w:after="0"/>
              <w:rPr>
                <w:rFonts w:hint="eastAsia"/>
                <w:lang w:eastAsia="zh-CN"/>
              </w:rPr>
            </w:pPr>
            <w:r>
              <w:rPr>
                <w:b/>
                <w:color w:val="1F5343"/>
                <w:lang w:eastAsia="zh-CN"/>
              </w:rPr>
              <w:t xml:space="preserve">核心观点  </w:t>
            </w:r>
            <w:r>
              <w:rPr>
                <w:color w:val="2D3E37"/>
                <w:lang w:eastAsia="zh-CN"/>
              </w:rPr>
              <w:t>GLP-1相关体重管理需求正在推动营养产品从单一减重诉求，转向饱腹管理、消化舒适、肠道健康与长期营养支持的综合方案。</w:t>
            </w:r>
          </w:p>
        </w:tc>
      </w:tr>
    </w:tbl>
    <w:p w14:paraId="4CE6C8D1" w14:textId="77777777" w:rsidR="00003391" w:rsidRDefault="00003391">
      <w:pPr>
        <w:rPr>
          <w:rFonts w:hint="eastAsia"/>
          <w:lang w:eastAsia="zh-CN"/>
        </w:rPr>
      </w:pPr>
    </w:p>
    <w:p w14:paraId="4CB2D437" w14:textId="77777777" w:rsidR="00003391" w:rsidRDefault="000961DE">
      <w:pPr>
        <w:pStyle w:val="14"/>
        <w:rPr>
          <w:rFonts w:hint="eastAsia"/>
          <w:lang w:eastAsia="zh-CN"/>
        </w:rPr>
      </w:pPr>
      <w:r>
        <w:rPr>
          <w:lang w:eastAsia="zh-CN"/>
        </w:rPr>
        <w:t>随着GLP-1相关体重管理方式受到关注，全球营养健康市场的产品创新逻辑也在发生变化。消费者关注的不再只是体重数字，还包括饮食质量、消化体验、肌肉维持、代谢健康以及长期健康管理。</w:t>
      </w:r>
    </w:p>
    <w:p w14:paraId="0384171A" w14:textId="77777777" w:rsidR="00003391" w:rsidRDefault="000961DE">
      <w:pPr>
        <w:pStyle w:val="14"/>
        <w:rPr>
          <w:rFonts w:hint="eastAsia"/>
          <w:lang w:eastAsia="zh-CN"/>
        </w:rPr>
      </w:pPr>
      <w:r>
        <w:rPr>
          <w:lang w:eastAsia="zh-CN"/>
        </w:rPr>
        <w:t>在这一背景下，膳食纤维正在从传统的“肠道规律性成分”，升级为伴随营养产品中的基础配方模块。对于品牌商而言，新的机会并不是简单地在产品中增加纤维，而是根据目标人群与剂型，选择适宜的纤维类型、合理的添加量以及更易坚持的产品形态。</w:t>
      </w:r>
    </w:p>
    <w:p w14:paraId="7D77011B" w14:textId="77777777" w:rsidR="00003391" w:rsidRDefault="000961DE">
      <w:pPr>
        <w:pStyle w:val="1"/>
        <w:rPr>
          <w:lang w:eastAsia="zh-CN"/>
        </w:rPr>
      </w:pPr>
      <w:r>
        <w:rPr>
          <w:rFonts w:ascii="微软雅黑" w:eastAsia="微软雅黑" w:hAnsi="微软雅黑"/>
          <w:lang w:eastAsia="zh-CN"/>
        </w:rPr>
        <w:t>一、从减重诉求走向综合健康管理</w:t>
      </w:r>
    </w:p>
    <w:p w14:paraId="59725FA5" w14:textId="77777777" w:rsidR="00003391" w:rsidRDefault="000961DE">
      <w:pPr>
        <w:pStyle w:val="14"/>
        <w:rPr>
          <w:rFonts w:hint="eastAsia"/>
          <w:lang w:eastAsia="zh-CN"/>
        </w:rPr>
      </w:pPr>
      <w:r>
        <w:rPr>
          <w:lang w:eastAsia="zh-CN"/>
        </w:rPr>
        <w:t>GLP-1相关体重管理方式通常与食欲下降和进食量减少相伴。消费端由此产生了一组新的营养需求：既希望控制能量摄入，又希望在较小的进食量下获得更好的营养密度和消化体验。</w:t>
      </w:r>
    </w:p>
    <w:p w14:paraId="13CC1A15" w14:textId="77777777" w:rsidR="00003391" w:rsidRDefault="000961DE">
      <w:pPr>
        <w:pStyle w:val="14"/>
        <w:rPr>
          <w:rFonts w:hint="eastAsia"/>
          <w:lang w:eastAsia="zh-CN"/>
        </w:rPr>
      </w:pPr>
      <w:r>
        <w:rPr>
          <w:lang w:eastAsia="zh-CN"/>
        </w:rPr>
        <w:t>因此，品牌开发方向正在从单一的“低热量”概念，转向更完整的伴随营养体系，包括：</w:t>
      </w:r>
    </w:p>
    <w:p w14:paraId="181142A4" w14:textId="77777777" w:rsidR="00003391" w:rsidRDefault="000961DE">
      <w:pPr>
        <w:pStyle w:val="15"/>
        <w:rPr>
          <w:rFonts w:hint="eastAsia"/>
          <w:lang w:eastAsia="zh-CN"/>
        </w:rPr>
      </w:pPr>
      <w:r>
        <w:rPr>
          <w:lang w:eastAsia="zh-CN"/>
        </w:rPr>
        <w:t>提高膳食质量，帮助补充日常饮食中容易不足的营养成分；</w:t>
      </w:r>
    </w:p>
    <w:p w14:paraId="69364B18" w14:textId="77777777" w:rsidR="00003391" w:rsidRDefault="000961DE">
      <w:pPr>
        <w:pStyle w:val="15"/>
        <w:rPr>
          <w:rFonts w:hint="eastAsia"/>
          <w:lang w:eastAsia="zh-CN"/>
        </w:rPr>
      </w:pPr>
      <w:r>
        <w:rPr>
          <w:lang w:eastAsia="zh-CN"/>
        </w:rPr>
        <w:t>关注蛋白质与膳食纤维的合理搭配；</w:t>
      </w:r>
    </w:p>
    <w:p w14:paraId="62EBB66D" w14:textId="77777777" w:rsidR="00003391" w:rsidRDefault="000961DE">
      <w:pPr>
        <w:pStyle w:val="15"/>
        <w:rPr>
          <w:rFonts w:hint="eastAsia"/>
          <w:lang w:eastAsia="zh-CN"/>
        </w:rPr>
      </w:pPr>
      <w:r>
        <w:rPr>
          <w:lang w:eastAsia="zh-CN"/>
        </w:rPr>
        <w:t>支持肠道微生态和排便规律；</w:t>
      </w:r>
    </w:p>
    <w:p w14:paraId="07C26438" w14:textId="77777777" w:rsidR="00003391" w:rsidRDefault="000961DE">
      <w:pPr>
        <w:pStyle w:val="15"/>
        <w:rPr>
          <w:rFonts w:hint="eastAsia"/>
          <w:lang w:eastAsia="zh-CN"/>
        </w:rPr>
      </w:pPr>
      <w:r>
        <w:rPr>
          <w:lang w:eastAsia="zh-CN"/>
        </w:rPr>
        <w:t>降低配方对口感、黏度和胃肠耐受性的负担；</w:t>
      </w:r>
    </w:p>
    <w:p w14:paraId="478B6C0B" w14:textId="77777777" w:rsidR="00003391" w:rsidRDefault="000961DE">
      <w:pPr>
        <w:pStyle w:val="15"/>
        <w:rPr>
          <w:rFonts w:hint="eastAsia"/>
          <w:lang w:eastAsia="zh-CN"/>
        </w:rPr>
      </w:pPr>
      <w:r>
        <w:rPr>
          <w:lang w:eastAsia="zh-CN"/>
        </w:rPr>
        <w:lastRenderedPageBreak/>
        <w:t>通过便捷剂型提升长期使用的可持续性。</w:t>
      </w:r>
    </w:p>
    <w:p w14:paraId="4ABCC893" w14:textId="77777777" w:rsidR="00003391" w:rsidRDefault="000961DE">
      <w:pPr>
        <w:pStyle w:val="14"/>
        <w:rPr>
          <w:rFonts w:hint="eastAsia"/>
          <w:lang w:eastAsia="zh-CN"/>
        </w:rPr>
      </w:pPr>
      <w:r>
        <w:rPr>
          <w:lang w:eastAsia="zh-CN"/>
        </w:rPr>
        <w:t>这意味着，未来的体重管理产品不能只回答“如何少吃”，还需要回答“如何吃得更合理、感觉更舒适，并更容易长期坚持”。</w:t>
      </w:r>
    </w:p>
    <w:p w14:paraId="47677C6E" w14:textId="77777777" w:rsidR="00003391" w:rsidRDefault="000961DE">
      <w:pPr>
        <w:pStyle w:val="1"/>
        <w:rPr>
          <w:lang w:eastAsia="zh-CN"/>
        </w:rPr>
      </w:pPr>
      <w:r>
        <w:rPr>
          <w:rFonts w:ascii="微软雅黑" w:eastAsia="微软雅黑" w:hAnsi="微软雅黑"/>
          <w:lang w:eastAsia="zh-CN"/>
        </w:rPr>
        <w:t>二、膳食纤维为何成为关键配方模块</w:t>
      </w:r>
    </w:p>
    <w:p w14:paraId="681D574F" w14:textId="77777777" w:rsidR="00003391" w:rsidRDefault="000961DE">
      <w:pPr>
        <w:pStyle w:val="21"/>
        <w:rPr>
          <w:lang w:eastAsia="zh-CN"/>
        </w:rPr>
      </w:pPr>
      <w:r>
        <w:rPr>
          <w:rFonts w:ascii="微软雅黑" w:eastAsia="微软雅黑" w:hAnsi="微软雅黑"/>
          <w:lang w:eastAsia="zh-CN"/>
        </w:rPr>
        <w:t>1. 支持饱腹管理</w:t>
      </w:r>
    </w:p>
    <w:p w14:paraId="48AB5940" w14:textId="77777777" w:rsidR="00003391" w:rsidRDefault="000961DE">
      <w:pPr>
        <w:pStyle w:val="14"/>
        <w:rPr>
          <w:rFonts w:hint="eastAsia"/>
          <w:lang w:eastAsia="zh-CN"/>
        </w:rPr>
      </w:pPr>
      <w:r>
        <w:rPr>
          <w:lang w:eastAsia="zh-CN"/>
        </w:rPr>
        <w:t>部分膳食纤维能够吸水、形成一定结构或延缓营养物质在消化道中的移动速度，从而为饱腹管理提供配方基础。</w:t>
      </w:r>
    </w:p>
    <w:p w14:paraId="708BC723" w14:textId="77777777" w:rsidR="00003391" w:rsidRDefault="000961DE">
      <w:pPr>
        <w:pStyle w:val="21"/>
        <w:rPr>
          <w:lang w:eastAsia="zh-CN"/>
        </w:rPr>
      </w:pPr>
      <w:r>
        <w:rPr>
          <w:rFonts w:ascii="微软雅黑" w:eastAsia="微软雅黑" w:hAnsi="微软雅黑"/>
          <w:lang w:eastAsia="zh-CN"/>
        </w:rPr>
        <w:t>2. 支持肠道微生态</w:t>
      </w:r>
    </w:p>
    <w:p w14:paraId="3D637038" w14:textId="77777777" w:rsidR="00003391" w:rsidRDefault="000961DE">
      <w:pPr>
        <w:pStyle w:val="14"/>
        <w:rPr>
          <w:rFonts w:hint="eastAsia"/>
          <w:lang w:eastAsia="zh-CN"/>
        </w:rPr>
      </w:pPr>
      <w:r>
        <w:rPr>
          <w:lang w:eastAsia="zh-CN"/>
        </w:rPr>
        <w:t>可发酵膳食纤维可被肠道微生物利用，并参与短链脂肪酸</w:t>
      </w:r>
      <w:r w:rsidR="002D7357">
        <w:rPr>
          <w:lang w:eastAsia="zh-CN"/>
        </w:rPr>
        <w:t>（</w:t>
      </w:r>
      <w:r w:rsidR="002D7357" w:rsidRPr="002D7357">
        <w:rPr>
          <w:lang w:eastAsia="zh-CN"/>
        </w:rPr>
        <w:t>SCFAs</w:t>
      </w:r>
      <w:r w:rsidR="002D7357">
        <w:rPr>
          <w:lang w:eastAsia="zh-CN"/>
        </w:rPr>
        <w:t>）</w:t>
      </w:r>
      <w:r>
        <w:rPr>
          <w:lang w:eastAsia="zh-CN"/>
        </w:rPr>
        <w:t>等代谢产物的形成。对于饮食量减少、饮食结构变化或纤维摄入不足的人群而言，稳定而适量的膳食纤维摄入具有重要意义。</w:t>
      </w:r>
    </w:p>
    <w:p w14:paraId="2AD4DA67" w14:textId="77777777" w:rsidR="00003391" w:rsidRDefault="000961DE">
      <w:pPr>
        <w:pStyle w:val="21"/>
        <w:rPr>
          <w:lang w:eastAsia="zh-CN"/>
        </w:rPr>
      </w:pPr>
      <w:r>
        <w:rPr>
          <w:rFonts w:ascii="微软雅黑" w:eastAsia="微软雅黑" w:hAnsi="微软雅黑"/>
          <w:lang w:eastAsia="zh-CN"/>
        </w:rPr>
        <w:t>3. 改善消化体验</w:t>
      </w:r>
    </w:p>
    <w:p w14:paraId="42CB74E3" w14:textId="77777777" w:rsidR="00003391" w:rsidRDefault="000961DE">
      <w:pPr>
        <w:pStyle w:val="14"/>
        <w:rPr>
          <w:rFonts w:hint="eastAsia"/>
          <w:lang w:eastAsia="zh-CN"/>
        </w:rPr>
      </w:pPr>
      <w:r>
        <w:rPr>
          <w:lang w:eastAsia="zh-CN"/>
        </w:rPr>
        <w:t>体重管理人群往往更加关注腹胀、排便变化和胃肠舒适度。高添加量和快速发酵并不适合所有人群。低黏度、良好分散性以及相对温和的发酵特征，会成为纤维原料选择的重要标准。</w:t>
      </w:r>
    </w:p>
    <w:p w14:paraId="12500FA5" w14:textId="77777777" w:rsidR="00003391" w:rsidRDefault="000961DE">
      <w:pPr>
        <w:pStyle w:val="21"/>
        <w:rPr>
          <w:lang w:eastAsia="zh-CN"/>
        </w:rPr>
      </w:pPr>
      <w:r>
        <w:rPr>
          <w:rFonts w:ascii="微软雅黑" w:eastAsia="微软雅黑" w:hAnsi="微软雅黑"/>
          <w:lang w:eastAsia="zh-CN"/>
        </w:rPr>
        <w:t>4. 延展代谢健康价值</w:t>
      </w:r>
    </w:p>
    <w:p w14:paraId="2474E4FD" w14:textId="77777777" w:rsidR="00003391" w:rsidRDefault="000961DE">
      <w:pPr>
        <w:pStyle w:val="14"/>
        <w:rPr>
          <w:rFonts w:hint="eastAsia"/>
          <w:lang w:eastAsia="zh-CN"/>
        </w:rPr>
      </w:pPr>
      <w:r>
        <w:rPr>
          <w:lang w:eastAsia="zh-CN"/>
        </w:rPr>
        <w:t>膳食纤维可以与低糖、高蛋白、全谷物和益生元等概念形成协同，使产品从“减重辅助”进一步延展至血糖管理、肠道健康和健康老龄化等更广泛场景。</w:t>
      </w:r>
    </w:p>
    <w:p w14:paraId="338192A8" w14:textId="77777777" w:rsidR="00003391" w:rsidRDefault="000961DE">
      <w:pPr>
        <w:pStyle w:val="1"/>
        <w:rPr>
          <w:lang w:eastAsia="zh-CN"/>
        </w:rPr>
      </w:pPr>
      <w:r>
        <w:rPr>
          <w:rFonts w:ascii="微软雅黑" w:eastAsia="微软雅黑" w:hAnsi="微软雅黑"/>
          <w:lang w:eastAsia="zh-CN"/>
        </w:rPr>
        <w:t>三、产品开发应关注哪些纤维特征</w:t>
      </w:r>
    </w:p>
    <w:tbl>
      <w:tblPr>
        <w:tblStyle w:val="aff1"/>
        <w:tblW w:w="0" w:type="auto"/>
        <w:jc w:val="center"/>
        <w:tblLook w:val="04A0" w:firstRow="1" w:lastRow="0" w:firstColumn="1" w:lastColumn="0" w:noHBand="0" w:noVBand="1"/>
      </w:tblPr>
      <w:tblGrid>
        <w:gridCol w:w="4754"/>
        <w:gridCol w:w="4754"/>
      </w:tblGrid>
      <w:tr w:rsidR="00003391" w14:paraId="493DE490" w14:textId="77777777">
        <w:trPr>
          <w:tblHeader/>
          <w:jc w:val="center"/>
        </w:trPr>
        <w:tc>
          <w:tcPr>
            <w:tcW w:w="4759" w:type="dxa"/>
            <w:shd w:val="clear" w:color="auto" w:fill="245880"/>
            <w:tcMar>
              <w:top w:w="120" w:type="dxa"/>
              <w:left w:w="150" w:type="dxa"/>
              <w:bottom w:w="120" w:type="dxa"/>
              <w:right w:w="150" w:type="dxa"/>
            </w:tcMar>
            <w:vAlign w:val="center"/>
          </w:tcPr>
          <w:p w14:paraId="0CE3FB38" w14:textId="77777777" w:rsidR="00003391" w:rsidRDefault="000961DE">
            <w:pPr>
              <w:rPr>
                <w:rFonts w:hint="eastAsia"/>
              </w:rPr>
            </w:pPr>
            <w:proofErr w:type="spellStart"/>
            <w:r>
              <w:rPr>
                <w:b/>
                <w:color w:val="FFFFFF"/>
                <w:sz w:val="19"/>
              </w:rPr>
              <w:t>评估维度</w:t>
            </w:r>
            <w:proofErr w:type="spellEnd"/>
          </w:p>
        </w:tc>
        <w:tc>
          <w:tcPr>
            <w:tcW w:w="4759" w:type="dxa"/>
            <w:shd w:val="clear" w:color="auto" w:fill="245880"/>
            <w:tcMar>
              <w:top w:w="120" w:type="dxa"/>
              <w:left w:w="150" w:type="dxa"/>
              <w:bottom w:w="120" w:type="dxa"/>
              <w:right w:w="150" w:type="dxa"/>
            </w:tcMar>
            <w:vAlign w:val="center"/>
          </w:tcPr>
          <w:p w14:paraId="21295210" w14:textId="77777777" w:rsidR="00003391" w:rsidRDefault="000961DE">
            <w:pPr>
              <w:rPr>
                <w:rFonts w:hint="eastAsia"/>
              </w:rPr>
            </w:pPr>
            <w:r>
              <w:rPr>
                <w:b/>
                <w:color w:val="FFFFFF"/>
                <w:sz w:val="19"/>
              </w:rPr>
              <w:t>开发关注点</w:t>
            </w:r>
          </w:p>
        </w:tc>
      </w:tr>
      <w:tr w:rsidR="00003391" w14:paraId="2403CF7F" w14:textId="77777777">
        <w:trPr>
          <w:jc w:val="center"/>
        </w:trPr>
        <w:tc>
          <w:tcPr>
            <w:tcW w:w="4759" w:type="dxa"/>
            <w:tcMar>
              <w:top w:w="120" w:type="dxa"/>
              <w:left w:w="150" w:type="dxa"/>
              <w:bottom w:w="120" w:type="dxa"/>
              <w:right w:w="150" w:type="dxa"/>
            </w:tcMar>
            <w:vAlign w:val="center"/>
          </w:tcPr>
          <w:p w14:paraId="66763D5B" w14:textId="77777777" w:rsidR="00003391" w:rsidRDefault="000961DE">
            <w:pPr>
              <w:rPr>
                <w:rFonts w:hint="eastAsia"/>
              </w:rPr>
            </w:pPr>
            <w:r>
              <w:rPr>
                <w:color w:val="373D45"/>
                <w:sz w:val="19"/>
              </w:rPr>
              <w:t>溶解与分散</w:t>
            </w:r>
          </w:p>
        </w:tc>
        <w:tc>
          <w:tcPr>
            <w:tcW w:w="4759" w:type="dxa"/>
            <w:tcMar>
              <w:top w:w="120" w:type="dxa"/>
              <w:left w:w="150" w:type="dxa"/>
              <w:bottom w:w="120" w:type="dxa"/>
              <w:right w:w="150" w:type="dxa"/>
            </w:tcMar>
            <w:vAlign w:val="center"/>
          </w:tcPr>
          <w:p w14:paraId="611CAC1D" w14:textId="77777777" w:rsidR="00003391" w:rsidRDefault="000961DE">
            <w:pPr>
              <w:rPr>
                <w:rFonts w:hint="eastAsia"/>
                <w:lang w:eastAsia="zh-CN"/>
              </w:rPr>
            </w:pPr>
            <w:r>
              <w:rPr>
                <w:color w:val="373D45"/>
                <w:sz w:val="19"/>
                <w:lang w:eastAsia="zh-CN"/>
              </w:rPr>
              <w:t>是否适合饮料、奶昔、粉剂或固体食品，是否容易结团或沉淀</w:t>
            </w:r>
          </w:p>
        </w:tc>
      </w:tr>
      <w:tr w:rsidR="00003391" w14:paraId="555D1D19" w14:textId="77777777">
        <w:trPr>
          <w:jc w:val="center"/>
        </w:trPr>
        <w:tc>
          <w:tcPr>
            <w:tcW w:w="4759" w:type="dxa"/>
            <w:shd w:val="clear" w:color="auto" w:fill="F3F6F8"/>
            <w:tcMar>
              <w:top w:w="120" w:type="dxa"/>
              <w:left w:w="150" w:type="dxa"/>
              <w:bottom w:w="120" w:type="dxa"/>
              <w:right w:w="150" w:type="dxa"/>
            </w:tcMar>
            <w:vAlign w:val="center"/>
          </w:tcPr>
          <w:p w14:paraId="413BF163" w14:textId="77777777" w:rsidR="00003391" w:rsidRDefault="000961DE">
            <w:pPr>
              <w:rPr>
                <w:rFonts w:hint="eastAsia"/>
              </w:rPr>
            </w:pPr>
            <w:proofErr w:type="spellStart"/>
            <w:r>
              <w:rPr>
                <w:color w:val="373D45"/>
                <w:sz w:val="19"/>
              </w:rPr>
              <w:lastRenderedPageBreak/>
              <w:t>黏度与口感</w:t>
            </w:r>
            <w:proofErr w:type="spellEnd"/>
          </w:p>
        </w:tc>
        <w:tc>
          <w:tcPr>
            <w:tcW w:w="4759" w:type="dxa"/>
            <w:shd w:val="clear" w:color="auto" w:fill="F3F6F8"/>
            <w:tcMar>
              <w:top w:w="120" w:type="dxa"/>
              <w:left w:w="150" w:type="dxa"/>
              <w:bottom w:w="120" w:type="dxa"/>
              <w:right w:w="150" w:type="dxa"/>
            </w:tcMar>
            <w:vAlign w:val="center"/>
          </w:tcPr>
          <w:p w14:paraId="33A829EC" w14:textId="77777777" w:rsidR="00003391" w:rsidRDefault="000961DE">
            <w:pPr>
              <w:rPr>
                <w:rFonts w:hint="eastAsia"/>
                <w:lang w:eastAsia="zh-CN"/>
              </w:rPr>
            </w:pPr>
            <w:r>
              <w:rPr>
                <w:color w:val="373D45"/>
                <w:sz w:val="19"/>
                <w:lang w:eastAsia="zh-CN"/>
              </w:rPr>
              <w:t>添加后是否带来明显增稠、粉感或异味</w:t>
            </w:r>
          </w:p>
        </w:tc>
      </w:tr>
      <w:tr w:rsidR="00003391" w14:paraId="4790D3E4" w14:textId="77777777">
        <w:trPr>
          <w:jc w:val="center"/>
        </w:trPr>
        <w:tc>
          <w:tcPr>
            <w:tcW w:w="4759" w:type="dxa"/>
            <w:tcMar>
              <w:top w:w="120" w:type="dxa"/>
              <w:left w:w="150" w:type="dxa"/>
              <w:bottom w:w="120" w:type="dxa"/>
              <w:right w:w="150" w:type="dxa"/>
            </w:tcMar>
            <w:vAlign w:val="center"/>
          </w:tcPr>
          <w:p w14:paraId="7032242B" w14:textId="77777777" w:rsidR="00003391" w:rsidRDefault="000961DE">
            <w:pPr>
              <w:rPr>
                <w:rFonts w:hint="eastAsia"/>
              </w:rPr>
            </w:pPr>
            <w:proofErr w:type="spellStart"/>
            <w:r>
              <w:rPr>
                <w:color w:val="373D45"/>
                <w:sz w:val="19"/>
              </w:rPr>
              <w:t>胃肠耐受</w:t>
            </w:r>
            <w:proofErr w:type="spellEnd"/>
          </w:p>
        </w:tc>
        <w:tc>
          <w:tcPr>
            <w:tcW w:w="4759" w:type="dxa"/>
            <w:tcMar>
              <w:top w:w="120" w:type="dxa"/>
              <w:left w:w="150" w:type="dxa"/>
              <w:bottom w:w="120" w:type="dxa"/>
              <w:right w:w="150" w:type="dxa"/>
            </w:tcMar>
            <w:vAlign w:val="center"/>
          </w:tcPr>
          <w:p w14:paraId="4EA26887" w14:textId="77777777" w:rsidR="00003391" w:rsidRDefault="000961DE">
            <w:pPr>
              <w:rPr>
                <w:rFonts w:hint="eastAsia"/>
                <w:lang w:eastAsia="zh-CN"/>
              </w:rPr>
            </w:pPr>
            <w:r>
              <w:rPr>
                <w:color w:val="373D45"/>
                <w:sz w:val="19"/>
                <w:lang w:eastAsia="zh-CN"/>
              </w:rPr>
              <w:t>目标添加量下是否容易引起胀气或不适</w:t>
            </w:r>
          </w:p>
        </w:tc>
      </w:tr>
      <w:tr w:rsidR="00003391" w14:paraId="031283B0" w14:textId="77777777">
        <w:trPr>
          <w:jc w:val="center"/>
        </w:trPr>
        <w:tc>
          <w:tcPr>
            <w:tcW w:w="4759" w:type="dxa"/>
            <w:shd w:val="clear" w:color="auto" w:fill="F3F6F8"/>
            <w:tcMar>
              <w:top w:w="120" w:type="dxa"/>
              <w:left w:w="150" w:type="dxa"/>
              <w:bottom w:w="120" w:type="dxa"/>
              <w:right w:w="150" w:type="dxa"/>
            </w:tcMar>
            <w:vAlign w:val="center"/>
          </w:tcPr>
          <w:p w14:paraId="1A1DAB4C" w14:textId="77777777" w:rsidR="00003391" w:rsidRDefault="000961DE">
            <w:pPr>
              <w:rPr>
                <w:rFonts w:hint="eastAsia"/>
              </w:rPr>
            </w:pPr>
            <w:proofErr w:type="spellStart"/>
            <w:r>
              <w:rPr>
                <w:color w:val="373D45"/>
                <w:sz w:val="19"/>
              </w:rPr>
              <w:t>发酵特征</w:t>
            </w:r>
            <w:proofErr w:type="spellEnd"/>
          </w:p>
        </w:tc>
        <w:tc>
          <w:tcPr>
            <w:tcW w:w="4759" w:type="dxa"/>
            <w:shd w:val="clear" w:color="auto" w:fill="F3F6F8"/>
            <w:tcMar>
              <w:top w:w="120" w:type="dxa"/>
              <w:left w:w="150" w:type="dxa"/>
              <w:bottom w:w="120" w:type="dxa"/>
              <w:right w:w="150" w:type="dxa"/>
            </w:tcMar>
            <w:vAlign w:val="center"/>
          </w:tcPr>
          <w:p w14:paraId="7F413170" w14:textId="77777777" w:rsidR="00003391" w:rsidRDefault="000961DE">
            <w:pPr>
              <w:rPr>
                <w:rFonts w:hint="eastAsia"/>
                <w:lang w:eastAsia="zh-CN"/>
              </w:rPr>
            </w:pPr>
            <w:r>
              <w:rPr>
                <w:color w:val="373D45"/>
                <w:sz w:val="19"/>
                <w:lang w:eastAsia="zh-CN"/>
              </w:rPr>
              <w:t>发酵速度是否适合目标人群和产品定位</w:t>
            </w:r>
          </w:p>
        </w:tc>
      </w:tr>
      <w:tr w:rsidR="00003391" w14:paraId="04203EDD" w14:textId="77777777">
        <w:trPr>
          <w:jc w:val="center"/>
        </w:trPr>
        <w:tc>
          <w:tcPr>
            <w:tcW w:w="4759" w:type="dxa"/>
            <w:tcMar>
              <w:top w:w="120" w:type="dxa"/>
              <w:left w:w="150" w:type="dxa"/>
              <w:bottom w:w="120" w:type="dxa"/>
              <w:right w:w="150" w:type="dxa"/>
            </w:tcMar>
            <w:vAlign w:val="center"/>
          </w:tcPr>
          <w:p w14:paraId="78529CEC" w14:textId="77777777" w:rsidR="00003391" w:rsidRDefault="000961DE">
            <w:pPr>
              <w:rPr>
                <w:rFonts w:hint="eastAsia"/>
              </w:rPr>
            </w:pPr>
            <w:proofErr w:type="spellStart"/>
            <w:r>
              <w:rPr>
                <w:color w:val="373D45"/>
                <w:sz w:val="19"/>
              </w:rPr>
              <w:t>稳定</w:t>
            </w:r>
            <w:proofErr w:type="spellEnd"/>
            <w:r w:rsidR="002D7357">
              <w:rPr>
                <w:rFonts w:hint="eastAsia"/>
                <w:color w:val="373D45"/>
                <w:sz w:val="19"/>
                <w:lang w:eastAsia="zh-CN"/>
              </w:rPr>
              <w:t>性</w:t>
            </w:r>
          </w:p>
        </w:tc>
        <w:tc>
          <w:tcPr>
            <w:tcW w:w="4759" w:type="dxa"/>
            <w:tcMar>
              <w:top w:w="120" w:type="dxa"/>
              <w:left w:w="150" w:type="dxa"/>
              <w:bottom w:w="120" w:type="dxa"/>
              <w:right w:w="150" w:type="dxa"/>
            </w:tcMar>
            <w:vAlign w:val="center"/>
          </w:tcPr>
          <w:p w14:paraId="145B0D77" w14:textId="77777777" w:rsidR="00003391" w:rsidRDefault="000961DE">
            <w:pPr>
              <w:rPr>
                <w:rFonts w:hint="eastAsia"/>
                <w:lang w:eastAsia="zh-CN"/>
              </w:rPr>
            </w:pPr>
            <w:r>
              <w:rPr>
                <w:color w:val="373D45"/>
                <w:sz w:val="19"/>
                <w:lang w:eastAsia="zh-CN"/>
              </w:rPr>
              <w:t>对酸度、温度、剪切和货架期的适应能力</w:t>
            </w:r>
          </w:p>
        </w:tc>
      </w:tr>
      <w:tr w:rsidR="00003391" w14:paraId="44FF046E" w14:textId="77777777">
        <w:trPr>
          <w:jc w:val="center"/>
        </w:trPr>
        <w:tc>
          <w:tcPr>
            <w:tcW w:w="4759" w:type="dxa"/>
            <w:shd w:val="clear" w:color="auto" w:fill="F3F6F8"/>
            <w:tcMar>
              <w:top w:w="120" w:type="dxa"/>
              <w:left w:w="150" w:type="dxa"/>
              <w:bottom w:w="120" w:type="dxa"/>
              <w:right w:w="150" w:type="dxa"/>
            </w:tcMar>
            <w:vAlign w:val="center"/>
          </w:tcPr>
          <w:p w14:paraId="64185357" w14:textId="77777777" w:rsidR="00003391" w:rsidRDefault="000961DE">
            <w:pPr>
              <w:rPr>
                <w:rFonts w:hint="eastAsia"/>
              </w:rPr>
            </w:pPr>
            <w:proofErr w:type="spellStart"/>
            <w:r>
              <w:rPr>
                <w:color w:val="373D45"/>
                <w:sz w:val="19"/>
              </w:rPr>
              <w:t>复配能力</w:t>
            </w:r>
            <w:proofErr w:type="spellEnd"/>
          </w:p>
        </w:tc>
        <w:tc>
          <w:tcPr>
            <w:tcW w:w="4759" w:type="dxa"/>
            <w:shd w:val="clear" w:color="auto" w:fill="F3F6F8"/>
            <w:tcMar>
              <w:top w:w="120" w:type="dxa"/>
              <w:left w:w="150" w:type="dxa"/>
              <w:bottom w:w="120" w:type="dxa"/>
              <w:right w:w="150" w:type="dxa"/>
            </w:tcMar>
            <w:vAlign w:val="center"/>
          </w:tcPr>
          <w:p w14:paraId="14420D25" w14:textId="77777777" w:rsidR="00003391" w:rsidRDefault="000961DE">
            <w:pPr>
              <w:rPr>
                <w:rFonts w:hint="eastAsia"/>
                <w:lang w:eastAsia="zh-CN"/>
              </w:rPr>
            </w:pPr>
            <w:r>
              <w:rPr>
                <w:color w:val="373D45"/>
                <w:sz w:val="19"/>
                <w:lang w:eastAsia="zh-CN"/>
              </w:rPr>
              <w:t>与蛋白质、矿物质、益生菌、后生元及植物活性成分的兼容性</w:t>
            </w:r>
          </w:p>
        </w:tc>
      </w:tr>
    </w:tbl>
    <w:p w14:paraId="0659CE73" w14:textId="77777777" w:rsidR="00003391" w:rsidRDefault="000961DE">
      <w:pPr>
        <w:pStyle w:val="1"/>
        <w:rPr>
          <w:lang w:eastAsia="zh-CN"/>
        </w:rPr>
      </w:pPr>
      <w:r>
        <w:rPr>
          <w:rFonts w:ascii="微软雅黑" w:eastAsia="微软雅黑" w:hAnsi="微软雅黑"/>
          <w:lang w:eastAsia="zh-CN"/>
        </w:rPr>
        <w:t>四、PHGG在伴随营养中的应用潜力</w:t>
      </w:r>
    </w:p>
    <w:p w14:paraId="3E51C720" w14:textId="77777777" w:rsidR="00003391" w:rsidRDefault="000961DE">
      <w:pPr>
        <w:pStyle w:val="14"/>
        <w:rPr>
          <w:rFonts w:hint="eastAsia"/>
          <w:lang w:eastAsia="zh-CN"/>
        </w:rPr>
      </w:pPr>
      <w:r>
        <w:rPr>
          <w:lang w:eastAsia="zh-CN"/>
        </w:rPr>
        <w:t>部分水解瓜尔胶是一类水溶性膳食纤维。相较于高黏度瓜尔胶，经过部分水解后，其黏度明显降低，更适合需要保持顺滑口感和良好冲调性的产品。</w:t>
      </w:r>
    </w:p>
    <w:p w14:paraId="6250FD0D" w14:textId="77777777" w:rsidR="00003391" w:rsidRDefault="000961DE">
      <w:pPr>
        <w:pStyle w:val="14"/>
        <w:rPr>
          <w:rFonts w:hint="eastAsia"/>
          <w:lang w:eastAsia="zh-CN"/>
        </w:rPr>
      </w:pPr>
      <w:r>
        <w:rPr>
          <w:lang w:eastAsia="zh-CN"/>
        </w:rPr>
        <w:t>在GLP-1伴随营养场景中，部分水解瓜尔胶的开发价值主要体现在以下几个方面：</w:t>
      </w:r>
    </w:p>
    <w:p w14:paraId="5808C12D" w14:textId="77777777" w:rsidR="00003391" w:rsidRDefault="000961DE">
      <w:pPr>
        <w:pStyle w:val="15"/>
        <w:rPr>
          <w:rFonts w:hint="eastAsia"/>
          <w:lang w:eastAsia="zh-CN"/>
        </w:rPr>
      </w:pPr>
      <w:r>
        <w:rPr>
          <w:lang w:eastAsia="zh-CN"/>
        </w:rPr>
        <w:t>低黏度与良好分散性，适合代餐奶昔、固体饮料、即饮饮品等剂型；</w:t>
      </w:r>
    </w:p>
    <w:p w14:paraId="62E7B2F0" w14:textId="77777777" w:rsidR="00003391" w:rsidRDefault="002D7357">
      <w:pPr>
        <w:pStyle w:val="15"/>
        <w:rPr>
          <w:rFonts w:hint="eastAsia"/>
          <w:lang w:eastAsia="zh-CN"/>
        </w:rPr>
      </w:pPr>
      <w:r>
        <w:rPr>
          <w:rFonts w:hint="eastAsia"/>
          <w:lang w:eastAsia="zh-CN"/>
        </w:rPr>
        <w:t>属于低</w:t>
      </w:r>
      <w:r>
        <w:rPr>
          <w:lang w:eastAsia="zh-CN"/>
        </w:rPr>
        <w:t>FODMAP，</w:t>
      </w:r>
      <w:r w:rsidR="000961DE">
        <w:rPr>
          <w:lang w:eastAsia="zh-CN"/>
        </w:rPr>
        <w:t>相对温和，有利于面向关注胃肠舒适度的人群进行产品设计；</w:t>
      </w:r>
    </w:p>
    <w:p w14:paraId="6DC887FD" w14:textId="77777777" w:rsidR="00003391" w:rsidRDefault="002D7357">
      <w:pPr>
        <w:pStyle w:val="15"/>
        <w:rPr>
          <w:rFonts w:hint="eastAsia"/>
          <w:lang w:eastAsia="zh-CN"/>
        </w:rPr>
      </w:pPr>
      <w:r>
        <w:rPr>
          <w:rFonts w:hint="eastAsia"/>
          <w:lang w:eastAsia="zh-CN"/>
        </w:rPr>
        <w:t>可与</w:t>
      </w:r>
      <w:r w:rsidR="000961DE">
        <w:rPr>
          <w:lang w:eastAsia="zh-CN"/>
        </w:rPr>
        <w:t>蛋白质、后生元、</w:t>
      </w:r>
      <w:r>
        <w:rPr>
          <w:rFonts w:hint="eastAsia"/>
          <w:lang w:eastAsia="zh-CN"/>
        </w:rPr>
        <w:t>益生菌、</w:t>
      </w:r>
      <w:r w:rsidR="000961DE">
        <w:rPr>
          <w:lang w:eastAsia="zh-CN"/>
        </w:rPr>
        <w:t>矿物质和植物活性成分组合；</w:t>
      </w:r>
    </w:p>
    <w:p w14:paraId="4115D6D7" w14:textId="77777777" w:rsidR="00003391" w:rsidRDefault="000961DE">
      <w:pPr>
        <w:pStyle w:val="15"/>
        <w:rPr>
          <w:rFonts w:hint="eastAsia"/>
          <w:lang w:eastAsia="zh-CN"/>
        </w:rPr>
      </w:pPr>
      <w:r>
        <w:rPr>
          <w:lang w:eastAsia="zh-CN"/>
        </w:rPr>
        <w:t>口味存在感较低，</w:t>
      </w:r>
      <w:r w:rsidR="002D7357">
        <w:rPr>
          <w:rFonts w:hint="eastAsia"/>
          <w:lang w:eastAsia="zh-CN"/>
        </w:rPr>
        <w:t>极低的甜味，</w:t>
      </w:r>
      <w:r>
        <w:rPr>
          <w:lang w:eastAsia="zh-CN"/>
        </w:rPr>
        <w:t>便于开发日常化、长期使用的营养产品。</w:t>
      </w:r>
    </w:p>
    <w:p w14:paraId="7DDFDF87" w14:textId="77777777" w:rsidR="00003391" w:rsidRDefault="000961DE">
      <w:pPr>
        <w:pStyle w:val="1"/>
        <w:rPr>
          <w:lang w:eastAsia="zh-CN"/>
        </w:rPr>
      </w:pPr>
      <w:r>
        <w:rPr>
          <w:rFonts w:ascii="微软雅黑" w:eastAsia="微软雅黑" w:hAnsi="微软雅黑"/>
          <w:lang w:eastAsia="zh-CN"/>
        </w:rPr>
        <w:t>五、值得关注的四类产品机会</w:t>
      </w:r>
    </w:p>
    <w:p w14:paraId="108F2DB0" w14:textId="77777777" w:rsidR="00003391" w:rsidRDefault="000961DE">
      <w:pPr>
        <w:pStyle w:val="21"/>
        <w:rPr>
          <w:lang w:eastAsia="zh-CN"/>
        </w:rPr>
      </w:pPr>
      <w:r>
        <w:rPr>
          <w:rFonts w:ascii="微软雅黑" w:eastAsia="微软雅黑" w:hAnsi="微软雅黑"/>
          <w:lang w:eastAsia="zh-CN"/>
        </w:rPr>
        <w:t>高蛋白加高纤维营养奶昔</w:t>
      </w:r>
    </w:p>
    <w:p w14:paraId="5FD8854A" w14:textId="77777777" w:rsidR="00003391" w:rsidRDefault="000961DE">
      <w:pPr>
        <w:pStyle w:val="14"/>
        <w:rPr>
          <w:rFonts w:hint="eastAsia"/>
          <w:lang w:eastAsia="zh-CN"/>
        </w:rPr>
      </w:pPr>
      <w:r>
        <w:rPr>
          <w:lang w:eastAsia="zh-CN"/>
        </w:rPr>
        <w:t>蛋白质有助于构建更完整的营养基础，膳食纤维则可强化饱腹管理与肠道健康定位。开发重点是控制整体黏度、粉感和冲调性，避免产品因“高营养”而牺牲饮用体验。</w:t>
      </w:r>
    </w:p>
    <w:p w14:paraId="107E453F" w14:textId="77777777" w:rsidR="00003391" w:rsidRDefault="000961DE">
      <w:pPr>
        <w:pStyle w:val="21"/>
        <w:rPr>
          <w:lang w:eastAsia="zh-CN"/>
        </w:rPr>
      </w:pPr>
      <w:r>
        <w:rPr>
          <w:rFonts w:ascii="微软雅黑" w:eastAsia="微软雅黑" w:hAnsi="微软雅黑"/>
          <w:lang w:eastAsia="zh-CN"/>
        </w:rPr>
        <w:lastRenderedPageBreak/>
        <w:t>日常型肠道健康饮品</w:t>
      </w:r>
    </w:p>
    <w:p w14:paraId="573341CD" w14:textId="77777777" w:rsidR="00003391" w:rsidRDefault="000961DE">
      <w:pPr>
        <w:pStyle w:val="14"/>
        <w:rPr>
          <w:rFonts w:hint="eastAsia"/>
          <w:lang w:eastAsia="zh-CN"/>
        </w:rPr>
      </w:pPr>
      <w:r>
        <w:rPr>
          <w:lang w:eastAsia="zh-CN"/>
        </w:rPr>
        <w:t>以低负担、轻口感和每日可坚持为核心，将膳食纤维与益生元、后生元或电解质系统结合，适合做成即饮饮料、冲调粉或条袋装产品。</w:t>
      </w:r>
    </w:p>
    <w:p w14:paraId="64702CFD" w14:textId="77777777" w:rsidR="00003391" w:rsidRDefault="000961DE">
      <w:pPr>
        <w:pStyle w:val="21"/>
        <w:rPr>
          <w:lang w:eastAsia="zh-CN"/>
        </w:rPr>
      </w:pPr>
      <w:r>
        <w:rPr>
          <w:rFonts w:ascii="微软雅黑" w:eastAsia="微软雅黑" w:hAnsi="微软雅黑"/>
          <w:lang w:eastAsia="zh-CN"/>
        </w:rPr>
        <w:t>高纤零食与烘焙产品</w:t>
      </w:r>
    </w:p>
    <w:p w14:paraId="3E7AC5BE" w14:textId="77777777" w:rsidR="00003391" w:rsidRDefault="000961DE">
      <w:pPr>
        <w:pStyle w:val="14"/>
        <w:rPr>
          <w:rFonts w:hint="eastAsia"/>
          <w:lang w:eastAsia="zh-CN"/>
        </w:rPr>
      </w:pPr>
      <w:r>
        <w:rPr>
          <w:lang w:eastAsia="zh-CN"/>
        </w:rPr>
        <w:t>饼干、能量棒、烘焙食品和功能零食能够为不习惯服用营养补充剂的消费者提供更自然的摄入场景。配方重点包括含水率、质构、甜味系统和货架期管理。</w:t>
      </w:r>
    </w:p>
    <w:p w14:paraId="0700F014" w14:textId="77777777" w:rsidR="00003391" w:rsidRDefault="000961DE">
      <w:pPr>
        <w:pStyle w:val="21"/>
        <w:rPr>
          <w:lang w:eastAsia="zh-CN"/>
        </w:rPr>
      </w:pPr>
      <w:r>
        <w:rPr>
          <w:rFonts w:ascii="微软雅黑" w:eastAsia="微软雅黑" w:hAnsi="微软雅黑"/>
          <w:lang w:eastAsia="zh-CN"/>
        </w:rPr>
        <w:t>分阶段伴随营养产品</w:t>
      </w:r>
    </w:p>
    <w:p w14:paraId="4A06F1E0" w14:textId="77777777" w:rsidR="00003391" w:rsidRDefault="000961DE">
      <w:pPr>
        <w:pStyle w:val="14"/>
        <w:rPr>
          <w:rFonts w:hint="eastAsia"/>
          <w:lang w:eastAsia="zh-CN"/>
        </w:rPr>
      </w:pPr>
      <w:r>
        <w:rPr>
          <w:lang w:eastAsia="zh-CN"/>
        </w:rPr>
        <w:t>可围绕“初期适应、稳定管理和长期维持”设计不同配方，例如在不同阶段调整蛋白质、膳食纤维、电解质和微量营养素的组合，提升产品体系的专业度。</w:t>
      </w:r>
    </w:p>
    <w:p w14:paraId="077A0A93" w14:textId="24FB560A" w:rsidR="00003391" w:rsidRDefault="000961DE">
      <w:pPr>
        <w:pStyle w:val="1"/>
        <w:rPr>
          <w:lang w:eastAsia="zh-CN"/>
        </w:rPr>
      </w:pPr>
      <w:r>
        <w:rPr>
          <w:rFonts w:ascii="微软雅黑" w:eastAsia="微软雅黑" w:hAnsi="微软雅黑"/>
          <w:lang w:eastAsia="zh-CN"/>
        </w:rPr>
        <w:t>六、观点</w:t>
      </w:r>
    </w:p>
    <w:p w14:paraId="6FF467F7" w14:textId="77777777" w:rsidR="00003391" w:rsidRDefault="000961DE">
      <w:pPr>
        <w:pStyle w:val="14"/>
        <w:rPr>
          <w:rFonts w:hint="eastAsia"/>
          <w:lang w:eastAsia="zh-CN"/>
        </w:rPr>
      </w:pPr>
      <w:r>
        <w:rPr>
          <w:lang w:eastAsia="zh-CN"/>
        </w:rPr>
        <w:t>GLP-1时代的膳食纤维机会，并不只是增加一种原料，而是重新设计体重管理产品的价值结构。未来更具竞争力的产品，需要同时考虑营养密度、胃肠耐受、口感体验、使用便利性与长期坚持。</w:t>
      </w:r>
    </w:p>
    <w:p w14:paraId="0E456246" w14:textId="77777777" w:rsidR="00003391" w:rsidRDefault="000961DE">
      <w:pPr>
        <w:pStyle w:val="14"/>
        <w:rPr>
          <w:rFonts w:hint="eastAsia"/>
          <w:lang w:eastAsia="zh-CN"/>
        </w:rPr>
      </w:pPr>
      <w:r>
        <w:rPr>
          <w:lang w:eastAsia="zh-CN"/>
        </w:rPr>
        <w:t>对品牌而言，膳食纤维可作为贯穿多种产品形态的基础平台，与蛋白质、益生元、后生元、植物提取物和矿物质形成组合。产品开发应从真实消费场景出发，避免过度承诺，并通过配方测试和科学证据建立可信度。</w:t>
      </w:r>
    </w:p>
    <w:p w14:paraId="16D7CE81" w14:textId="77777777" w:rsidR="00003391" w:rsidRDefault="000961DE">
      <w:pPr>
        <w:pStyle w:val="14"/>
        <w:rPr>
          <w:rFonts w:hint="eastAsia"/>
          <w:lang w:eastAsia="zh-CN"/>
        </w:rPr>
      </w:pPr>
      <w:r>
        <w:rPr>
          <w:lang w:eastAsia="zh-CN"/>
        </w:rPr>
        <w:t>从肠道健康到代谢支持，从体重管理到健康老龄化，膳食纤维将在下一代营养产品中扮演更重要的角色。</w:t>
      </w:r>
    </w:p>
    <w:p w14:paraId="7019F1BE" w14:textId="77777777" w:rsidR="00003391" w:rsidRDefault="00003391">
      <w:pPr>
        <w:spacing w:before="280"/>
        <w:rPr>
          <w:rFonts w:hint="eastAsia"/>
          <w:lang w:eastAsia="zh-CN"/>
        </w:rPr>
      </w:pPr>
    </w:p>
    <w:tbl>
      <w:tblPr>
        <w:tblW w:w="0" w:type="auto"/>
        <w:jc w:val="center"/>
        <w:tblLook w:val="04A0" w:firstRow="1" w:lastRow="0" w:firstColumn="1" w:lastColumn="0" w:noHBand="0" w:noVBand="1"/>
      </w:tblPr>
      <w:tblGrid>
        <w:gridCol w:w="9518"/>
      </w:tblGrid>
      <w:tr w:rsidR="00003391" w14:paraId="1A707BF1" w14:textId="77777777">
        <w:trPr>
          <w:jc w:val="center"/>
        </w:trPr>
        <w:tc>
          <w:tcPr>
            <w:tcW w:w="9518" w:type="dxa"/>
            <w:shd w:val="clear" w:color="auto" w:fill="E8EFF8"/>
            <w:tcMar>
              <w:top w:w="220" w:type="dxa"/>
              <w:left w:w="260" w:type="dxa"/>
              <w:bottom w:w="220" w:type="dxa"/>
              <w:right w:w="260" w:type="dxa"/>
            </w:tcMar>
          </w:tcPr>
          <w:p w14:paraId="2E5BFFC9" w14:textId="77777777" w:rsidR="00003391" w:rsidRDefault="000961DE">
            <w:pPr>
              <w:rPr>
                <w:rFonts w:hint="eastAsia"/>
                <w:lang w:eastAsia="zh-CN"/>
              </w:rPr>
            </w:pPr>
            <w:r>
              <w:rPr>
                <w:b/>
                <w:color w:val="224F80"/>
                <w:sz w:val="24"/>
                <w:lang w:eastAsia="zh-CN"/>
              </w:rPr>
              <w:lastRenderedPageBreak/>
              <w:t>开发提示</w:t>
            </w:r>
            <w:r>
              <w:rPr>
                <w:b/>
                <w:color w:val="224F80"/>
                <w:sz w:val="24"/>
                <w:lang w:eastAsia="zh-CN"/>
              </w:rPr>
              <w:br/>
            </w:r>
            <w:r>
              <w:rPr>
                <w:color w:val="373D45"/>
                <w:sz w:val="20"/>
                <w:lang w:eastAsia="zh-CN"/>
              </w:rPr>
              <w:t>适合进一步延展为“GLP-1伴随营养解决方案”专题页，并关联高蛋白高纤奶昔、肠道健康饮品及功能零食等应用方向。</w:t>
            </w:r>
          </w:p>
        </w:tc>
      </w:tr>
    </w:tbl>
    <w:p w14:paraId="684F8FAF" w14:textId="77777777" w:rsidR="00003391" w:rsidRDefault="000961DE">
      <w:pPr>
        <w:spacing w:before="240" w:after="0"/>
        <w:rPr>
          <w:rFonts w:hint="eastAsia"/>
          <w:lang w:eastAsia="zh-CN"/>
        </w:rPr>
      </w:pPr>
      <w:r>
        <w:rPr>
          <w:color w:val="787878"/>
          <w:sz w:val="17"/>
          <w:lang w:eastAsia="zh-CN"/>
        </w:rPr>
        <w:t>说明：本文为官网技术洞察示范稿，不构成医疗建议或产品功效承诺。正式发布前，应结合目标市场法规、所用原料证据及最终配方进行合规审核。</w:t>
      </w:r>
    </w:p>
    <w:sectPr w:rsidR="00003391" w:rsidSect="00034616">
      <w:headerReference w:type="default" r:id="rId8"/>
      <w:footerReference w:type="default" r:id="rId9"/>
      <w:pgSz w:w="12240" w:h="15840"/>
      <w:pgMar w:top="1247" w:right="1361" w:bottom="1134" w:left="136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C15B3" w14:textId="77777777" w:rsidR="00A40BDB" w:rsidRDefault="00A40BDB">
      <w:pPr>
        <w:spacing w:after="0" w:line="240" w:lineRule="auto"/>
        <w:rPr>
          <w:rFonts w:hint="eastAsia"/>
        </w:rPr>
      </w:pPr>
      <w:r>
        <w:separator/>
      </w:r>
    </w:p>
  </w:endnote>
  <w:endnote w:type="continuationSeparator" w:id="0">
    <w:p w14:paraId="035C632F" w14:textId="77777777" w:rsidR="00A40BDB" w:rsidRDefault="00A40BD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F880" w14:textId="77777777" w:rsidR="00003391" w:rsidRDefault="000961DE">
    <w:pPr>
      <w:pStyle w:val="a7"/>
      <w:jc w:val="center"/>
      <w:rPr>
        <w:rFonts w:hint="eastAsia"/>
        <w:lang w:eastAsia="zh-CN"/>
      </w:rPr>
    </w:pPr>
    <w:r>
      <w:rPr>
        <w:color w:val="7D848C"/>
        <w:sz w:val="16"/>
        <w:lang w:eastAsia="zh-CN"/>
      </w:rPr>
      <w:t>技术</w:t>
    </w:r>
    <w:proofErr w:type="gramStart"/>
    <w:r>
      <w:rPr>
        <w:color w:val="7D848C"/>
        <w:sz w:val="16"/>
        <w:lang w:eastAsia="zh-CN"/>
      </w:rPr>
      <w:t xml:space="preserve">洞察 · </w:t>
    </w:r>
    <w:proofErr w:type="gramEnd"/>
    <w:r>
      <w:rPr>
        <w:color w:val="7D848C"/>
        <w:sz w:val="16"/>
        <w:lang w:eastAsia="zh-CN"/>
      </w:rPr>
      <w:t>膳食纤维与体重管理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CBFCF" w14:textId="77777777" w:rsidR="00A40BDB" w:rsidRDefault="00A40BDB">
      <w:pPr>
        <w:spacing w:after="0" w:line="240" w:lineRule="auto"/>
        <w:rPr>
          <w:rFonts w:hint="eastAsia"/>
        </w:rPr>
      </w:pPr>
      <w:r>
        <w:separator/>
      </w:r>
    </w:p>
  </w:footnote>
  <w:footnote w:type="continuationSeparator" w:id="0">
    <w:p w14:paraId="20E6401D" w14:textId="77777777" w:rsidR="00A40BDB" w:rsidRDefault="00A40BD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91CFE" w14:textId="77777777" w:rsidR="00003391" w:rsidRDefault="000961DE">
    <w:pPr>
      <w:pStyle w:val="a5"/>
      <w:jc w:val="right"/>
      <w:rPr>
        <w:rFonts w:hint="eastAsia"/>
      </w:rPr>
    </w:pPr>
    <w:proofErr w:type="gramStart"/>
    <w:r>
      <w:rPr>
        <w:b/>
        <w:color w:val="497E5E"/>
        <w:sz w:val="17"/>
      </w:rPr>
      <w:t xml:space="preserve">FENCHEM  </w:t>
    </w:r>
    <w:proofErr w:type="spellStart"/>
    <w:r>
      <w:rPr>
        <w:b/>
        <w:color w:val="497E5E"/>
        <w:sz w:val="17"/>
      </w:rPr>
      <w:t>技术洞察样本</w:t>
    </w:r>
    <w:proofErr w:type="spellEnd"/>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3045914">
    <w:abstractNumId w:val="8"/>
  </w:num>
  <w:num w:numId="2" w16cid:durableId="1543131628">
    <w:abstractNumId w:val="6"/>
  </w:num>
  <w:num w:numId="3" w16cid:durableId="1319652137">
    <w:abstractNumId w:val="5"/>
  </w:num>
  <w:num w:numId="4" w16cid:durableId="1345748222">
    <w:abstractNumId w:val="4"/>
  </w:num>
  <w:num w:numId="5" w16cid:durableId="1932928573">
    <w:abstractNumId w:val="7"/>
  </w:num>
  <w:num w:numId="6" w16cid:durableId="1307855049">
    <w:abstractNumId w:val="3"/>
  </w:num>
  <w:num w:numId="7" w16cid:durableId="71632586">
    <w:abstractNumId w:val="2"/>
  </w:num>
  <w:num w:numId="8" w16cid:durableId="1943493966">
    <w:abstractNumId w:val="1"/>
  </w:num>
  <w:num w:numId="9" w16cid:durableId="1726098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3391"/>
    <w:rsid w:val="00034616"/>
    <w:rsid w:val="0006063C"/>
    <w:rsid w:val="000961DE"/>
    <w:rsid w:val="0015074B"/>
    <w:rsid w:val="0029639D"/>
    <w:rsid w:val="002D7357"/>
    <w:rsid w:val="00326F90"/>
    <w:rsid w:val="0044278B"/>
    <w:rsid w:val="00902350"/>
    <w:rsid w:val="00A40B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FD479"/>
  <w14:defaultImageDpi w14:val="300"/>
  <w15:docId w15:val="{08047B28-3B3A-4D83-A860-DA0CB3E21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360" w:after="160"/>
      <w:outlineLvl w:val="0"/>
    </w:pPr>
    <w:rPr>
      <w:rFonts w:asciiTheme="majorHAnsi" w:eastAsiaTheme="majorEastAsia" w:hAnsiTheme="majorHAnsi" w:cstheme="majorBidi"/>
      <w:b/>
      <w:bCs/>
      <w:color w:val="1F5343"/>
      <w:sz w:val="36"/>
      <w:szCs w:val="28"/>
    </w:rPr>
  </w:style>
  <w:style w:type="paragraph" w:styleId="21">
    <w:name w:val="heading 2"/>
    <w:basedOn w:val="a1"/>
    <w:next w:val="a1"/>
    <w:link w:val="22"/>
    <w:uiPriority w:val="9"/>
    <w:unhideWhenUsed/>
    <w:qFormat/>
    <w:rsid w:val="00FC693F"/>
    <w:pPr>
      <w:keepNext/>
      <w:keepLines/>
      <w:spacing w:before="240" w:after="100"/>
      <w:outlineLvl w:val="1"/>
    </w:pPr>
    <w:rPr>
      <w:rFonts w:asciiTheme="majorHAnsi" w:eastAsiaTheme="majorEastAsia" w:hAnsiTheme="majorHAnsi" w:cstheme="majorBidi"/>
      <w:b/>
      <w:bCs/>
      <w:color w:val="224F80"/>
      <w:sz w:val="27"/>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Theme="majorHAnsi" w:eastAsiaTheme="majorEastAsia" w:hAnsiTheme="majorHAnsi" w:cstheme="majorBidi"/>
      <w:b/>
      <w:bCs/>
      <w:color w:val="2C3E5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正文1"/>
    <w:pPr>
      <w:spacing w:after="140" w:line="372" w:lineRule="auto"/>
    </w:pPr>
    <w:rPr>
      <w:rFonts w:ascii="微软雅黑" w:eastAsia="微软雅黑" w:hAnsi="微软雅黑"/>
      <w:color w:val="373D45"/>
      <w:sz w:val="21"/>
    </w:rPr>
  </w:style>
  <w:style w:type="paragraph" w:customStyle="1" w:styleId="15">
    <w:name w:val="要点1"/>
    <w:pPr>
      <w:spacing w:after="80" w:line="336" w:lineRule="auto"/>
      <w:ind w:left="369" w:hanging="142"/>
    </w:pPr>
    <w:rPr>
      <w:rFonts w:ascii="微软雅黑" w:eastAsia="微软雅黑" w:hAnsi="微软雅黑"/>
      <w:color w:val="373D45"/>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BE73BB-1AA7-4202-820B-C2E3A48CA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GLP-1时代的膳食纤维机会</dc:title>
  <dc:subject>Fenchem技术洞察样本</dc:subject>
  <dc:creator>Martin Ge</dc:creator>
  <cp:keywords>GLP-1, 膳食纤维, PHGG, 伴随营养, 体重管理</cp:keywords>
  <dc:description>generated by python-docx</dc:description>
  <cp:lastModifiedBy>Martin Ge</cp:lastModifiedBy>
  <cp:revision>3</cp:revision>
  <dcterms:created xsi:type="dcterms:W3CDTF">2026-10-13T07:47:00Z</dcterms:created>
  <dcterms:modified xsi:type="dcterms:W3CDTF">2026-10-13T07:52:00Z</dcterms:modified>
  <cp:category/>
</cp:coreProperties>
</file>