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GRUPPO KAROL S.p.A.</w:t>
      </w:r>
    </w:p>
    <w:p>
      <w:pPr>
        <w:spacing w:after="2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Analisi Critica e Q&amp;A per il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13/02/2026</w:t>
      </w:r>
      <w:r>
        <w:rPr>
          <w:rFonts w:ascii="Arial" w:cs="Arial" w:eastAsia="Arial" w:hAnsi="Arial"/>
          <w:sz w:val="20"/>
          <w:szCs w:val="20"/>
        </w:rPr>
        <w:t xml:space="preserve">  |  Fonti: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CE Q1 2025, HR Zucchetti, Provvisorio 31/08/2025, Bilancio SPA 2024, Consolidato 2024, BP 2025-2035, Information Memorandum Bond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Perimetro Sicilia: VLB, CTA, COS, KCP + HQ. Consolidato: tutte le strutture del Gruppo.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RICONCILIAZIONE FRA FONTI — SEGNALI D'ALLARME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Ricavi: BP vs Consuntivo — gap di €1,5M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BP 2025 prevede ricavi SPA di €12,9M. Il provvisorio al 31/08 mostra €7,62M (annualizzato €11,43M) e il Q1×4 restituisce €10,98M. Il bilancio 2024 chiude a €11,82M. Da dove vengono gli €1,1M incrementali che il BP assume rispetto al 2024?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Le tre fonti consuntive convergono su ~€11,2-11,8M per il 2025 Sicilia. Il BP include l'adeguamento tariffario +5% (approvato dalla Regione) che vale ~€550k e probabilmente l'avvio parziale del KMC. Ma il provvisorio 8M non mostra evidenza di ricavi incrementali significativi. Il gap residuo (~€500k) potrebbe essere una sovrastima. Se confermato, il BP base va rivisto al ribasso di almeno €1M.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MOL: deterioramento drammatico tra Q1 e 8M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Q1 annualizzato produce un MOL Industriale BU di €1,99M (18,1%). Ma il provvisorio 8M mostra un MOL complessivo di soli €319k (annualizzato €479k). Cosa è successo nei mesi aprile-agosto per bruciare €1,5M di margine?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Diverse cause probabili: (a) costi stagionali concentrati in Q2-Q3 (ferie, sostitutivi estivi, manutenzioni programmate), (b) l'adeguamento CTA di €160k/trim potrebbe non essere stato rinnovato nel Q2, (c) il provvisorio include ratei che il Q1 non catturava. Il dato 8M è più affidabile del Q1×4 come base di proiezione. Il management deve chiarire se il calo è strutturale o stagionale.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Oneri finanziari: sottostimati nel Q1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Q1 indica €97k annualizzati di oneri finanziari. Il provvisorio 8M mostra €197k (annualizzato €296k). Il bilancio 2024 riporta €268k SPA. Perché il Q1 era così basso?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Gli interessi passivi non sono lineari nel Q1: le rate Agenzia Entrate e INPS (rateizzazioni/rottamazione) partono spesso da Q2. Il dato reale è ~€270-300k/anno. Con il Bond da €5M al 5%, dal 2026 si aggiungeranno ~€250k/anno di interessi, portando il totale a ~€520-550k. Questo va inserito nel modello.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Ammortamenti: il buco nero del Q1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Q1 2025 non contiene ammortamenti. Il bilancio SPA 2024 riporta €893k, il consolidato €1,03M (cresciuti +1.157% rispetto al 2023). Perché il Q1 è a zero?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Gli ammortamenti vengono contabilizzati in sede di chiusura (semestrale o annuale), non trimestralmente nel CE gestionale. I €893k SPA/anno corrispondono a ~€224k/trimestre non contabilizzati. L'impennata 2024 (+€942k) riflette la capitalizzazione dei lavori per Borgo Ritrovato, KMC e Roma Santa Margherita. Dal 2027, con le 3 nuove BU operative, il BP stima €918k/anno consolidati solo Sicilia. L'EBIT reale del Q1 era quindi peggiore di quanto mostrato.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CRITICITA' STRUTTURALI — IL CE REALE DEL GRUPPO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La sede assorbe il 21% dei ricavi BU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 costi sede HQ ammontano a €2,34M/anno, pari al 21,3% dei ricavi delle BU. Il benchmark per gruppi sanitari comparabili è 8-12%. Questo significa che la sede distrugge quasi €1M di valore rispetto al benchmark. Quali consulenze compongono gli €812k/anno?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I costi sede si scompongono in: Personale HQ €1.172k (20 dipendenti per 4 BU — rapporto molto elevato), Consulenze/Servizi €812k (voce critica da scomporre per tipo e contratto), Affitti HQ €93k, Altri €166k, Oneri finanziari €91k. L'obiettivo realistico è portare la sede dal 21% al 14% dei ricavi BU (saving ~€770k/anno). Servono: (a) lista dettagliata consulenze con tipo, importo, durata contratto, (b) valutazione internalizzazione vs taglio, (c) revisione organico HQ.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 HQ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€ Annuo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Ricavi BU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 12%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Eccesso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Personale HQ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1.172k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10,7%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~660k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+512k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Consulenze/Servizi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812k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~440k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+372k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Affitti + Altri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259k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~220k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+39k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2.335k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21,3%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1.317k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+1.018k</w:t>
            </w:r>
          </w:p>
        </w:tc>
      </w:tr>
    </w:tbl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VLB e KCP: personale fuori controllo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VLB ha un costo personale del 74,9% sui ricavi (67 dipendenti su 44 PL, rapporto 1,52). KCP raggiunge il 79,3% (24 dipendenti su 20 PL). Il benchmark settore RSA è 55%. Queste strutture sono economicamente sostenibili?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VLB genera un MOL-I di appena €192k (7,3%) — che scompare dopo l'allocazione sede. Il problema non è il ricavo (tariffa RSA convenzionata è data) ma l'eccesso di organico. Azioni concrete: (a) revisione turni con obiettivo rapporto dipendenti/PL ≤ 1,2, (b) valutare se pulizie/lavanderia/ristorazione sono internalizzati e costo vs esternalizzazione, (c) rinegoziazione affitto immobile (€219k anomali). Per KCP, con soli 20 PL le diseconomie di scala sono strutturali: l'unica via è l'accorpamento operativo con VLB (condivisione servizi amministrativi, cucina, lavanderia).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CTA: dipendenza da adeguamento tariffario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CTA è la migliore BU per margine (MOL-I 33%). Ma include un adeguamento tariffario CTA di €640k/anno (23% dei ricavi CTA). Se la Regione non rinnova, il MOL-I crolla al 10%. Qual è il rischio?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L'adeguamento CTA è un'integrazione tariffaria regionale per la psichiatria, storicamente rinnovata ma sempre con discrezionalità politica. Se non rinnovato, il MOL-I BU totale scenderebbe da €1.986k a ~€1.346k (12,3%), e il MOL-G peggiorerebbe a -€780k. Questo scenario va esplicitamente modellato come stress test. La Relazione sulla Gestione 2024 menziona il +5% tariffario approvato, il che è positivo, ma non specifica la durata.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STATO PATRIMONIALE E DEBITO — LA BOMBA A OROLOGERIA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PFN: €19,1M consolidata (€24,3M da IM)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bilancio consolidato 2024 mostra PFN -€19,15M con equity di €3,79M (leverage 5,1x). L'IM per il Bond stima una PFN 2025 di -€24,3M. Il patrimonio netto copre meno del 20% dei debiti. Come si è arrivati qui?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La PFN si compone di: (a) debiti bancari €6,4M (finanziamenti ordinari + anticipi), (b) debiti tributari €8,78M consolidati (+56% vs 2023 — rottamazione e rateizzazioni), (c) debiti previdenziali €5,75M (+50%), (d) debiti vs controllate SPA €8,18M (intercompany). Il gruppo ha autofinanziato l'espansione (3 nuove BU, CAPEX €2,3M residuo) tramite debito fiscale e previdenziale piuttosto che equity o debito bancario strutturato. La rottamazione quinquies e il Bond €5M + MCC €5M servono esattamente a ristrutturare questa composizione insana del debito.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Crediti vs ASP: €13,2M e DSO ~140 giorni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provvisorio 31/08 mostra crediti commerciali di €13,2M. Con ricavi 8M di €7,62M, il DSO implicito è ~130-140 giorni. Il bilancio 2024 conferma DSO elevato. Quanto capitale circolante assorbe il ritardo ASP?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Con un DSO di 140 giorni vs benchmark 90 giorni, i crediti "in eccesso" ammontano a ~€1,8M (50 gg × €36k ricavi/giorno). Questo capitale è finanziato a debito. L'IM menziona €3M di crediti ASP certi come buffer per il DSCR, il che significa che una parte dei crediti è riconosciuta ma non ancora incassata. Il bilancio 2024 riporta €1,26M di proventi finanziari straordinari da interessi su crediti ASP scaduti — il che significa che l'ASP paga interessi di mora. Ma questi proventi mascherano la perdita operativa: senza di essi, il risultato netto SPA sarebbe stato -€800k anziché +€461k.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Interessi attivi ASP: il "trucco" del bilancio 2024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bilancio SPA 2024 mostra un utile netto di €461k. Ma i proventi finanziari sono €1,26M (di cui interessi su crediti ASP). Senza questa voce straordinaria, l'utile sarebbe stato -€800k. Questo reddito è ricorrente?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Semi-ricorrente ma non strutturale. Gli interessi di mora ASP maturano finché esistono crediti scaduti, ma il loro riconoscimento contabile dipende dalla certezza di incasso. Un piano di rientro ASP ridurrebbe i crediti e quindi i proventi futuri. Per il CdG, la raccomandazione è separare sempre il risultato "normalizzato" (senza proventi finanziari straordinari) dal risultato contabile, per dare al management una vista pulita della performance operativa.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PROIEZIONI E BOND — STRESS TEST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DSCR critico 2027-2028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BP mostra un DSCR &lt;1,0x nel 2027-2028, il periodo di massimo debt service (Bond + MCC + rottamazione). Il DSCR è la metrica chiave per i bondholders. Come si gestisce?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Il BP mitiga con: (a) €3M crediti ASP certi come riserva, (b) buffer cassa post-erogazione, (c) ramp-up progressivo delle 3 nuove BU che genera EBITDA incrementale. Ma il rischio è concreto: se Roma impiega 12 mesi invece di 6 per raggiungere break-even, o se il Bond viene erogato con ritardo, la cassa si esaurisce. Scenario da modellare: ritardo ramp-up di 6 mesi + mancato rinnovo adeguamento CTA = DSCR ~0,7x = covenant breach.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Le 3 nuove BU: ricavi attesi vs rischio esecuzione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Borgo Ritrovato, KMC e Roma Santa Margherita dovrebbero portare €6-7M di ricavi incrementali entro il 2027. Quanto è realistico?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Il profilo di rischio è diverso per ciascuna: (a) Borgo Ritrovato (RSA 40+20 PL Palermo): rischio basso, domanda RSA altissima in Sicilia, liste d'attesa. Ramp-up atteso 3-6 mesi. (b) KMC Day Surgery (privato): rischio medio-alto, primo approccio al mercato privato, serve marketing e referral network. Ramp-up 6-12 mesi. (c) Roma Santa Margherita (77 PL RSA Lazio): rischio alto, prima presenza fuori Sicilia, gestione remota, contesto normativo diverso, accreditamento da ottenere. Ramp-up 9-18 mesi. Il BP sembra assumere ramp-up omogeneo e rapido. Serve uno scenario conservativo con ramp-up differenziato.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ZES Unica: €550k non nel BP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Domanda: </w:t>
      </w:r>
      <w:r>
        <w:rPr>
          <w:rFonts w:ascii="Arial" w:cs="Arial" w:eastAsia="Arial" w:hAnsi="Arial"/>
          <w:sz w:val="22"/>
          <w:szCs w:val="22"/>
        </w:rPr>
        <w:t xml:space="preserve">Il credito d'imposta ZES Unica (45% su investimenti in Sicilia fino a €50M) potrebbe valere ~€550k. La finestra è marzo-maggio 2026. Perché non è nel BP?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Risposta dall'analisi: </w:t>
      </w:r>
      <w:r>
        <w:rPr>
          <w:rFonts w:ascii="Arial" w:cs="Arial" w:eastAsia="Arial" w:hAnsi="Arial"/>
          <w:sz w:val="22"/>
          <w:szCs w:val="22"/>
        </w:rPr>
        <w:t xml:space="preserve">Scelta prudenziale corretta per il BP presentato ai bondholders: non includere un beneficio incerto migliora la credibilità del piano. Ma operativamente va perseguito con priorità: €550k a fondo perduto migliorano direttamente il DSCR critico. Azione: preparare documentazione CAPEX e presentare domanda nella finestra marzo 2026.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DOMANDE OPERATIVE PER IL MANAGEMENT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 seguito le domande puntuali che necessitano risposta dal management per completare l'analisi e costruire un CdG affidabile.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 Consulenze HQ €812k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Servono: lista fornitori, tipo servizio, importo annuo, durata contratto, possibilità di recesso/riduzione. Questa è la prima leva di saving (obiettivo -€370k).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5.2 Servizi internalizzati VLB/KCP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Pulizie, lavanderia, ristorazione: sono gestiti internamente o esternalizzati? Se interni, quanto personale è dedicato e a quale costo? Confronto con offerte esterne per valutare outsourcing.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5.3 Affitto VLB €219k/anno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Contratto di locazione: durata residua, clausole di indicizzazione, possibilità di rinegoziazione. L'importo è anomalo per una RSA da 44 PL.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5.4 Adeguamento CTA: durata e rinnovo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Delibera regionale di riferimento, scadenza, iter di rinnovo. Quantificazione impatto se non rinnovato: -€640k/anno.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5.5 D&amp;A 2024 +€942k vs 2023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Quali asset sono stati capitalizzati nel 2024? Dettaglio: CAPEX per struttura, vita utile, aliquote ammortamento applicate.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5.6 Debiti vs controllate SPA €8,18M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Dettaglio intercompany: quali società, per quali operazioni, piano di rientro previsto. Nel consolidato si eliminano, ma la SPA ha un'esposizione enorme.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5.7 Debiti tributari €8,78M consolidati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Composizione: quanto rottamazione (quinquies?), quanto rateizzazione ordinaria, quanto scaduto. Piano di pagamento con scadenzario mensile 2026-2030.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5.8 Debiti previdenziali €5,75M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INPS: quanto corrente, quanto arretrato, esistono rateizzazioni attive? DURC: lo stato attuale è regolare?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5.9 Provvisorio 31/08: MOL €319k vs Q1 €497k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Il margine si è dimezzato nei mesi 4-8. Cause: stagionalità? Costi una tantum? Adeguamento CTA non rinnovato? Serve il dettaglio mensile CE aprile-agosto.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5.10 Cassa €231k al 31/08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 €231k di cassa e debiti tributari/previdenziali di €14,5M, come si stanno gestendo i pagamenti correnti? Ci sono piani di rientro in sofferenza?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5.11 Roma Santa Margherita: accreditamento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Stato dell'iter di accreditamento regionale Lazio. Senza accreditamento, nessun ricavo SSR. Tempi previsti?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34495E"/>
          <w:sz w:val="24"/>
          <w:szCs w:val="24"/>
        </w:rPr>
        <w:t xml:space="preserve">5.12 Bond €5M: stato avanzamento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Iter IRFIS/ExtraMOT PRO3: a che punto siamo? Data prevista erogazione? Condizioni sospensive?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TAVOLA SINOTTICA — CONFRONTO FRA FONTI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8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Q1×4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8M×1,5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 2024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BP 2025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Ricavi SPA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10.975k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11.430k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11.818k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12.900k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6.259k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7.250k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~7.500k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MOL Industriale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1.986k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~479k*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~1.148k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Ammortamenti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0 (!)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0 (!)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893k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~918k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Oneri finanziari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296k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268k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~280k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Risultato netto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-306k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+461k**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PFN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-19.150k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-24.300k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Cassa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231k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n.d.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 MOL 8M molto inferiore a Q1: possibile stagionalità o costi non rilevati in Q1.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** Utile 2024 include €1,26M proventi finanziari straordinari (interessi ASP). Normalizzato: -€800k.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RACCOMANDAZIONI PER IL CdG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Azioni immediate (entro 30 giorni)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Ottenere il dettaglio consulenze HQ per tipo/importo/contratto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Richiedere lo scadenziario completo debiti tributari e previdenziali 2026-2030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Verificare stato DURC e regolarità contributiva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Ottenere CE mensile aprile-agosto 2025 per capire il deterioramento MOL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Preparare documentazione ZES Unica per finestra marzo 2026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Dashboard: dati mancanti da integrare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Ammortamenti per BU (allocazione da registro cespiti): impatto ~€900k/anno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Oneri finanziari reali (€270-300k/anno vs €97k nel Q1)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Budget 2025 per BU (per calcolo scostamenti consuntivo vs budget)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PFN e composizione debito (per tab Piano Finanziario)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Debito residuo rottamazione con scadenziario rate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Dati 3 nuove BU: CAPEX sostenuto, CAPEX residuo, ricavi previsti, timeline ramp-up</w:t>
      </w: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Scenario da modellare nel CdG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Base: BP come presentato ai bondholders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Stress 1: ritardo ramp-up Roma 12 mesi (→ impatto DSCR)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Stress 2: mancato rinnovo adeguamento CTA (→ -€640k MOL-I)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Stress 3: combinato (Stress 1 + Stress 2 + ritardo Bond 3 mesi)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Upside: ZES €550k + ramp-up rapido BRT + adeguamento CTA rinnovato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Documento preparato nell'ambito del progetto CdG Karol S.p.A. — Dati aggiornati al 13/02/2026.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Fonti: CE Q1 31/03/2025 (E-Solver), HR Zucchetti Q1, Provvisorio SPA 31/08/2025, Bilancio SPA e Consolidato approvati 2024, BP 2025-2035, Information Memorandum Bond 2026.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Karol S.p.A. — Q&amp;A Analisi Critica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2026-02-13T19:41:21.302Z</dcterms:created>
  <dcterms:modified xsi:type="dcterms:W3CDTF">2026-02-13T19:41:21.302Z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