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5FDE5B60"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72F2DBE3" w:rsidR="00BB6DCE" w:rsidRDefault="008404E7" w:rsidP="00D24050">
      <w:pPr>
        <w:rPr>
          <w:rFonts w:ascii="Consolas" w:hAnsi="Consolas" w:cs="Consolas"/>
          <w:color w:val="000000"/>
          <w:sz w:val="20"/>
          <w:szCs w:val="20"/>
          <w:shd w:val="clear" w:color="auto" w:fill="D4D4D4"/>
        </w:rPr>
      </w:pPr>
      <w:r>
        <w:rPr>
          <w:rStyle w:val="jlqj4b"/>
        </w:rPr>
        <w:t>Indica que falta un parámetro.</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35E00"/>
    <w:rsid w:val="008404E7"/>
    <w:rsid w:val="00873463"/>
    <w:rsid w:val="00892B96"/>
    <w:rsid w:val="008B4002"/>
    <w:rsid w:val="008E7AAA"/>
    <w:rsid w:val="008F65C0"/>
    <w:rsid w:val="0091178F"/>
    <w:rsid w:val="00976A95"/>
    <w:rsid w:val="00995107"/>
    <w:rsid w:val="009A3FDF"/>
    <w:rsid w:val="009A4A0D"/>
    <w:rsid w:val="009E1B16"/>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15</Pages>
  <Words>3987</Words>
  <Characters>21929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106</cp:revision>
  <dcterms:created xsi:type="dcterms:W3CDTF">2021-06-17T07:23:00Z</dcterms:created>
  <dcterms:modified xsi:type="dcterms:W3CDTF">2021-11-02T15:39:00Z</dcterms:modified>
</cp:coreProperties>
</file>