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1F3352"/>
          <w:sz w:val="52"/>
          <w:szCs w:val="52"/>
        </w:rPr>
        <w:t xml:space="preserve">RECURSIVE INDUSTRIAL INTELLIGENCE</w:t>
      </w:r>
    </w:p>
    <w:p>
      <w:pPr>
        <w:spacing w:after="60"/>
        <w:jc w:val="center"/>
      </w:pPr>
      <w:r>
        <w:rPr>
          <w:i/>
          <w:iCs/>
          <w:sz w:val="26"/>
          <w:szCs w:val="26"/>
        </w:rPr>
        <w:t xml:space="preserve">A refined hypothesis for a self-sustaining and self-expanding space industrial complex</w:t>
      </w:r>
    </w:p>
    <w:p>
      <w:pPr>
        <w:spacing w:after="400"/>
        <w:jc w:val="center"/>
      </w:pPr>
      <w:r>
        <w:rPr>
          <w:color w:val="595959"/>
          <w:sz w:val="22"/>
          <w:szCs w:val="22"/>
        </w:rPr>
        <w:t xml:space="preserve">Second Edition, revision 2.11 · July 2026</w:t>
      </w:r>
    </w:p>
    <w:p>
      <w:pPr>
        <w:spacing w:after="300"/>
        <w:jc w:val="center"/>
      </w:pPr>
      <w:r>
        <w:rPr>
          <w:i/>
          <w:iCs/>
          <w:color w:val="595959"/>
          <w:sz w:val="19"/>
          <w:szCs w:val="19"/>
        </w:rPr>
        <w:t xml:space="preserve">This document presents a strategic interpretation. It does not claim that Elon Musk or his companies have publicly adopted this complete framework as a single formal plan. Statements about 2026 events are drawn from the public reporting listed in the Sources section.</w:t>
      </w:r>
    </w:p>
    <w:tbl>
      <w:tblPr>
        <w:tblW w:type="dxa" w:w="9360"/>
        <w:tblBorders>
          <w:top w:val="single" w:color="C9C9C9" w:sz="2"/>
          <w:left w:val="single" w:color="B0592A" w:sz="24"/>
          <w:bottom w:val="single" w:color="C9C9C9" w:sz="2"/>
          <w:right w:val="single" w:color="C9C9C9" w:sz="2"/>
          <w:insideH w:val="none"/>
          <w:insideV w:val="none"/>
        </w:tblBorders>
      </w:tblPr>
      <w:tblGrid>
        <w:gridCol w:w="9360"/>
      </w:tblGrid>
      <w:tr>
        <w:tc>
          <w:tcPr>
            <w:tcW w:type="dxa" w:w="9360"/>
            <w:shd w:fill="F5F4F1" w:val="clear"/>
            <w:tcMar>
              <w:top w:type="dxa" w:w="140"/>
              <w:left w:type="dxa" w:w="200"/>
              <w:bottom w:type="dxa" w:w="100"/>
              <w:right w:type="dxa" w:w="200"/>
            </w:tcMar>
          </w:tcPr>
          <w:p>
            <w:pPr>
              <w:spacing w:after="80"/>
            </w:pPr>
            <w:r>
              <w:rPr>
                <w:b/>
                <w:bCs/>
                <w:color w:val="1F3352"/>
                <w:sz w:val="22"/>
                <w:szCs w:val="22"/>
              </w:rPr>
              <w:t xml:space="preserve">Scope and status</w:t>
            </w:r>
          </w:p>
          <w:p>
            <w:pPr>
              <w:spacing w:after="40"/>
            </w:pPr>
            <w:r>
              <w:t xml:space="preserve">This is a strategic hypothesis and research programme, not a techno-economic demonstration. It identifies necessary conditions, bottlenecks, and discriminating tests for a self-expanding industrial system, and states throughout which of its four propositions (see Executive Summary) each conclusion rests on. Two models it calls for — a multisector industrial-reproduction model and a dynamic Earth–space cost-crossover model — do not yet exist; building them is the third edition's programme [S35]. Revision history is in Appendix B.</w:t>
            </w:r>
          </w:p>
        </w:tc>
      </w:tr>
    </w:tbl>
    <w:p>
      <w:r>
        <w:br w:type="page"/>
      </w:r>
    </w:p>
    <w:p>
      <w:pPr>
        <w:pStyle w:val="Heading1"/>
      </w:pPr>
      <w:r>
        <w:t xml:space="preserve">Executive Summary</w:t>
      </w:r>
    </w:p>
    <w:p>
      <w:pPr>
        <w:spacing w:after="160" w:line="276"/>
      </w:pPr>
      <w:r>
        <w:t xml:space="preserve">This paper develops a unified hypothesis: the deepest strategic value of advanced artificial intelligence, reusable launch, energy systems, robotics, and automated manufacturing may lie in combining them into a recursively improving industrial system beyond Earth. The end state is not merely a fleet of rockets, a Mars settlement, a humanoid robot, or a frontier AI model. It is a distributed industrial ecology capable of sustaining itself, expanding its own productive capacity, and progressively reducing dependence on Earth.</w:t>
      </w:r>
    </w:p>
    <w:tbl>
      <w:tblPr>
        <w:tblW w:type="dxa" w:w="9360"/>
        <w:tblBorders>
          <w:top w:val="single" w:color="C9C9C9" w:sz="2"/>
          <w:left w:val="single" w:color="B0592A" w:sz="24"/>
          <w:bottom w:val="single" w:color="C9C9C9" w:sz="2"/>
          <w:right w:val="single" w:color="C9C9C9" w:sz="2"/>
          <w:insideH w:val="none"/>
          <w:insideV w:val="none"/>
        </w:tblBorders>
      </w:tblPr>
      <w:tblGrid>
        <w:gridCol w:w="9360"/>
      </w:tblGrid>
      <w:tr>
        <w:tc>
          <w:tcPr>
            <w:tcW w:type="dxa" w:w="9360"/>
            <w:shd w:fill="F5F4F1" w:val="clear"/>
            <w:tcMar>
              <w:top w:type="dxa" w:w="140"/>
              <w:left w:type="dxa" w:w="200"/>
              <w:bottom w:type="dxa" w:w="100"/>
              <w:right w:type="dxa" w:w="200"/>
            </w:tcMar>
          </w:tcPr>
          <w:p>
            <w:pPr>
              <w:spacing w:after="80"/>
            </w:pPr>
            <w:r>
              <w:rPr>
                <w:b/>
                <w:bCs/>
                <w:color w:val="1F3352"/>
                <w:sz w:val="22"/>
                <w:szCs w:val="22"/>
              </w:rPr>
              <w:t xml:space="preserve">The central proposition</w:t>
            </w:r>
          </w:p>
          <w:p>
            <w:pPr>
              <w:spacing w:after="40"/>
            </w:pPr>
            <w:r>
              <w:t xml:space="preserve">Once a space-based industrial system can obtain local energy and materials, maintain its machinery, manufacture additional productive equipment, and coordinate itself through AI, the primary constraint shifts from acquiring terrestrial inputs to allocating productive throughput over time.</w:t>
            </w:r>
          </w:p>
        </w:tc>
      </w:tr>
    </w:tbl>
    <w:p>
      <w:pPr>
        <w:spacing w:after="160"/>
      </w:pPr>
    </w:p>
    <w:p>
      <w:pPr>
        <w:spacing w:after="160" w:line="276"/>
      </w:pPr>
      <w:r>
        <w:t xml:space="preserve">The framework contains two coupled recursive loops. In the </w:t>
      </w:r>
      <w:r>
        <w:rPr>
          <w:b/>
          <w:bCs/>
        </w:rPr>
        <w:t xml:space="preserve">digital loop</w:t>
      </w:r>
      <w:r>
        <w:t xml:space="preserve">, AI improves software, research, engineering, evaluation, and coordination. In the </w:t>
      </w:r>
      <w:r>
        <w:rPr>
          <w:b/>
          <w:bCs/>
        </w:rPr>
        <w:t xml:space="preserve">physical loop</w:t>
      </w:r>
      <w:r>
        <w:t xml:space="preserve">, AI and robots improve mining, refining, energy generation, manufacturing, construction, transport, and the production of additional compute. Each loop strengthens the other.</w:t>
      </w:r>
    </w:p>
    <w:p>
      <w:pPr>
        <w:shd w:fill="F5F4F1" w:val="clear"/>
        <w:spacing w:after="160" w:before="120"/>
        <w:jc w:val="center"/>
      </w:pPr>
      <w:r>
        <w:rPr>
          <w:i/>
          <w:iCs/>
          <w:sz w:val="22"/>
          <w:szCs w:val="22"/>
        </w:rPr>
        <w:t xml:space="preserve">Better intelligence → better automation → more productive capacity → more compute → better intelligence</w:t>
      </w:r>
    </w:p>
    <w:p>
      <w:pPr>
        <w:spacing w:after="160" w:line="276"/>
      </w:pPr>
      <w:r>
        <w:t xml:space="preserve">Since the first edition, one major component has moved from inference to public initiative. In March 2026, Tesla, SpaceX, and xAI announced </w:t>
      </w:r>
      <w:r>
        <w:rPr>
          <w:b/>
          <w:bCs/>
        </w:rPr>
        <w:t xml:space="preserve">Terafab</w:t>
      </w:r>
      <w:r>
        <w:t xml:space="preserve">, a semiconductor fabrication initiative intended to produce advanced AI chips at very large scale — including a chip line designed for orbital deployment — and Intel joined in April 2026. SpaceX's subsequent S-1 filing shows the initiative at framework stage: timelines, milestones, and capital commitments are not yet determined, and no party is bound. What the announcement establishes is narrower but still material: the fabrication layer, previously the largest missing term in this framework, is now an explicit target of the same corporate ecosystem, and space-based compute is a stated product direction rather than an analytical extrapolation.</w:t>
      </w:r>
    </w:p>
    <w:p>
      <w:pPr>
        <w:spacing w:after="160" w:line="276"/>
      </w:pPr>
      <w:r>
        <w:t xml:space="preserve">The hypothesis remains partly grounded and partly inferential. SpaceX describes the goal of a self-sufficient city on Mars. Tesla presents a path toward a sustainable energy economy built on integrated generation, storage, and manufacturing. xAI states that it builds AI to accelerate scientific discovery. NASA work on in-situ resource utilization, autonomous excavation, and lunar construction shows the enabling concepts are recognized engineering pathways. The claim that these components comprise one overarching self-expanding space-industrial strategy remains an interpretation — though a considerably thinner inference than it was a year ago.</w:t>
      </w:r>
    </w:p>
    <w:p>
      <w:pPr>
        <w:spacing w:after="160" w:line="276"/>
      </w:pPr>
      <w:r>
        <w:t xml:space="preserve">The thesis is also explicitly conditional. It is decision-relevant chiefly under a slow-to-medium AI takeoff measured in years to decades; it requires industrial replication to outpace the harsh depreciation of the space environment; and it requires the eventual closure of, or substitution for, lithography-class fabrication equipment. These conditions are examined in this edition rather than assumed.</w:t>
      </w:r>
    </w:p>
    <w:p>
      <w:pPr>
        <w:spacing w:after="160" w:line="276"/>
      </w:pPr>
      <w:r>
        <w:t xml:space="preserve">Five distinct propositions run through this paper, and they carry different evidence: </w:t>
      </w:r>
      <w:r>
        <w:rPr>
          <w:b/>
          <w:bCs/>
        </w:rPr>
        <w:t xml:space="preserve">(P1)</w:t>
      </w:r>
      <w:r>
        <w:t xml:space="preserve"> a recursively expanding industrial system is conceptually possible — a respectable case is made; </w:t>
      </w:r>
      <w:r>
        <w:rPr>
          <w:b/>
          <w:bCs/>
        </w:rPr>
        <w:t xml:space="preserve">(P2)</w:t>
      </w:r>
      <w:r>
        <w:t xml:space="preserve"> such a system might eventually be technically feasible — a conditional case; </w:t>
      </w:r>
      <w:r>
        <w:rPr>
          <w:b/>
          <w:bCs/>
        </w:rPr>
        <w:t xml:space="preserve">(P3)</w:t>
      </w:r>
      <w:r>
        <w:t xml:space="preserve"> space would eventually be economically superior to Earth for it — a weakly quantified case, pending the crossover modeling of the third edition; </w:t>
      </w:r>
      <w:r>
        <w:rPr>
          <w:b/>
          <w:bCs/>
        </w:rPr>
        <w:t xml:space="preserve">(P4a)</w:t>
      </w:r>
      <w:r>
        <w:t xml:space="preserve"> the companies are deliberately integrating launch, communications, AI, terrestrial and orbital compute, chip design and manufacturing, and prospective off-world energy and manufacturing — now substantially documented in the S-1's own description of its initiatives, which name orbital compute, lunar manufacturing and energy, in-orbit manufacturing, manufacturing on the Moon and Mars, asteroid mining, and “interplanetary industrialization” [S27]; and </w:t>
      </w:r>
      <w:r>
        <w:rPr>
          <w:b/>
          <w:bCs/>
        </w:rPr>
        <w:t xml:space="preserve">(P4b)</w:t>
      </w:r>
      <w:r>
        <w:t xml:space="preserve"> that this integration is intended eventually to produce a recursively self-sustaining and self-expanding industrial network — inferential, since no closure programme, seed-factory bill of materials, reproduction metric, or minimum-cut-set roadmap has been published. Splitting P4 matters: its two halves now carry materially different evidential status. Conclusions in this paper are licensed by the strongest proposition they rest on, not by the conjunction of all five.</w:t>
      </w:r>
    </w:p>
    <w:p>
      <w:pPr>
        <w:pStyle w:val="Heading1"/>
      </w:pPr>
      <w:r>
        <w:t xml:space="preserve">Analytical Status: Evidence Versus Inference</w:t>
      </w:r>
    </w:p>
    <w:tbl>
      <w:tblPr>
        <w:tblW w:type="dxa" w:w="9360"/>
        <w:tblBorders>
          <w:top w:val="single" w:color="C9C9C9" w:sz="4"/>
          <w:left w:val="single" w:color="C9C9C9" w:sz="4"/>
          <w:bottom w:val="single" w:color="C9C9C9" w:sz="4"/>
          <w:right w:val="single" w:color="C9C9C9" w:sz="4"/>
          <w:insideH w:val="single" w:color="C9C9C9" w:sz="4"/>
          <w:insideV w:val="single" w:color="C9C9C9" w:sz="4"/>
        </w:tblBorders>
      </w:tblPr>
      <w:tblGrid>
        <w:gridCol w:w="1750"/>
        <w:gridCol w:w="5550"/>
        <w:gridCol w:w="2060"/>
      </w:tblGrid>
      <w:tr>
        <w:trPr>
          <w:tblHeader/>
        </w:trPr>
        <w:tc>
          <w:tcPr>
            <w:tcW w:type="dxa" w:w="1750"/>
            <w:shd w:fill="E8EBF1" w:val="clear"/>
            <w:tcMar>
              <w:top w:type="dxa" w:w="90"/>
              <w:left w:type="dxa" w:w="120"/>
              <w:bottom w:type="dxa" w:w="90"/>
              <w:right w:type="dxa" w:w="120"/>
            </w:tcMar>
          </w:tcPr>
          <w:p>
            <w:pPr>
              <w:spacing w:after="0" w:line="260"/>
            </w:pPr>
            <w:r>
              <w:rPr>
                <w:b/>
                <w:bCs/>
                <w:color w:val="1F3352"/>
                <w:sz w:val="20"/>
                <w:szCs w:val="20"/>
              </w:rPr>
              <w:t xml:space="preserve">Category</w:t>
            </w:r>
          </w:p>
        </w:tc>
        <w:tc>
          <w:tcPr>
            <w:tcW w:type="dxa" w:w="5550"/>
            <w:shd w:fill="E8EBF1" w:val="clear"/>
            <w:tcMar>
              <w:top w:type="dxa" w:w="90"/>
              <w:left w:type="dxa" w:w="120"/>
              <w:bottom w:type="dxa" w:w="90"/>
              <w:right w:type="dxa" w:w="120"/>
            </w:tcMar>
          </w:tcPr>
          <w:p>
            <w:pPr>
              <w:spacing w:after="0" w:line="260"/>
            </w:pPr>
            <w:r>
              <w:rPr>
                <w:b/>
                <w:bCs/>
                <w:color w:val="1F3352"/>
                <w:sz w:val="20"/>
                <w:szCs w:val="20"/>
              </w:rPr>
              <w:t xml:space="preserve">Proposition</w:t>
            </w:r>
          </w:p>
        </w:tc>
        <w:tc>
          <w:tcPr>
            <w:tcW w:type="dxa" w:w="2060"/>
            <w:shd w:fill="E8EBF1" w:val="clear"/>
            <w:tcMar>
              <w:top w:type="dxa" w:w="90"/>
              <w:left w:type="dxa" w:w="120"/>
              <w:bottom w:type="dxa" w:w="90"/>
              <w:right w:type="dxa" w:w="120"/>
            </w:tcMar>
          </w:tcPr>
          <w:p>
            <w:pPr>
              <w:spacing w:after="0" w:line="260"/>
            </w:pPr>
            <w:r>
              <w:rPr>
                <w:b/>
                <w:bCs/>
                <w:color w:val="1F3352"/>
                <w:sz w:val="20"/>
                <w:szCs w:val="20"/>
              </w:rPr>
              <w:t xml:space="preserve">Status</w:t>
            </w:r>
          </w:p>
        </w:tc>
      </w:tr>
      <w:tr>
        <w:tc>
          <w:tcPr>
            <w:tcW w:type="dxa" w:w="1750"/>
            <w:tcMar>
              <w:top w:type="dxa" w:w="90"/>
              <w:left w:type="dxa" w:w="120"/>
              <w:bottom w:type="dxa" w:w="90"/>
              <w:right w:type="dxa" w:w="120"/>
            </w:tcMar>
          </w:tcPr>
          <w:p>
            <w:pPr>
              <w:spacing w:after="0" w:line="260"/>
            </w:pPr>
            <w:r>
              <w:rPr>
                <w:sz w:val="20"/>
                <w:szCs w:val="20"/>
              </w:rPr>
              <w:t xml:space="preserve">Documented</w:t>
            </w:r>
          </w:p>
        </w:tc>
        <w:tc>
          <w:tcPr>
            <w:tcW w:type="dxa" w:w="5550"/>
            <w:tcMar>
              <w:top w:type="dxa" w:w="90"/>
              <w:left w:type="dxa" w:w="120"/>
              <w:bottom w:type="dxa" w:w="90"/>
              <w:right w:type="dxa" w:w="120"/>
            </w:tcMar>
          </w:tcPr>
          <w:p>
            <w:pPr>
              <w:spacing w:after="0" w:line="260"/>
            </w:pPr>
            <w:r>
              <w:rPr>
                <w:sz w:val="20"/>
                <w:szCs w:val="20"/>
              </w:rPr>
              <w:t xml:space="preserve">SpaceX publicly presents a self-sufficient city on Mars as a long-term objective.</w:t>
            </w:r>
          </w:p>
        </w:tc>
        <w:tc>
          <w:tcPr>
            <w:tcW w:type="dxa" w:w="2060"/>
            <w:tcMar>
              <w:top w:type="dxa" w:w="90"/>
              <w:left w:type="dxa" w:w="120"/>
              <w:bottom w:type="dxa" w:w="90"/>
              <w:right w:type="dxa" w:w="120"/>
            </w:tcMar>
          </w:tcPr>
          <w:p>
            <w:pPr>
              <w:spacing w:after="0" w:line="260"/>
            </w:pPr>
            <w:r>
              <w:rPr>
                <w:sz w:val="20"/>
                <w:szCs w:val="20"/>
              </w:rPr>
              <w:t xml:space="preserve">Direct statement</w:t>
            </w:r>
          </w:p>
        </w:tc>
      </w:tr>
      <w:tr>
        <w:tc>
          <w:tcPr>
            <w:tcW w:type="dxa" w:w="1750"/>
            <w:tcMar>
              <w:top w:type="dxa" w:w="90"/>
              <w:left w:type="dxa" w:w="120"/>
              <w:bottom w:type="dxa" w:w="90"/>
              <w:right w:type="dxa" w:w="120"/>
            </w:tcMar>
          </w:tcPr>
          <w:p>
            <w:pPr>
              <w:spacing w:after="0" w:line="260"/>
            </w:pPr>
            <w:r>
              <w:rPr>
                <w:sz w:val="20"/>
                <w:szCs w:val="20"/>
              </w:rPr>
              <w:t xml:space="preserve">Documented</w:t>
            </w:r>
          </w:p>
        </w:tc>
        <w:tc>
          <w:tcPr>
            <w:tcW w:type="dxa" w:w="5550"/>
            <w:tcMar>
              <w:top w:type="dxa" w:w="90"/>
              <w:left w:type="dxa" w:w="120"/>
              <w:bottom w:type="dxa" w:w="90"/>
              <w:right w:type="dxa" w:w="120"/>
            </w:tcMar>
          </w:tcPr>
          <w:p>
            <w:pPr>
              <w:spacing w:after="0" w:line="260"/>
            </w:pPr>
            <w:r>
              <w:rPr>
                <w:sz w:val="20"/>
                <w:szCs w:val="20"/>
              </w:rPr>
              <w:t xml:space="preserve">Tesla publicly presents large-scale electrification, renewable generation, storage, and sustainable manufacturing as an integrated system.</w:t>
            </w:r>
          </w:p>
        </w:tc>
        <w:tc>
          <w:tcPr>
            <w:tcW w:type="dxa" w:w="2060"/>
            <w:tcMar>
              <w:top w:type="dxa" w:w="90"/>
              <w:left w:type="dxa" w:w="120"/>
              <w:bottom w:type="dxa" w:w="90"/>
              <w:right w:type="dxa" w:w="120"/>
            </w:tcMar>
          </w:tcPr>
          <w:p>
            <w:pPr>
              <w:spacing w:after="0" w:line="260"/>
            </w:pPr>
            <w:r>
              <w:rPr>
                <w:sz w:val="20"/>
                <w:szCs w:val="20"/>
              </w:rPr>
              <w:t xml:space="preserve">Direct statement</w:t>
            </w:r>
          </w:p>
        </w:tc>
      </w:tr>
      <w:tr>
        <w:tc>
          <w:tcPr>
            <w:tcW w:type="dxa" w:w="1750"/>
            <w:tcMar>
              <w:top w:type="dxa" w:w="90"/>
              <w:left w:type="dxa" w:w="120"/>
              <w:bottom w:type="dxa" w:w="90"/>
              <w:right w:type="dxa" w:w="120"/>
            </w:tcMar>
          </w:tcPr>
          <w:p>
            <w:pPr>
              <w:spacing w:after="0" w:line="260"/>
            </w:pPr>
            <w:r>
              <w:rPr>
                <w:sz w:val="20"/>
                <w:szCs w:val="20"/>
              </w:rPr>
              <w:t xml:space="preserve">Documented</w:t>
            </w:r>
          </w:p>
        </w:tc>
        <w:tc>
          <w:tcPr>
            <w:tcW w:type="dxa" w:w="5550"/>
            <w:tcMar>
              <w:top w:type="dxa" w:w="90"/>
              <w:left w:type="dxa" w:w="120"/>
              <w:bottom w:type="dxa" w:w="90"/>
              <w:right w:type="dxa" w:w="120"/>
            </w:tcMar>
          </w:tcPr>
          <w:p>
            <w:pPr>
              <w:spacing w:after="0" w:line="260"/>
            </w:pPr>
            <w:r>
              <w:rPr>
                <w:sz w:val="20"/>
                <w:szCs w:val="20"/>
              </w:rPr>
              <w:t xml:space="preserve">xAI publicly describes its mission as accelerating scientific discovery and extending human knowledge and capability.</w:t>
            </w:r>
          </w:p>
        </w:tc>
        <w:tc>
          <w:tcPr>
            <w:tcW w:type="dxa" w:w="2060"/>
            <w:tcMar>
              <w:top w:type="dxa" w:w="90"/>
              <w:left w:type="dxa" w:w="120"/>
              <w:bottom w:type="dxa" w:w="90"/>
              <w:right w:type="dxa" w:w="120"/>
            </w:tcMar>
          </w:tcPr>
          <w:p>
            <w:pPr>
              <w:spacing w:after="0" w:line="260"/>
            </w:pPr>
            <w:r>
              <w:rPr>
                <w:sz w:val="20"/>
                <w:szCs w:val="20"/>
              </w:rPr>
              <w:t xml:space="preserve">Direct statement</w:t>
            </w:r>
          </w:p>
        </w:tc>
      </w:tr>
      <w:tr>
        <w:tc>
          <w:tcPr>
            <w:tcW w:type="dxa" w:w="1750"/>
            <w:tcMar>
              <w:top w:type="dxa" w:w="90"/>
              <w:left w:type="dxa" w:w="120"/>
              <w:bottom w:type="dxa" w:w="90"/>
              <w:right w:type="dxa" w:w="120"/>
            </w:tcMar>
          </w:tcPr>
          <w:p>
            <w:pPr>
              <w:spacing w:after="0" w:line="260"/>
            </w:pPr>
            <w:r>
              <w:rPr>
                <w:sz w:val="20"/>
                <w:szCs w:val="20"/>
              </w:rPr>
              <w:t xml:space="preserve">Announced (2026)</w:t>
            </w:r>
          </w:p>
        </w:tc>
        <w:tc>
          <w:tcPr>
            <w:tcW w:type="dxa" w:w="5550"/>
            <w:tcMar>
              <w:top w:type="dxa" w:w="90"/>
              <w:left w:type="dxa" w:w="120"/>
              <w:bottom w:type="dxa" w:w="90"/>
              <w:right w:type="dxa" w:w="120"/>
            </w:tcMar>
          </w:tcPr>
          <w:p>
            <w:pPr>
              <w:spacing w:after="0" w:line="260"/>
            </w:pPr>
            <w:r>
              <w:rPr>
                <w:sz w:val="20"/>
                <w:szCs w:val="20"/>
              </w:rPr>
              <w:t xml:space="preserve">Terafab: a publicly announced Tesla–SpaceX chip-fabrication initiative, joined by Intel in April 2026, targeting advanced AI chips including radiation-tolerant silicon for orbital deployment. SpaceX's S-1 describes only a general framework — timelines, milestones, and capital expenditures not yet determined, no binding obligations on Tesla or Intel. (The SpaceX absorption of xAI is separately documented as a completed corporate action.)</w:t>
            </w:r>
          </w:p>
        </w:tc>
        <w:tc>
          <w:tcPr>
            <w:tcW w:type="dxa" w:w="2060"/>
            <w:tcMar>
              <w:top w:type="dxa" w:w="90"/>
              <w:left w:type="dxa" w:w="120"/>
              <w:bottom w:type="dxa" w:w="90"/>
              <w:right w:type="dxa" w:w="120"/>
            </w:tcMar>
          </w:tcPr>
          <w:p>
            <w:pPr>
              <w:spacing w:after="0" w:line="260"/>
            </w:pPr>
            <w:r>
              <w:rPr>
                <w:sz w:val="20"/>
                <w:szCs w:val="20"/>
              </w:rPr>
              <w:t xml:space="preserve">Documented initiative and strategic framework; implementation scope unsettled</w:t>
            </w:r>
          </w:p>
        </w:tc>
      </w:tr>
      <w:tr>
        <w:tc>
          <w:tcPr>
            <w:tcW w:type="dxa" w:w="1750"/>
            <w:tcMar>
              <w:top w:type="dxa" w:w="90"/>
              <w:left w:type="dxa" w:w="120"/>
              <w:bottom w:type="dxa" w:w="90"/>
              <w:right w:type="dxa" w:w="120"/>
            </w:tcMar>
          </w:tcPr>
          <w:p>
            <w:pPr>
              <w:spacing w:after="0" w:line="260"/>
            </w:pPr>
            <w:r>
              <w:rPr>
                <w:sz w:val="20"/>
                <w:szCs w:val="20"/>
              </w:rPr>
              <w:t xml:space="preserve">Technically grounded</w:t>
            </w:r>
          </w:p>
        </w:tc>
        <w:tc>
          <w:tcPr>
            <w:tcW w:type="dxa" w:w="5550"/>
            <w:tcMar>
              <w:top w:type="dxa" w:w="90"/>
              <w:left w:type="dxa" w:w="120"/>
              <w:bottom w:type="dxa" w:w="90"/>
              <w:right w:type="dxa" w:w="120"/>
            </w:tcMar>
          </w:tcPr>
          <w:p>
            <w:pPr>
              <w:spacing w:after="0" w:line="260"/>
            </w:pPr>
            <w:r>
              <w:rPr>
                <w:sz w:val="20"/>
                <w:szCs w:val="20"/>
              </w:rPr>
              <w:t xml:space="preserve">ISRU, autonomous excavation, robotic construction, and local production are active development areas; self-replicating space factories have been studied quantitatively since NASA's 1980 summer study.</w:t>
            </w:r>
          </w:p>
        </w:tc>
        <w:tc>
          <w:tcPr>
            <w:tcW w:type="dxa" w:w="2060"/>
            <w:tcMar>
              <w:top w:type="dxa" w:w="90"/>
              <w:left w:type="dxa" w:w="120"/>
              <w:bottom w:type="dxa" w:w="90"/>
              <w:right w:type="dxa" w:w="120"/>
            </w:tcMar>
          </w:tcPr>
          <w:p>
            <w:pPr>
              <w:spacing w:after="0" w:line="260"/>
            </w:pPr>
            <w:r>
              <w:rPr>
                <w:sz w:val="20"/>
                <w:szCs w:val="20"/>
              </w:rPr>
              <w:t xml:space="preserve">Engineering pathway and literature</w:t>
            </w:r>
          </w:p>
        </w:tc>
      </w:tr>
      <w:tr>
        <w:tc>
          <w:tcPr>
            <w:tcW w:type="dxa" w:w="1750"/>
            <w:tcMar>
              <w:top w:type="dxa" w:w="90"/>
              <w:left w:type="dxa" w:w="120"/>
              <w:bottom w:type="dxa" w:w="90"/>
              <w:right w:type="dxa" w:w="120"/>
            </w:tcMar>
          </w:tcPr>
          <w:p>
            <w:pPr>
              <w:spacing w:after="0" w:line="260"/>
            </w:pPr>
            <w:r>
              <w:rPr>
                <w:sz w:val="20"/>
                <w:szCs w:val="20"/>
              </w:rPr>
              <w:t xml:space="preserve">Inferred</w:t>
            </w:r>
          </w:p>
        </w:tc>
        <w:tc>
          <w:tcPr>
            <w:tcW w:type="dxa" w:w="5550"/>
            <w:tcMar>
              <w:top w:type="dxa" w:w="90"/>
              <w:left w:type="dxa" w:w="120"/>
              <w:bottom w:type="dxa" w:w="90"/>
              <w:right w:type="dxa" w:w="120"/>
            </w:tcMar>
          </w:tcPr>
          <w:p>
            <w:pPr>
              <w:spacing w:after="0" w:line="260"/>
            </w:pPr>
            <w:r>
              <w:rPr>
                <w:sz w:val="20"/>
                <w:szCs w:val="20"/>
              </w:rPr>
              <w:t xml:space="preserve">The companies and technologies are components of one coordinated, self-expanding space industrial complex.</w:t>
            </w:r>
          </w:p>
        </w:tc>
        <w:tc>
          <w:tcPr>
            <w:tcW w:type="dxa" w:w="2060"/>
            <w:tcMar>
              <w:top w:type="dxa" w:w="90"/>
              <w:left w:type="dxa" w:w="120"/>
              <w:bottom w:type="dxa" w:w="90"/>
              <w:right w:type="dxa" w:w="120"/>
            </w:tcMar>
          </w:tcPr>
          <w:p>
            <w:pPr>
              <w:spacing w:after="0" w:line="260"/>
            </w:pPr>
            <w:r>
              <w:rPr>
                <w:sz w:val="20"/>
                <w:szCs w:val="20"/>
              </w:rPr>
              <w:t xml:space="preserve">Strategic synthesis; partially documented since March 2026</w:t>
            </w:r>
          </w:p>
        </w:tc>
      </w:tr>
      <w:tr>
        <w:tc>
          <w:tcPr>
            <w:tcW w:type="dxa" w:w="1750"/>
            <w:tcMar>
              <w:top w:type="dxa" w:w="90"/>
              <w:left w:type="dxa" w:w="120"/>
              <w:bottom w:type="dxa" w:w="90"/>
              <w:right w:type="dxa" w:w="120"/>
            </w:tcMar>
          </w:tcPr>
          <w:p>
            <w:pPr>
              <w:spacing w:after="0" w:line="260"/>
            </w:pPr>
            <w:r>
              <w:rPr>
                <w:sz w:val="20"/>
                <w:szCs w:val="20"/>
              </w:rPr>
              <w:t xml:space="preserve">Speculative</w:t>
            </w:r>
          </w:p>
        </w:tc>
        <w:tc>
          <w:tcPr>
            <w:tcW w:type="dxa" w:w="5550"/>
            <w:tcMar>
              <w:top w:type="dxa" w:w="90"/>
              <w:left w:type="dxa" w:w="120"/>
              <w:bottom w:type="dxa" w:w="90"/>
              <w:right w:type="dxa" w:w="120"/>
            </w:tcMar>
          </w:tcPr>
          <w:p>
            <w:pPr>
              <w:spacing w:after="0" w:line="260"/>
            </w:pPr>
            <w:r>
              <w:rPr>
                <w:sz w:val="20"/>
                <w:szCs w:val="20"/>
              </w:rPr>
              <w:t xml:space="preserve">The complex eventually achieves near-complete industrial closure, reproduces advanced compute, and expands recursively without essential Earth inputs.</w:t>
            </w:r>
          </w:p>
        </w:tc>
        <w:tc>
          <w:tcPr>
            <w:tcW w:type="dxa" w:w="2060"/>
            <w:tcMar>
              <w:top w:type="dxa" w:w="90"/>
              <w:left w:type="dxa" w:w="120"/>
              <w:bottom w:type="dxa" w:w="90"/>
              <w:right w:type="dxa" w:w="120"/>
            </w:tcMar>
          </w:tcPr>
          <w:p>
            <w:pPr>
              <w:spacing w:after="0" w:line="260"/>
            </w:pPr>
            <w:r>
              <w:rPr>
                <w:sz w:val="20"/>
                <w:szCs w:val="20"/>
              </w:rPr>
              <w:t xml:space="preserve">Long-term hypothesis</w:t>
            </w:r>
          </w:p>
        </w:tc>
      </w:tr>
    </w:tbl>
    <w:p>
      <w:pPr>
        <w:spacing w:after="160"/>
      </w:pPr>
    </w:p>
    <w:p>
      <w:pPr>
        <w:pStyle w:val="Heading1"/>
      </w:pPr>
      <w:r>
        <w:t xml:space="preserve">1. Recursive Self-Improvement: The Digital Loop</w:t>
      </w:r>
    </w:p>
    <w:p>
      <w:pPr>
        <w:spacing w:after="160" w:line="276"/>
      </w:pPr>
      <w:r>
        <w:t xml:space="preserve">Recursive self-improvement (RSI) occurs when an intelligent system contributes to the process that produces a more capable successor. The useful unit is not a public model release but a verified improvement loop: identify a weakness, propose a change, run an experiment, evaluate the result, deploy the improvement, and use the improved system to accelerate the next cycle.</w:t>
      </w:r>
    </w:p>
    <w:p>
      <w:pPr>
        <w:shd w:fill="F5F4F1" w:val="clear"/>
        <w:spacing w:after="40" w:before="120"/>
        <w:jc w:val="center"/>
      </w:pPr>
      <w:r>
        <w:rPr>
          <w:i/>
          <w:iCs/>
          <w:sz w:val="22"/>
          <w:szCs w:val="22"/>
        </w:rPr>
        <w:t xml:space="preserve">I(t+1) = I(t) + ΔI(t)</w:t>
      </w:r>
    </w:p>
    <w:p>
      <w:pPr>
        <w:spacing w:after="160"/>
        <w:jc w:val="center"/>
      </w:pPr>
      <w:r>
        <w:rPr>
          <w:i/>
          <w:iCs/>
          <w:color w:val="595959"/>
          <w:sz w:val="18"/>
          <w:szCs w:val="18"/>
        </w:rPr>
        <w:t xml:space="preserve">I is effective intelligence; ΔI is the verified capability gain during the next cycle.</w:t>
      </w:r>
    </w:p>
    <w:p>
      <w:pPr>
        <w:spacing w:after="160" w:line="276"/>
      </w:pPr>
      <w:r>
        <w:t xml:space="preserve">A practical decomposition separates iteration volume from iteration quality:</w:t>
      </w:r>
    </w:p>
    <w:p>
      <w:pPr>
        <w:shd w:fill="F5F4F1" w:val="clear"/>
        <w:spacing w:after="40" w:before="120"/>
        <w:jc w:val="center"/>
      </w:pPr>
      <w:r>
        <w:rPr>
          <w:i/>
          <w:iCs/>
          <w:sz w:val="22"/>
          <w:szCs w:val="22"/>
        </w:rPr>
        <w:t xml:space="preserve">ΔI = L × G</w:t>
      </w:r>
    </w:p>
    <w:p>
      <w:pPr>
        <w:spacing w:after="160"/>
        <w:jc w:val="center"/>
      </w:pPr>
      <w:r>
        <w:rPr>
          <w:i/>
          <w:iCs/>
          <w:color w:val="595959"/>
          <w:sz w:val="18"/>
          <w:szCs w:val="18"/>
        </w:rPr>
        <w:t xml:space="preserve">L is the number of useful loops completed; G is the average gain per successful loop.</w:t>
      </w:r>
    </w:p>
    <w:p>
      <w:pPr>
        <w:spacing w:after="160" w:line="276"/>
      </w:pPr>
      <w:r>
        <w:t xml:space="preserve">This distinction matters because raw compute does not translate mechanically into intelligence. The loop rate is constrained by the least scalable part of the development system:</w:t>
      </w:r>
    </w:p>
    <w:p>
      <w:pPr>
        <w:shd w:fill="F5F4F1" w:val="clear"/>
        <w:spacing w:after="40" w:before="120"/>
        <w:jc w:val="center"/>
      </w:pPr>
      <w:r>
        <w:rPr>
          <w:i/>
          <w:iCs/>
          <w:sz w:val="22"/>
          <w:szCs w:val="22"/>
        </w:rPr>
        <w:t xml:space="preserve">L = min{ L_C(C), L_D(D), L_X(X), L_V(V), L_R(R) }</w:t>
      </w:r>
    </w:p>
    <w:p>
      <w:pPr>
        <w:spacing w:after="160"/>
        <w:jc w:val="center"/>
      </w:pPr>
      <w:r>
        <w:rPr>
          <w:i/>
          <w:iCs/>
          <w:color w:val="595959"/>
          <w:sz w:val="18"/>
          <w:szCs w:val="18"/>
        </w:rPr>
        <w:t xml:space="preserve">Each L_z converts its resource — compute, data, experimental throughput, verification capacity, deployment reliability — into a common unit: verified improvement loops per unit time. (An earlier shorthand, min(C, D, X, V, R) × E, was a causal diagram, not a dimensionally valid equation; efficiency now lives inside each conversion function.)</w:t>
      </w:r>
    </w:p>
    <w:p>
      <w:pPr>
        <w:pStyle w:val="Heading2"/>
      </w:pPr>
      <w:r>
        <w:t xml:space="preserve">Intelligence as an efficiency multiplier</w:t>
      </w:r>
    </w:p>
    <w:p>
      <w:pPr>
        <w:spacing w:after="160" w:line="276"/>
      </w:pPr>
      <w:r>
        <w:t xml:space="preserve">More capable AI may improve coding, architecture search, synthetic data generation, hardware design, factory scheduling, scientific modeling, and evaluation design. Efficiency is therefore partly a function of intelligence:</w:t>
      </w:r>
    </w:p>
    <w:p>
      <w:pPr>
        <w:shd w:fill="F5F4F1" w:val="clear"/>
        <w:spacing w:after="160" w:before="120"/>
        <w:jc w:val="center"/>
      </w:pPr>
      <w:r>
        <w:rPr>
          <w:i/>
          <w:iCs/>
          <w:sz w:val="22"/>
          <w:szCs w:val="22"/>
        </w:rPr>
        <w:t xml:space="preserve">E(t) = f(I(t))</w:t>
      </w:r>
    </w:p>
    <w:p>
      <w:pPr>
        <w:spacing w:after="160" w:line="276"/>
      </w:pPr>
      <w:r>
        <w:t xml:space="preserve">The form of f is unknown. A logarithmic model represents diminishing returns; a linear model represents proportional research productivity; a superlinear model represents a regime in which better systems unlock qualitatively new automation; a saturating model represents eventual physical or epistemic ceilings. A rigorous analysis should not assume exponential takeoff; it should identify which regime is supported by observed loop completion and verified gains.</w:t>
      </w:r>
    </w:p>
    <w:p>
      <w:pPr>
        <w:pStyle w:val="Heading2"/>
      </w:pPr>
      <w:r>
        <w:t xml:space="preserve">Release cadence versus internal iteration</w:t>
      </w:r>
    </w:p>
    <w:p>
      <w:pPr>
        <w:spacing w:after="160" w:line="276"/>
      </w:pPr>
      <w:r>
        <w:t xml:space="preserve">Public releases are lagging indicators. A company can execute many thousands of internal training runs, evaluations, simulations, and engineering changes between releases. The strategically relevant measure is therefore:</w:t>
      </w:r>
    </w:p>
    <w:p>
      <w:pPr>
        <w:shd w:fill="F5F4F1" w:val="clear"/>
        <w:spacing w:after="160" w:before="120"/>
        <w:jc w:val="center"/>
      </w:pPr>
      <w:r>
        <w:rPr>
          <w:i/>
          <w:iCs/>
          <w:sz w:val="22"/>
          <w:szCs w:val="22"/>
        </w:rPr>
        <w:t xml:space="preserve">Development advantage = verified improvement loops / calendar time</w:t>
      </w:r>
    </w:p>
    <w:p>
      <w:pPr>
        <w:spacing w:after="160" w:line="276"/>
      </w:pPr>
      <w:r>
        <w:t xml:space="preserve">Time-spaced releases remain useful because they generate real-world feedback, revenue, reliability data, and operational learning. The release is part of the loop, but it is not the loop. Note finally that the verification term V recurs later in this paper in a second role: it is also the governing constraint on the safety of the whole system (Section 11).</w:t>
      </w:r>
    </w:p>
    <w:p>
      <w:pPr>
        <w:pStyle w:val="Heading1"/>
      </w:pPr>
      <w:r>
        <w:t xml:space="preserve">2. Recursive Industrial Improvement: The Physical Loop</w:t>
      </w:r>
    </w:p>
    <w:p>
      <w:pPr>
        <w:spacing w:after="160" w:line="276"/>
      </w:pPr>
      <w:r>
        <w:t xml:space="preserve">Digital intelligence ultimately depends on a physical substrate: chips, data centers, electricity, cooling, networks, factories, labor, materials, logistics, and maintenance. A software-only RSI model omits the industrial system that creates and operates compute.</w:t>
      </w:r>
    </w:p>
    <w:p>
      <w:pPr>
        <w:shd w:fill="F5F4F1" w:val="clear"/>
        <w:spacing w:after="40" w:before="120"/>
        <w:jc w:val="center"/>
      </w:pPr>
      <w:r>
        <w:rPr>
          <w:i/>
          <w:iCs/>
          <w:sz w:val="22"/>
          <w:szCs w:val="22"/>
        </w:rPr>
        <w:t xml:space="preserve">AI capacity ← { chips, data centers, energy, cooling, networks, materials, labor, logistics }</w:t>
      </w:r>
    </w:p>
    <w:p>
      <w:pPr>
        <w:spacing w:after="160"/>
        <w:jc w:val="center"/>
      </w:pPr>
      <w:r>
        <w:rPr>
          <w:i/>
          <w:iCs/>
          <w:color w:val="595959"/>
          <w:sz w:val="18"/>
          <w:szCs w:val="18"/>
        </w:rPr>
        <w:t xml:space="preserve">A dependency inventory, not a sum: the terms lack common units and combine through a production function. Any of them can be the binding constraint.</w:t>
      </w:r>
    </w:p>
    <w:p>
      <w:pPr>
        <w:spacing w:after="160" w:line="276"/>
      </w:pPr>
      <w:r>
        <w:t xml:space="preserve">The physical recursive loop begins when AI and robotics improve the production of those inputs. Better intelligence designs and operates better machines; better machines expand energy and manufacturing; expanded industry produces more compute; more compute supports better intelligence.</w:t>
      </w:r>
    </w:p>
    <w:p>
      <w:pPr>
        <w:pStyle w:val="Heading2"/>
      </w:pPr>
      <w:r>
        <w:t xml:space="preserve">Energy does not become hardware, but hardware can reproduce energy capacity</w:t>
      </w:r>
    </w:p>
    <w:p>
      <w:pPr>
        <w:spacing w:after="160" w:line="276"/>
      </w:pPr>
      <w:r>
        <w:t xml:space="preserve">The shorthand “with solar, energy equals hardware” expresses a recursive relationship, not an accounting identity. Solar arrays, storage, transmission, thermal control, and maintenance equipment are physical capital. Once installed, they generate energy that supports production of additional equipment:</w:t>
      </w:r>
    </w:p>
    <w:p>
      <w:pPr>
        <w:shd w:fill="F5F4F1" w:val="clear"/>
        <w:spacing w:after="160" w:before="120"/>
        <w:jc w:val="center"/>
      </w:pPr>
      <w:r>
        <w:rPr>
          <w:i/>
          <w:iCs/>
          <w:sz w:val="22"/>
          <w:szCs w:val="22"/>
        </w:rPr>
        <w:t xml:space="preserve">Energy hardware → usable power → industrial production → additional energy hardware</w:t>
      </w:r>
    </w:p>
    <w:p>
      <w:pPr>
        <w:spacing w:after="160" w:line="276"/>
      </w:pPr>
      <w:r>
        <w:t xml:space="preserve">The strategic effect is declining dependence on imported energy and a potential reduction in marginal energy cost. The system still pays in materials, machine-hours, maintenance, conversion losses, and opportunity cost.</w:t>
      </w:r>
    </w:p>
    <w:p>
      <w:pPr>
        <w:pStyle w:val="Heading2"/>
      </w:pPr>
      <w:r>
        <w:t xml:space="preserve">Robotic labor as manufactured productive capacity</w:t>
      </w:r>
    </w:p>
    <w:p>
      <w:pPr>
        <w:spacing w:after="160" w:line="276"/>
      </w:pPr>
      <w:r>
        <w:t xml:space="preserve">The shorthand “with Optimus, labor equals hardware” is similarly directional. A capable robot converts manufactured capital into repeatable physical work. If robots participate in producing factories, energy systems, transport vehicles, mining equipment, and additional robots, labor capacity becomes partially reproducible through industrial output:</w:t>
      </w:r>
    </w:p>
    <w:p>
      <w:pPr>
        <w:shd w:fill="F5F4F1" w:val="clear"/>
        <w:spacing w:after="160" w:before="120"/>
        <w:jc w:val="center"/>
      </w:pPr>
      <w:r>
        <w:rPr>
          <w:i/>
          <w:iCs/>
          <w:sz w:val="22"/>
          <w:szCs w:val="22"/>
        </w:rPr>
        <w:t xml:space="preserve">Robots → automated production → additional robots and factories</w:t>
      </w:r>
    </w:p>
    <w:p>
      <w:pPr>
        <w:spacing w:after="160" w:line="276"/>
      </w:pPr>
      <w:r>
        <w:t xml:space="preserve">A useful indicator is the robot reproduction ratio:</w:t>
      </w:r>
    </w:p>
    <w:p>
      <w:pPr>
        <w:shd w:fill="F5F4F1" w:val="clear"/>
        <w:spacing w:after="40" w:before="120"/>
        <w:jc w:val="center"/>
      </w:pPr>
      <w:r>
        <w:rPr>
          <w:i/>
          <w:iCs/>
          <w:sz w:val="22"/>
          <w:szCs w:val="22"/>
        </w:rPr>
        <w:t xml:space="preserve">R_robot,T = discounted lifetime robot-equivalent capacity produced over T / robot-equivalent capacity retired, consumed, or irreversibly committed over T</w:t>
      </w:r>
    </w:p>
    <w:p>
      <w:pPr>
        <w:spacing w:after="160"/>
        <w:jc w:val="center"/>
      </w:pPr>
      <w:r>
        <w:rPr>
          <w:i/>
          <w:iCs/>
          <w:color w:val="595959"/>
          <w:sz w:val="18"/>
          <w:szCs w:val="18"/>
        </w:rPr>
        <w:t xml:space="preserve">The ratio requires an explicit horizon T and a common capacity unit; a factory is not “consumed” merely because it helped build robots. An installed-capacity growth rate is an acceptable simpler alternative.</w:t>
      </w:r>
    </w:p>
    <w:p>
      <w:pPr>
        <w:spacing w:after="160" w:line="276"/>
      </w:pPr>
      <w:r>
        <w:t xml:space="preserve">Recursive expansion becomes possible when this ratio exceeds one after accounting for depreciation, maintenance, failed production, energy, materials, and the equipment required to manufacture high-complexity components. In the long run, the decisive competitive variable is not model quality but the </w:t>
      </w:r>
      <w:r>
        <w:rPr>
          <w:b/>
          <w:bCs/>
        </w:rPr>
        <w:t xml:space="preserve">doubling time of productive hardware</w:t>
      </w:r>
      <w:r>
        <w:t xml:space="preserve">: an actor with slightly weaker models and a faster-replicating industrial base eventually dominates on volume. Section 4 examines what that replication must outrun.</w:t>
      </w:r>
    </w:p>
    <w:p>
      <w:pPr>
        <w:pStyle w:val="Heading2"/>
      </w:pPr>
      <w:r>
        <w:t xml:space="preserve">Data: the exhaust of the physical loop</w:t>
      </w:r>
    </w:p>
    <w:p>
      <w:pPr>
        <w:spacing w:after="160" w:line="276"/>
      </w:pPr>
      <w:r>
        <w:t xml:space="preserve">The coupling between the two loops has a second channel besides compute. Operating physical industry generates data that exists nowhere else, because it is produced by </w:t>
      </w:r>
      <w:r>
        <w:rPr>
          <w:i/>
          <w:iCs/>
        </w:rPr>
        <w:t xml:space="preserve">doing</w:t>
      </w:r>
      <w:r>
        <w:t xml:space="preserve"> rather than by writing: engine test telemetry, weld and process parameters, failed alloys and abandoned designs, fleet driving data, robot manipulation traces, factory yield histories. Shared public data is one reason model capabilities may converge, though not necessarily the dominant one (Section 10). Physical-process data commoditises less readily than public text: there is no corpus to scrape, only instruments to own.</w:t>
      </w:r>
    </w:p>
    <w:p>
      <w:pPr>
        <w:spacing w:after="160" w:line="276"/>
      </w:pPr>
      <w:r>
        <w:t xml:space="preserve">Three properties make this a distinct moat class. </w:t>
      </w:r>
      <w:r>
        <w:rPr>
          <w:b/>
          <w:bCs/>
        </w:rPr>
        <w:t xml:space="preserve">Negative results</w:t>
      </w:r>
      <w:r>
        <w:t xml:space="preserve">: the map of what does not work — the failures paid for in scrapped hardware — is the most valuable engineering knowledge and the least published; it survives only in the archives of whoever funded the failures. </w:t>
      </w:r>
      <w:r>
        <w:rPr>
          <w:b/>
          <w:bCs/>
        </w:rPr>
        <w:t xml:space="preserve">Sim-to-real ground truth</w:t>
      </w:r>
      <w:r>
        <w:t xml:space="preserve">: simulation is weakest exactly where the frontier lies (combustion dynamics, materials under extreme conditions), so real telemetry is the verification fuel for any AI that proposes physical designs — and the test infrastructure that generates it is the experimental-throughput term X of Section 1, extended to the physical world. </w:t>
      </w:r>
      <w:r>
        <w:rPr>
          <w:b/>
          <w:bCs/>
        </w:rPr>
        <w:t xml:space="preserve">Legal fencing</w:t>
      </w:r>
      <w:r>
        <w:t xml:space="preserve">: export-controlled rocketry data cannot lawfully enter open corpora at all — a state-enforced moat stronger than trade secrecy. </w:t>
      </w:r>
      <w:r>
        <w:rPr>
          <w:b/>
          <w:bCs/>
        </w:rPr>
        <w:t xml:space="preserve">Temporal lead time</w:t>
      </w:r>
      <w:r>
        <w:t xml:space="preserve">: longitudinal data imposes a minimum calendar-time barrier to obtaining a like-for-like archive — a rival beginning today can match the sampling rate but cannot reproduce the exact historical intervention-and-outcome sequence retroactively. Capital can nonetheless compress much of the informational disadvantage through acquisition, larger current fleets, accelerated and parallel experimentation, simulation, transfer learning, better experimental design, or a newer process whose data renders the older archive less relevant [S33]. The barrier is lead time, not impossibility.</w:t>
      </w:r>
    </w:p>
    <w:p>
      <w:pPr>
        <w:spacing w:after="160" w:line="276"/>
      </w:pPr>
      <w:r>
        <w:t xml:space="preserve">As with fabrication, this channel has moved from inference to public statement — twice, through the same mechanism, which indicates an emerging reusable pattern rather than a proven repeatable one. In July 2026, days after shipping a model whose supplemental training drew on the coding data of an acquired developer-tools company, Musk announced that SpaceX's engineering corpus (excluding export-controlled material) would enter the supplemental training of the next, roughly two-trillion-parameter model. Two applications of one pipeline — base run, then supplemental passes over owned proprietary corpora — suggest an emerging pattern; two instances do not establish a repeatable mechanism [S11, S13]. A closure ratio parallel to κ applies:</w:t>
      </w:r>
    </w:p>
    <w:p>
      <w:pPr>
        <w:shd w:fill="F5F4F1" w:val="clear"/>
        <w:spacing w:after="40" w:before="120"/>
        <w:jc w:val="center"/>
      </w:pPr>
      <w:r>
        <w:rPr>
          <w:i/>
          <w:iCs/>
          <w:sz w:val="22"/>
          <w:szCs w:val="22"/>
        </w:rPr>
        <w:t xml:space="preserve">D_advantage = f(uniqueness, causal linkage, coverage, quality, accessibility, integration, verification value)</w:t>
      </w:r>
    </w:p>
    <w:p>
      <w:pPr>
        <w:spacing w:after="160"/>
        <w:jc w:val="center"/>
      </w:pPr>
      <w:r>
        <w:rPr>
          <w:i/>
          <w:iCs/>
          <w:color w:val="595959"/>
          <w:sz w:val="18"/>
          <w:szCs w:val="18"/>
        </w:rPr>
        <w:t xml:space="preserve">The data-layer analogue of κ is an index, not a ratio: total training-relevant data required is not a measurable denominator, so κ_D is retained only as shorthand for direction of effort.</w:t>
      </w:r>
    </w:p>
    <w:p>
      <w:pPr>
        <w:spacing w:after="160" w:line="276"/>
      </w:pPr>
      <w:r>
        <w:t xml:space="preserve">(A measurement honesty note: the denominator — total training-relevant data required — is not operationally measurable, and data value depends on quality, diversity, novelty, and causal linkage, not on origin alone. κ_D is therefore a direction-of-effort indicator, proxied by owned-data scale and integration, not a computable ratio.)</w:t>
      </w:r>
    </w:p>
    <w:p>
      <w:pPr>
        <w:spacing w:after="160" w:line="276"/>
      </w:pPr>
      <w:r>
        <w:t xml:space="preserve">The legal fencing described above cuts both ways, however. Export control walls the most sensitive material — reportedly propulsion specifics and guidance-and-control detail — away from rivals </w:t>
      </w:r>
      <w:r>
        <w:rPr>
          <w:i/>
          <w:iCs/>
        </w:rPr>
        <w:t xml:space="preserve">and</w:t>
      </w:r>
      <w:r>
        <w:t xml:space="preserve"> away from any publicly served model, since deploying a model trained on controlled technical data to foreign users would itself constitute export. The strongest-moat data is therefore harvestable only in an internal, access-controlled model variant restricted to cleared personnel; the observable indicator is the compliance apparatus around such a variant rather than the variant itself (Section 14). The publicly served model trains on the unrestricted majority of the corpus, not its crown jewels.</w:t>
      </w:r>
    </w:p>
    <w:p>
      <w:pPr>
        <w:spacing w:after="160" w:line="276"/>
      </w:pPr>
      <w:r>
        <w:t xml:space="preserve">Generation alone is also not sufficient: the data must be </w:t>
      </w:r>
      <w:r>
        <w:rPr>
          <w:b/>
          <w:bCs/>
        </w:rPr>
        <w:t xml:space="preserve">integrated</w:t>
      </w:r>
      <w:r>
        <w:t xml:space="preserve"> to be trainable. The foundation of this integration is now documented on the record. Tesla's first chief information officer, Jay Vijayan, has described building the company's custom enterprise system, Warp, in about four months in 2012 after Musk rejected off-the-shelf ERP [S15] — scrappy and buggy at first, then continuously extended — precisely so the company could change its operations in days rather than adapt itself to vendor software. Independently, SpaceX runs its own internal system, also named Warp Drive, confirmed by former engineers and an engineering-blog interview [S16]. The two companies converged on the same build-don't-buy pattern separately, which is itself evidence that the pattern follows from the iteration-speed requirement rather than from one executive's taste.</w:t>
      </w:r>
    </w:p>
    <w:p>
      <w:pPr>
        <w:spacing w:after="160" w:line="276"/>
      </w:pPr>
      <w:r>
        <w:t xml:space="preserve">On top of this base, commentary describes a unified data fabric maintaining, for every vehicle produced, a linked record across three phases: </w:t>
      </w:r>
      <w:r>
        <w:rPr>
          <w:b/>
          <w:bCs/>
        </w:rPr>
        <w:t xml:space="preserve">as designed</w:t>
      </w:r>
      <w:r>
        <w:t xml:space="preserve"> (models and simulations), </w:t>
      </w:r>
      <w:r>
        <w:rPr>
          <w:b/>
          <w:bCs/>
        </w:rPr>
        <w:t xml:space="preserve">as built</w:t>
      </w:r>
      <w:r>
        <w:t xml:space="preserve"> (supplier batches, machine settings, torques, and factory test results), and </w:t>
      </w:r>
      <w:r>
        <w:rPr>
          <w:b/>
          <w:bCs/>
        </w:rPr>
        <w:t xml:space="preserve">as deployed</w:t>
      </w:r>
      <w:r>
        <w:t xml:space="preserve"> (operational fleet telemetry). The integrated cross-functional data foundation and the over-the-air infrastructure are independently confirmed; the specific tri-phase record schema is only partially confirmed and treated as indicative. Proprietary physical data matters only when it is sufficiently structured, attributable, legally usable, integrated, and connected to interventions and outcomes. The value of such a record, if accurate, is exactly that causal structure: it connects design intent to production parameters to field behavior per individual unit — exactly the linkage an AI needs to learn cause and effect in manufacturing, and exactly what rivals with siloed design, factory, and service databases cannot reconstruct from equal volumes of unlinked data. κ_D therefore has a quality dimension: data closure means generating training-relevant data not just internally but </w:t>
      </w:r>
      <w:r>
        <w:rPr>
          <w:i/>
          <w:iCs/>
        </w:rPr>
        <w:t xml:space="preserve">connected</w:t>
      </w:r>
      <w:r>
        <w:t xml:space="preserve">.</w:t>
      </w:r>
    </w:p>
    <w:p>
      <w:pPr>
        <w:spacing w:after="160" w:line="276"/>
      </w:pPr>
      <w:r>
        <w:t xml:space="preserve">Scale proxies exist but must be read carefully. As of mid-2026 the vehicle fleet had accumulated more than ten billion miles under supervised autonomy software, against ~220 million fully driverless miles disclosed by the leading robotaxi operator [S17, S29]; no meaningful conversion exists between supervised and driverless miles, so the ratio is not an advantage multiple and is not treated as one here. The more informative disclosures concern structure rather than volume: an occupancy network trained on 1.4 billion fleet video frames and an auto-labelling system replacing roughly five million hours of manual annotation [S17]. On the aerospace side, thirteen heavy-lift test flights by mid-2026 embody the complementary regime — few data points, each carrying high information content [S30].</w:t>
      </w:r>
    </w:p>
    <w:p>
      <w:pPr>
        <w:spacing w:after="160" w:line="276"/>
      </w:pPr>
      <w:r>
        <w:t xml:space="preserve">The honest caveat matches the rest of this framework: proprietary physical data is lead time, not permanence. Any actor operating comparable fleets, factories, and test programs generates comparable exhaust — China's vehicle fleets and robotics sector do so at national scale — so the data moat obeys the same convergence logic as every other layer.</w:t>
      </w:r>
    </w:p>
    <w:p>
      <w:pPr>
        <w:pStyle w:val="Heading1"/>
      </w:pPr>
      <w:r>
        <w:t xml:space="preserve">3. Why Space Changes the Cost Structure</w:t>
      </w:r>
    </w:p>
    <w:p>
      <w:pPr>
        <w:spacing w:after="160" w:line="276"/>
      </w:pPr>
      <w:r>
        <w:t xml:space="preserve">On Earth, land is economically scarce because useful locations compete with existing communities, ecosystems, infrastructure, political jurisdictions, and alternative land uses. In orbit or on extraterrestrial bodies, the monetary price of unused area can approach zero. This can remove a major terrestrial constraint for very large energy arrays, factories, shipyards, telescopes, storage systems, and compute infrastructure.</w:t>
      </w:r>
    </w:p>
    <w:p>
      <w:pPr>
        <w:shd w:fill="F5F4F1" w:val="clear"/>
        <w:spacing w:after="160" w:before="120"/>
        <w:jc w:val="center"/>
      </w:pPr>
      <w:r>
        <w:rPr>
          <w:i/>
          <w:iCs/>
          <w:sz w:val="22"/>
          <w:szCs w:val="22"/>
        </w:rPr>
        <w:t xml:space="preserve">Earth infrastructure cost = land + permits + construction + energy + materials + labor + coordination</w:t>
      </w:r>
    </w:p>
    <w:p>
      <w:pPr>
        <w:shd w:fill="F5F4F1" w:val="clear"/>
        <w:spacing w:after="160" w:before="120"/>
        <w:jc w:val="center"/>
      </w:pPr>
      <w:r>
        <w:rPr>
          <w:i/>
          <w:iCs/>
          <w:sz w:val="22"/>
          <w:szCs w:val="22"/>
        </w:rPr>
        <w:t xml:space="preserve">Space infrastructure cost = transport + energy + extraction + refining + manufacturing + maintenance + coordination</w:t>
      </w:r>
    </w:p>
    <w:p>
      <w:pPr>
        <w:spacing w:after="160" w:line="276"/>
      </w:pPr>
      <w:r>
        <w:t xml:space="preserve">The land term declines sharply, but infrastructure does not become free. The initial system must reach its destination, survive the environment, obtain or import matter, reject heat, maintain orbital or surface operations, and replace failed equipment. Valuable positions may remain scarce because of illumination, thermal conditions, communication geometry, orbital stability, resource proximity, and transport energy.</w:t>
      </w:r>
    </w:p>
    <w:tbl>
      <w:tblPr>
        <w:tblW w:type="dxa" w:w="9360"/>
        <w:tblBorders>
          <w:top w:val="single" w:color="C9C9C9" w:sz="2"/>
          <w:left w:val="single" w:color="B0592A" w:sz="24"/>
          <w:bottom w:val="single" w:color="C9C9C9" w:sz="2"/>
          <w:right w:val="single" w:color="C9C9C9" w:sz="2"/>
          <w:insideH w:val="none"/>
          <w:insideV w:val="none"/>
        </w:tblBorders>
      </w:tblPr>
      <w:tblGrid>
        <w:gridCol w:w="9360"/>
      </w:tblGrid>
      <w:tr>
        <w:tc>
          <w:tcPr>
            <w:tcW w:type="dxa" w:w="9360"/>
            <w:shd w:fill="F5F4F1" w:val="clear"/>
            <w:tcMar>
              <w:top w:type="dxa" w:w="140"/>
              <w:left w:type="dxa" w:w="200"/>
              <w:bottom w:type="dxa" w:w="100"/>
              <w:right w:type="dxa" w:w="200"/>
            </w:tcMar>
          </w:tcPr>
          <w:p>
            <w:pPr>
              <w:spacing w:after="80"/>
            </w:pPr>
            <w:r>
              <w:rPr>
                <w:b/>
                <w:bCs/>
                <w:color w:val="1F3352"/>
                <w:sz w:val="22"/>
                <w:szCs w:val="22"/>
              </w:rPr>
              <w:t xml:space="preserve">Refined claim</w:t>
            </w:r>
          </w:p>
          <w:p>
            <w:pPr>
              <w:spacing w:after="40"/>
            </w:pPr>
            <w:r>
              <w:t xml:space="preserve">Space does not eliminate cost. It changes cost from purchasing scarce terrestrial sites and coordinating human institutions toward transporting, converting, and maintaining matter through an automated production network.</w:t>
            </w:r>
          </w:p>
        </w:tc>
      </w:tr>
    </w:tbl>
    <w:p>
      <w:pPr>
        <w:spacing w:after="160"/>
      </w:pPr>
    </w:p>
    <w:p>
      <w:pPr>
        <w:pStyle w:val="Heading2"/>
      </w:pPr>
      <w:r>
        <w:t xml:space="preserve">Constraints become internal product categories</w:t>
      </w:r>
    </w:p>
    <w:p>
      <w:pPr>
        <w:spacing w:after="160" w:line="276"/>
      </w:pPr>
      <w:r>
        <w:t xml:space="preserve">Station-keeping, collision avoidance, communications, maintenance, and transportation do not remain permanent external objections once the industrial complex can manufacture the required systems. They become production lines inside the larger ecology:</w:t>
      </w:r>
    </w:p>
    <w:p>
      <w:pPr>
        <w:pStyle w:val="ListParagraph"/>
        <w:numPr>
          <w:ilvl w:val="0"/>
          <w:numId w:val="2"/>
        </w:numPr>
        <w:spacing w:after="100" w:line="276"/>
      </w:pPr>
      <w:r>
        <w:t xml:space="preserve">Station-keeping becomes demand for propellant, thrusters, tanks, navigation, and orbital-transfer vehicles.</w:t>
      </w:r>
    </w:p>
    <w:p>
      <w:pPr>
        <w:pStyle w:val="ListParagraph"/>
        <w:numPr>
          <w:ilvl w:val="0"/>
          <w:numId w:val="2"/>
        </w:numPr>
        <w:spacing w:after="100" w:line="276"/>
      </w:pPr>
      <w:r>
        <w:t xml:space="preserve">Collision management becomes demand for tracking sensors, predictive software, maneuver capability, and debris-removal systems.</w:t>
      </w:r>
    </w:p>
    <w:p>
      <w:pPr>
        <w:pStyle w:val="ListParagraph"/>
        <w:numPr>
          <w:ilvl w:val="0"/>
          <w:numId w:val="2"/>
        </w:numPr>
        <w:spacing w:after="100" w:line="276"/>
      </w:pPr>
      <w:r>
        <w:t xml:space="preserve">Imported mass is displaced by local extraction, refining, recycling, and manufacturing.</w:t>
      </w:r>
    </w:p>
    <w:p>
      <w:pPr>
        <w:pStyle w:val="ListParagraph"/>
        <w:numPr>
          <w:ilvl w:val="0"/>
          <w:numId w:val="2"/>
        </w:numPr>
        <w:spacing w:after="100" w:line="276"/>
      </w:pPr>
      <w:r>
        <w:t xml:space="preserve">Maintenance becomes demand for inspection robots, modular replacement parts, diagnostics, and redundant capacity.</w:t>
      </w:r>
    </w:p>
    <w:p>
      <w:pPr>
        <w:pStyle w:val="ListParagraph"/>
        <w:numPr>
          <w:ilvl w:val="0"/>
          <w:numId w:val="2"/>
        </w:numPr>
        <w:spacing w:after="100" w:line="276"/>
      </w:pPr>
      <w:r>
        <w:t xml:space="preserve">Coordination becomes demand for compute, communications, local autonomy, and system-level planning intelligence.</w:t>
      </w:r>
    </w:p>
    <w:p>
      <w:pPr>
        <w:spacing w:after="160" w:line="276"/>
      </w:pPr>
      <w:r>
        <w:t xml:space="preserve">The crucial issue is therefore not whether these requirements exist, but whether the complex can reproduce the industries needed to satisfy them faster than the system depreciates.</w:t>
      </w:r>
    </w:p>
    <w:p>
      <w:pPr>
        <w:pStyle w:val="Heading2"/>
      </w:pPr>
      <w:r>
        <w:t xml:space="preserve">The distributed industrial ecology</w:t>
      </w:r>
    </w:p>
    <w:p>
      <w:pPr>
        <w:spacing w:after="160" w:line="276"/>
      </w:pPr>
      <w:r>
        <w:t xml:space="preserve">The complex need not be a single self-contained factory. It can be a distributed network of specialized nodes whose combined input-output graph is closed: lunar mines, asteroid extraction sites, orbital refineries, propellant depots, solar power arrays, shipyards, robot factories, compute centers, habitats, and communications relays.</w:t>
      </w:r>
    </w:p>
    <w:p>
      <w:pPr>
        <w:shd w:fill="F5F4F1" w:val="clear"/>
        <w:spacing w:after="160" w:before="120"/>
        <w:jc w:val="center"/>
      </w:pPr>
      <w:r>
        <w:rPr>
          <w:i/>
          <w:iCs/>
          <w:sz w:val="22"/>
          <w:szCs w:val="22"/>
        </w:rPr>
        <w:t xml:space="preserve">Local specialization + network coordination = system-level self-sufficiency</w:t>
      </w:r>
    </w:p>
    <w:p>
      <w:pPr>
        <w:spacing w:after="160" w:line="276"/>
      </w:pPr>
      <w:r>
        <w:t xml:space="preserve">A lunar node might supply bulk materials and volatiles; orbital facilities might exploit vacuum, continuous solar access, and microgravity assembly; Mars might support settlement and local industry; asteroids might provide selected metals and volatiles. No single node must produce everything. The network as a whole must be able to replace its critical inputs. A caution on aggregation, which applies to every use of the word “space” in this paper: low Earth orbit, high Earth orbit, cislunar space, the lunar poles, other lunar regions, Mars, and near-Earth and main-belt asteroids differ in radiation, thermal cycling, latency, illumination, dust, gravity, resource composition, transport energy, serviceability, orbital stability, and political accessibility. Feasibility claims cannot be aggregated across them; the third edition's model uses explicit reference architectures instead [S35].</w:t>
      </w:r>
    </w:p>
    <w:p>
      <w:pPr>
        <w:pStyle w:val="Heading1"/>
      </w:pPr>
      <w:r>
        <w:t xml:space="preserve">4. Depreciation: The Harsh Term in the Growth Equation</w:t>
      </w:r>
    </w:p>
    <w:p>
      <w:pPr>
        <w:shd w:fill="F5F4F1" w:val="clear"/>
        <w:spacing w:after="40" w:before="120"/>
        <w:jc w:val="center"/>
      </w:pPr>
      <w:r>
        <w:rPr>
          <w:i/>
          <w:iCs/>
          <w:sz w:val="22"/>
          <w:szCs w:val="22"/>
        </w:rPr>
        <w:t xml:space="preserve">dH/dt = [r − δ] H</w:t>
      </w:r>
    </w:p>
    <w:p>
      <w:pPr>
        <w:spacing w:after="160"/>
        <w:jc w:val="center"/>
      </w:pPr>
      <w:r>
        <w:rPr>
          <w:i/>
          <w:iCs/>
          <w:color w:val="595959"/>
          <w:sz w:val="18"/>
          <w:szCs w:val="18"/>
        </w:rPr>
        <w:t xml:space="preserve">H is productive infrastructure; r is gross replication productivity; δ is depreciation and failure.</w:t>
      </w:r>
    </w:p>
    <w:p>
      <w:pPr>
        <w:spacing w:after="160" w:line="276"/>
      </w:pPr>
      <w:r>
        <w:t xml:space="preserve">Every claim in this framework ultimately reduces to whether gross replication r exceeds depreciation δ. Terrestrial industry operates inside an ambient repair economy — spare parts, service firms, substitute machines, and human technicians are purchasable everywhere. Space assets have none of that: a communications satellite is typically designed for a fifteen-year life with no repair at all, and it is retired when consumables or components fail.</w:t>
      </w:r>
    </w:p>
    <w:p>
      <w:pPr>
        <w:spacing w:after="160" w:line="276"/>
      </w:pPr>
      <w:r>
        <w:t xml:space="preserve">Published measurements constrain a few component classes; they do not yet bound the depreciation of an autonomous industrial ecology, and an earlier draft claimed more than they support. Telemetry from eleven GEO satellites puts solar-array degradation at roughly 0.4–1.7% per year depending on cell type [S19], which overlaps the terrestrial crystalline-silicon median of 0.5–0.6% per year at the low end and reaches several times it at the high end [S18] — a useful anchor for one component class and silent about bearings, seals, lubricated mechanisms, batteries, machine tools, robots, radiators, dust-exposed joints, and optical metrology. Constellation statistics are similarly limited: reported early-generation failure fractions near 3% fall below 0.5% for later generations, the underlying tracker separates early deorbit, uncontrolled decay, retirement, and disposal, and a fleet fraction without a cohort definition, observation interval, and satellite-years is not a hazard rate [S22]. Large-training-run figures of roughly one interruption per two thousand accelerator-days mix permanent component failures with recoverable host, network, and software events, most automatically recovered: that is a </w:t>
      </w:r>
      <w:r>
        <w:rPr>
          <w:b/>
          <w:bCs/>
        </w:rPr>
        <w:t xml:space="preserve">cluster interruption frequency</w:t>
      </w:r>
      <w:r>
        <w:t xml:space="preserve">, not a component hazard rate [S34].</w:t>
      </w:r>
    </w:p>
    <w:p>
      <w:pPr>
        <w:spacing w:after="160" w:line="276"/>
      </w:pPr>
      <w:r>
        <w:t xml:space="preserve">What survives is a structural claim rather than a measured one: the space penalty in δ is dominated not by faster wear but by the five-to-fifteen-year no-repair design envelope, the internality of every repair chain, and discrete loss without salvage. Five quantities must also be kept apart, because earlier revisions of this paper let them blur: </w:t>
      </w:r>
      <w:r>
        <w:rPr>
          <w:b/>
          <w:bCs/>
        </w:rPr>
        <w:t xml:space="preserve">physical degradation</w:t>
      </w:r>
      <w:r>
        <w:t xml:space="preserve">, </w:t>
      </w:r>
      <w:r>
        <w:rPr>
          <w:b/>
          <w:bCs/>
        </w:rPr>
        <w:t xml:space="preserve">functional failure</w:t>
      </w:r>
      <w:r>
        <w:t xml:space="preserve">, </w:t>
      </w:r>
      <w:r>
        <w:rPr>
          <w:b/>
          <w:bCs/>
        </w:rPr>
        <w:t xml:space="preserve">accounting depreciation</w:t>
      </w:r>
      <w:r>
        <w:t xml:space="preserve">, </w:t>
      </w:r>
      <w:r>
        <w:rPr>
          <w:b/>
          <w:bCs/>
        </w:rPr>
        <w:t xml:space="preserve">economic obsolescence</w:t>
      </w:r>
      <w:r>
        <w:t xml:space="preserve">, and </w:t>
      </w:r>
      <w:r>
        <w:rPr>
          <w:b/>
          <w:bCs/>
        </w:rPr>
        <w:t xml:space="preserve">frontier-equivalent capacity loss</w:t>
      </w:r>
      <w:r>
        <w:t xml:space="preserve">. The last two are not physical: an accelerator does not vanish because a better one exists, so obsolescence belongs in the growth equation only if H is explicitly measured in quality-adjusted or frontier-equivalent productive capacity. The terrestrial paradox noted in earlier revisions — advanced capital written off faster than space hardware physically degrades — is therefore a statement about accounting and frontier equivalence, not about matter.</w:t>
      </w:r>
    </w:p>
    <w:p>
      <w:pPr>
        <w:shd w:fill="F5F4F1" w:val="clear"/>
        <w:spacing w:after="40" w:before="120"/>
        <w:jc w:val="center"/>
      </w:pPr>
      <w:r>
        <w:rPr>
          <w:i/>
          <w:iCs/>
          <w:sz w:val="22"/>
          <w:szCs w:val="22"/>
        </w:rPr>
        <w:t xml:space="preserve">δ_total = δ_wear + δ_catastrophic + δ_obsolescence + δ_logistics</w:t>
      </w:r>
    </w:p>
    <w:p>
      <w:pPr>
        <w:spacing w:after="160"/>
        <w:jc w:val="center"/>
      </w:pPr>
      <w:r>
        <w:rPr>
          <w:i/>
          <w:iCs/>
          <w:color w:val="595959"/>
          <w:sz w:val="18"/>
          <w:szCs w:val="18"/>
        </w:rPr>
        <w:t xml:space="preserve">Space raises the catastrophic and logistics terms; Earth raises the obsolescence term; wear differs by only a factor of two to three. Compressing these into one scalar was a source of internal inconsistency in earlier revisions, corrected here.</w:t>
      </w:r>
    </w:p>
    <w:p>
      <w:pPr>
        <w:spacing w:after="160" w:line="276"/>
      </w:pPr>
      <w:r>
        <w:t xml:space="preserve">The space environment drives δ upward through several independent channels:</w:t>
      </w:r>
    </w:p>
    <w:p>
      <w:pPr>
        <w:pStyle w:val="ListParagraph"/>
        <w:numPr>
          <w:ilvl w:val="0"/>
          <w:numId w:val="2"/>
        </w:numPr>
        <w:spacing w:after="100" w:line="276"/>
      </w:pPr>
      <w:r>
        <w:rPr>
          <w:b/>
          <w:bCs/>
        </w:rPr>
        <w:t xml:space="preserve">Radiation:</w:t>
      </w:r>
      <w:r>
        <w:t xml:space="preserve"> cumulative ionizing dose degrades electronics and materials, while single-event upsets corrupt computation — the reason space-qualified chips are a distinct engineering category.</w:t>
      </w:r>
    </w:p>
    <w:p>
      <w:pPr>
        <w:pStyle w:val="ListParagraph"/>
        <w:numPr>
          <w:ilvl w:val="0"/>
          <w:numId w:val="2"/>
        </w:numPr>
        <w:spacing w:after="100" w:line="276"/>
      </w:pPr>
      <w:r>
        <w:rPr>
          <w:b/>
          <w:bCs/>
        </w:rPr>
        <w:t xml:space="preserve">Thermal cycling:</w:t>
      </w:r>
      <w:r>
        <w:t xml:space="preserve"> repeated extreme temperature swings fatigue joints, coatings, and structures.</w:t>
      </w:r>
    </w:p>
    <w:p>
      <w:pPr>
        <w:pStyle w:val="ListParagraph"/>
        <w:numPr>
          <w:ilvl w:val="0"/>
          <w:numId w:val="2"/>
        </w:numPr>
        <w:spacing w:after="100" w:line="276"/>
      </w:pPr>
      <w:r>
        <w:rPr>
          <w:b/>
          <w:bCs/>
        </w:rPr>
        <w:t xml:space="preserve">Micrometeoroids and debris:</w:t>
      </w:r>
      <w:r>
        <w:t xml:space="preserve"> a continuous erosive flux plus a low-probability, high-consequence impact risk.</w:t>
      </w:r>
    </w:p>
    <w:p>
      <w:pPr>
        <w:pStyle w:val="ListParagraph"/>
        <w:numPr>
          <w:ilvl w:val="0"/>
          <w:numId w:val="2"/>
        </w:numPr>
        <w:spacing w:after="100" w:line="276"/>
      </w:pPr>
      <w:r>
        <w:rPr>
          <w:b/>
          <w:bCs/>
        </w:rPr>
        <w:t xml:space="preserve">Vacuum effects:</w:t>
      </w:r>
      <w:r>
        <w:t xml:space="preserve"> lubricant outgassing and cold-welding of metal surfaces degrade mechanisms.</w:t>
      </w:r>
    </w:p>
    <w:p>
      <w:pPr>
        <w:pStyle w:val="ListParagraph"/>
        <w:numPr>
          <w:ilvl w:val="0"/>
          <w:numId w:val="2"/>
        </w:numPr>
        <w:spacing w:after="100" w:line="276"/>
      </w:pPr>
      <w:r>
        <w:rPr>
          <w:b/>
          <w:bCs/>
        </w:rPr>
        <w:t xml:space="preserve">Regolith dust:</w:t>
      </w:r>
      <w:r>
        <w:t xml:space="preserve"> on the Moon and Mars, abrasive, electrostatically clinging dust attacks seals, optics, radiators, and joints.</w:t>
      </w:r>
    </w:p>
    <w:p>
      <w:pPr>
        <w:pStyle w:val="ListParagraph"/>
        <w:numPr>
          <w:ilvl w:val="0"/>
          <w:numId w:val="2"/>
        </w:numPr>
        <w:spacing w:after="100" w:line="276"/>
      </w:pPr>
      <w:r>
        <w:rPr>
          <w:b/>
          <w:bCs/>
        </w:rPr>
        <w:t xml:space="preserve">No ambient repair economy:</w:t>
      </w:r>
      <w:r>
        <w:t xml:space="preserve"> every repair chain is internal to the complex or does not exist.</w:t>
      </w:r>
    </w:p>
    <w:tbl>
      <w:tblPr>
        <w:tblW w:type="dxa" w:w="9360"/>
        <w:tblBorders>
          <w:top w:val="single" w:color="C9C9C9" w:sz="2"/>
          <w:left w:val="single" w:color="B0592A" w:sz="24"/>
          <w:bottom w:val="single" w:color="C9C9C9" w:sz="2"/>
          <w:right w:val="single" w:color="C9C9C9" w:sz="2"/>
          <w:insideH w:val="none"/>
          <w:insideV w:val="none"/>
        </w:tblBorders>
      </w:tblPr>
      <w:tblGrid>
        <w:gridCol w:w="9360"/>
      </w:tblGrid>
      <w:tr>
        <w:tc>
          <w:tcPr>
            <w:tcW w:type="dxa" w:w="9360"/>
            <w:shd w:fill="F5F4F1" w:val="clear"/>
            <w:tcMar>
              <w:top w:type="dxa" w:w="140"/>
              <w:left w:type="dxa" w:w="200"/>
              <w:bottom w:type="dxa" w:w="100"/>
              <w:right w:type="dxa" w:w="200"/>
            </w:tcMar>
          </w:tcPr>
          <w:p>
            <w:pPr>
              <w:spacing w:after="80"/>
            </w:pPr>
            <w:r>
              <w:rPr>
                <w:b/>
                <w:bCs/>
                <w:color w:val="1F3352"/>
                <w:sz w:val="22"/>
                <w:szCs w:val="22"/>
              </w:rPr>
              <w:t xml:space="preserve">The clock-setting component</w:t>
            </w:r>
          </w:p>
          <w:p>
            <w:pPr>
              <w:spacing w:after="40"/>
            </w:pPr>
            <w:r>
              <w:t xml:space="preserve">In any partially closed system, the component with the shortest replacement horizon that cannot yet be produced or stockpiled locally sets a hard clock on the entire complex. Closure priority should therefore be ordered by failure rate × non-replaceability, not by mass fraction. The first industries to close are not the largest but the ones that keep everything else alive.</w:t>
            </w:r>
          </w:p>
        </w:tc>
      </w:tr>
    </w:tbl>
    <w:p>
      <w:pPr>
        <w:spacing w:after="160"/>
      </w:pPr>
    </w:p>
    <w:p>
      <w:pPr>
        <w:shd w:fill="F5F4F1" w:val="clear"/>
        <w:spacing w:after="40" w:before="120"/>
        <w:jc w:val="center"/>
      </w:pPr>
      <w:r>
        <w:rPr>
          <w:i/>
          <w:iCs/>
          <w:sz w:val="22"/>
          <w:szCs w:val="22"/>
        </w:rPr>
        <w:t xml:space="preserve">Viability condition: T_replenish,j &lt; T_effective survival,j for every critical component class j</w:t>
      </w:r>
    </w:p>
    <w:p>
      <w:pPr>
        <w:spacing w:after="160"/>
        <w:jc w:val="center"/>
      </w:pPr>
      <w:r>
        <w:rPr>
          <w:i/>
          <w:iCs/>
          <w:color w:val="595959"/>
          <w:sz w:val="18"/>
          <w:szCs w:val="18"/>
        </w:rPr>
        <w:t xml:space="preserve">Effective survival includes installed redundancy, spare inventory, repair probability, substitution, and the expected failure distribution — not merely time to first failure. The naive form ignored inventories, cannibalisation, and stockpiling.</w:t>
      </w:r>
    </w:p>
    <w:p>
      <w:pPr>
        <w:spacing w:after="160" w:line="276"/>
      </w:pPr>
      <w:r>
        <w:t xml:space="preserve">One environment-specific case partly cuts the other way and is worth stating precisely, since an earlier draft overstated it. For </w:t>
      </w:r>
      <w:r>
        <w:rPr>
          <w:b/>
          <w:bCs/>
        </w:rPr>
        <w:t xml:space="preserve">short-lived compute payloads in very low orbit</w:t>
      </w:r>
      <w:r>
        <w:t xml:space="preserve">, aligning useful life with accelerator-obsolescence cycles can reduce the economic value of repair: if hardware would be retired within a few years regardless, irreparability costs less than it does for machinery expected to last decades. The qualifications are substantial. Natural decay is altitude-, ballistic-coefficient-, and solar-activity-dependent: small spacecraft at or near 400 km can decay within five years, but beyond 500 km five-year decay is not assured and some objects persist for decades [S34]. The leading published orbital-compute architecture in fact places its cluster near 650 km in dawn-dusk sun-synchronous orbit, chosen for illumination rather than disposal [S30] — so this concession does not describe that design. Nor is disposal free: station-keeping, collision avoidance (operators of large constellations report on the order of a thousand automated avoidance manoeuvres per day [S27]), replacement launch, network spares, and residual capital loss all remain, and the same source that calls orbital repair impracticable proposes redundant provisioning in its place. The concession is therefore narrow — some payload classes, in very low orbit, gain a reduced repair penalty — and it does not extend to mines, refineries, machine tools, or robots, which must last decades to close a loop.</w:t>
      </w:r>
    </w:p>
    <w:p>
      <w:pPr>
        <w:spacing w:after="160" w:line="276"/>
      </w:pPr>
      <w:r>
        <w:t xml:space="preserve">A credible roadmap should publish estimates of both r and δ per component class, and should treat maintenance, inspection, and recycling capacity as first-class industrial outputs rather than overhead. Appendix A collects the currently published anchors.</w:t>
      </w:r>
    </w:p>
    <w:p>
      <w:pPr>
        <w:pStyle w:val="Heading1"/>
      </w:pPr>
      <w:r>
        <w:t xml:space="preserve">5. Industrial Closure: The Decisive Threshold</w:t>
      </w:r>
    </w:p>
    <w:p>
      <w:pPr>
        <w:spacing w:after="160" w:line="276"/>
      </w:pPr>
      <w:r>
        <w:t xml:space="preserve">Self-sustaining and self-expanding are different milestones. A self-sustaining system replaces what it consumes or loses. A self-expanding system creates net additional productive capacity after replacement, maintenance, and losses.</w:t>
      </w:r>
    </w:p>
    <w:p>
      <w:pPr>
        <w:shd w:fill="F5F4F1" w:val="clear"/>
        <w:spacing w:after="40" w:before="120"/>
        <w:jc w:val="center"/>
      </w:pPr>
      <w:r>
        <w:rPr>
          <w:i/>
          <w:iCs/>
          <w:sz w:val="22"/>
          <w:szCs w:val="22"/>
        </w:rPr>
        <w:t xml:space="preserve">Self-sustaining: P ≥ D    |    Self-expanding: P &gt; D</w:t>
      </w:r>
    </w:p>
    <w:p>
      <w:pPr>
        <w:spacing w:after="160"/>
        <w:jc w:val="center"/>
      </w:pPr>
      <w:r>
        <w:rPr>
          <w:i/>
          <w:iCs/>
          <w:color w:val="595959"/>
          <w:sz w:val="18"/>
          <w:szCs w:val="18"/>
        </w:rPr>
        <w:t xml:space="preserve">P is productive capacity manufactured during a period; D is productive capacity lost or consumed.</w:t>
      </w:r>
    </w:p>
    <w:p>
      <w:pPr>
        <w:shd w:fill="F5F4F1" w:val="clear"/>
        <w:spacing w:after="40" w:before="120"/>
        <w:jc w:val="center"/>
      </w:pPr>
      <w:r>
        <w:rPr>
          <w:i/>
          <w:iCs/>
          <w:sz w:val="22"/>
          <w:szCs w:val="22"/>
        </w:rPr>
        <w:t xml:space="preserve">g_H = (P − D) / H</w:t>
      </w:r>
    </w:p>
    <w:p>
      <w:pPr>
        <w:spacing w:after="160"/>
        <w:jc w:val="center"/>
      </w:pPr>
      <w:r>
        <w:rPr>
          <w:i/>
          <w:iCs/>
          <w:color w:val="595959"/>
          <w:sz w:val="18"/>
          <w:szCs w:val="18"/>
        </w:rPr>
        <w:t xml:space="preserve">g_H is the net growth rate of productive infrastructure H.</w:t>
      </w:r>
    </w:p>
    <w:p>
      <w:pPr>
        <w:pStyle w:val="Heading2"/>
      </w:pPr>
      <w:r>
        <w:t xml:space="preserve">Closure ratio</w:t>
      </w:r>
    </w:p>
    <w:p>
      <w:pPr>
        <w:spacing w:after="160" w:line="276"/>
      </w:pPr>
      <w:r>
        <w:t xml:space="preserve">Industrial closure measures how much of the system's critical input set is produced inside the space-industrial network rather than imported from Earth:</w:t>
      </w:r>
    </w:p>
    <w:p>
      <w:pPr>
        <w:shd w:fill="F5F4F1" w:val="clear"/>
        <w:spacing w:after="160" w:before="120"/>
        <w:jc w:val="center"/>
      </w:pPr>
      <w:r>
        <w:rPr>
          <w:i/>
          <w:iCs/>
          <w:sz w:val="22"/>
          <w:szCs w:val="22"/>
        </w:rPr>
        <w:t xml:space="preserve">κ = critical inputs produced internally / total critical inputs required</w:t>
      </w:r>
    </w:p>
    <w:p>
      <w:pPr>
        <w:spacing w:after="160" w:line="276"/>
      </w:pPr>
      <w:r>
        <w:t xml:space="preserve">At low closure, nearly all equipment arrives from Earth. At intermediate closure, local industry supplies propellant, shielding, structural materials, tanks, roads, landing pads, and simple machines. At high closure, the network also produces motors, sensors, precision tools, computers, robots, spacecraft, factory machinery, high-purity chemicals, and semiconductor equipment.</w:t>
      </w:r>
    </w:p>
    <w:p>
      <w:pPr>
        <w:spacing w:after="160" w:line="276"/>
      </w:pPr>
      <w:r>
        <w:t xml:space="preserve">The scalar form is inadequate: κ is vocabulary, not yet a valid measure. A system supplying 99.9% of its required mass locally can possess effectively zero autonomous closure if the remaining 0.1% contains irreplaceable electronics or catalysts. The proper object is a vector — κ = (κ_power, κ_mining, κ_refining, κ_robotics, κ_machine-tools, κ_electronics, κ_thermal, κ_transport) — with criticality and substitutability assessed per component, and the analysis should identify </w:t>
      </w:r>
      <w:r>
        <w:rPr>
          <w:b/>
          <w:bCs/>
        </w:rPr>
        <w:t xml:space="preserve">minimum cut sets</w:t>
      </w:r>
      <w:r>
        <w:t xml:space="preserve">: the smallest combinations of imported inputs whose loss collapses the network. The clock-setting component of Section 4 is the scalar shadow of this vector structure.</w:t>
      </w:r>
    </w:p>
    <w:tbl>
      <w:tblPr>
        <w:tblW w:type="dxa" w:w="9360"/>
        <w:tblBorders>
          <w:top w:val="single" w:color="C9C9C9" w:sz="2"/>
          <w:left w:val="single" w:color="B0592A" w:sz="24"/>
          <w:bottom w:val="single" w:color="C9C9C9" w:sz="2"/>
          <w:right w:val="single" w:color="C9C9C9" w:sz="2"/>
          <w:insideH w:val="none"/>
          <w:insideV w:val="none"/>
        </w:tblBorders>
      </w:tblPr>
      <w:tblGrid>
        <w:gridCol w:w="9360"/>
      </w:tblGrid>
      <w:tr>
        <w:tc>
          <w:tcPr>
            <w:tcW w:type="dxa" w:w="9360"/>
            <w:shd w:fill="F5F4F1" w:val="clear"/>
            <w:tcMar>
              <w:top w:type="dxa" w:w="140"/>
              <w:left w:type="dxa" w:w="200"/>
              <w:bottom w:type="dxa" w:w="100"/>
              <w:right w:type="dxa" w:w="200"/>
            </w:tcMar>
          </w:tcPr>
          <w:p>
            <w:pPr>
              <w:spacing w:after="80"/>
            </w:pPr>
            <w:r>
              <w:rPr>
                <w:b/>
                <w:bCs/>
                <w:color w:val="1F3352"/>
                <w:sz w:val="22"/>
                <w:szCs w:val="22"/>
              </w:rPr>
              <w:t xml:space="preserve">The hardest closure problem</w:t>
            </w:r>
          </w:p>
          <w:p>
            <w:pPr>
              <w:spacing w:after="40"/>
            </w:pPr>
            <w:r>
              <w:t xml:space="preserve">Bulk structures are comparatively easy. The binding challenge is reproducing the deep technological stack: precision metrology, advanced electronics, semiconductor fabrication, optics, high-purity processing, specialized alloys, software verification, and the machines that manufacture those machines. Section 8 examines the first announced attempt on this problem's terrestrial face.</w:t>
            </w:r>
          </w:p>
        </w:tc>
      </w:tr>
    </w:tbl>
    <w:p>
      <w:pPr>
        <w:spacing w:after="160"/>
      </w:pPr>
    </w:p>
    <w:p>
      <w:pPr>
        <w:pStyle w:val="Heading2"/>
      </w:pPr>
      <w:r>
        <w:t xml:space="preserve">A fifty-year-old engineering question</w:t>
      </w:r>
    </w:p>
    <w:p>
      <w:pPr>
        <w:spacing w:after="160" w:line="276"/>
      </w:pPr>
      <w:r>
        <w:t xml:space="preserve">This vocabulary has a lineage. The 1980 NASA/ASEE summer study, published as </w:t>
      </w:r>
      <w:r>
        <w:rPr>
          <w:i/>
          <w:iCs/>
        </w:rPr>
        <w:t xml:space="preserve">Advanced Automation for Space Missions</w:t>
      </w:r>
      <w:r>
        <w:t xml:space="preserve">, designed a self-replicating lunar factory that would grow from a seed of roughly one hundred tons, and introduced quantitative closure analysis — the discipline of accounting for every input a replicating factory must produce or import. Later work, notably Freitas and Merkle's </w:t>
      </w:r>
      <w:r>
        <w:rPr>
          <w:i/>
          <w:iCs/>
        </w:rPr>
        <w:t xml:space="preserve">Kinematic Self-Replicating Machines</w:t>
      </w:r>
      <w:r>
        <w:t xml:space="preserve"> (2004), catalogued the design space in depth. The present thesis is that lineage plus three ingredients the 1980 study lacked: general-purpose AI able to coordinate, diagnose, and redesign the system; a reusable heavy-lift transport economy that makes seed delivery affordable; and mass-manufactured robotics. The question has not changed. The feasibility inputs have.</w:t>
      </w:r>
    </w:p>
    <w:p>
      <w:pPr>
        <w:pStyle w:val="Heading2"/>
      </w:pPr>
      <w:r>
        <w:t xml:space="preserve">First numbers for r and κ</w:t>
      </w:r>
    </w:p>
    <w:p>
      <w:pPr>
        <w:spacing w:after="160" w:line="276"/>
      </w:pPr>
      <w:r>
        <w:t xml:space="preserve">The parameters now have published anchors, collected in Appendix A. Three quantities are sometimes presented as converging near one year: solar energy payback time (~0.9–1.1 years in Europe, 1–4 years across technologies) [S20], the NASA 1980 study's estimate that its lunar factory replicates its own mass in about a year [S23], and Gigafactory Shanghai's ten-month buildout. These are </w:t>
      </w:r>
      <w:r>
        <w:rPr>
          <w:b/>
          <w:bCs/>
        </w:rPr>
        <w:t xml:space="preserve">not commensurable</w:t>
      </w:r>
      <w:r>
        <w:t xml:space="preserve">. Energy payback measures when an installation has generated its embodied energy — not whether it can reproduce the mines, refineries, machine tools, and production lines behind it. The NASA figure is a design-study output, not empirical confirmation of itself. And Shanghai measures project execution embedded in a mature terrestrial economy, not recursive reproduction. The honest statement: the replication time of a full industrial ecosystem is </w:t>
      </w:r>
      <w:r>
        <w:rPr>
          <w:b/>
          <w:bCs/>
        </w:rPr>
        <w:t xml:space="preserve">unknown</w:t>
      </w:r>
      <w:r>
        <w:t xml:space="preserve">; roughly one year survives only as an optimistic design assumption inherited from the 1980 study, and the three published numbers bound sub-problems — energy self-financing and construction speed — rather than the system.</w:t>
      </w:r>
    </w:p>
    <w:p>
      <w:pPr>
        <w:spacing w:after="160" w:line="276"/>
      </w:pPr>
      <w:r>
        <w:t xml:space="preserve">What would produce a real number is a multisector model: for each critical sector, a capacity, a sector-specific depreciation, a requirement matrix stating how much of each sector's output is needed to expand every other, and import terms — with self-expansion defined as feasible positive net growth in </w:t>
      </w:r>
      <w:r>
        <w:rPr>
          <w:i/>
          <w:iCs/>
        </w:rPr>
        <w:t xml:space="preserve">every indispensable sector</w:t>
      </w:r>
      <w:r>
        <w:t xml:space="preserve">, not aggregate growth. Building and running that model is the core task of the third edition [S35].</w:t>
      </w:r>
    </w:p>
    <w:p>
      <w:pPr>
        <w:spacing w:after="160" w:line="276"/>
      </w:pPr>
      <w:r>
        <w:t xml:space="preserve">For closure κ, the honest headline is a </w:t>
      </w:r>
      <w:r>
        <w:rPr>
          <w:b/>
          <w:bCs/>
        </w:rPr>
        <w:t xml:space="preserve">theory-versus-demonstration gap</w:t>
      </w:r>
      <w:r>
        <w:t xml:space="preserve">, and the historical anchor must be characterised exactly as its authors did. The NASA 1980 study adopted a one-year </w:t>
      </w:r>
      <w:r>
        <w:rPr>
          <w:b/>
          <w:bCs/>
        </w:rPr>
        <w:t xml:space="preserve">strawman replication target</w:t>
      </w:r>
      <w:r>
        <w:t xml:space="preserve"> for a proof-of-principle lunar-factory design, describing its component values as crude estimates; it cited 90–96% closure findings from earlier studies of </w:t>
      </w:r>
      <w:r>
        <w:rPr>
          <w:i/>
          <w:iCs/>
        </w:rPr>
        <w:t xml:space="preserve">specific nonreplicating</w:t>
      </w:r>
      <w:r>
        <w:t xml:space="preserve"> space-production applications and developed plausibility arguments for higher closure, but stated that a rigorous demonstration that the factory could produce every required part lay beyond its scope [S23]. These are conceptual design assumptions and plausibility results, not demonstrated system performance — and the residual “vitamin parts” (microelectronics, bearings, precision instruments) are where the argument concentrates. What has actually been demonstrated is far below that: oxygen was produced on Mars at six to twelve grams per hour (a genuine milestone, and a toaster-sized one), and the best lunar oxygen-extraction demonstration reaches roughly a 20% yield at mid technology-readiness under simulated conditions [S21]. Full-system closure — a facility producing a meaningful fraction of its own machinery — has not been demonstrated at any scale. Stating the gap plainly strengthens the thesis rather than weakening it: it converts the indicators of Section 14 from rhetoric into a measurable distance.</w:t>
      </w:r>
    </w:p>
    <w:p>
      <w:pPr>
        <w:pStyle w:val="Heading2"/>
      </w:pPr>
      <w:r>
        <w:t xml:space="preserve">The seed-factory transition</w:t>
      </w:r>
    </w:p>
    <w:p>
      <w:pPr>
        <w:spacing w:after="160" w:line="276"/>
      </w:pPr>
      <w:r>
        <w:t xml:space="preserve">The economic transition occurs when Earth stops transporting finished infrastructure and instead transports a compact industrial seed containing power generation, extraction equipment, refining and manufacturing tools, robots, compute, communications, repair capability, and enough initial spares to grow before failure:</w:t>
      </w:r>
    </w:p>
    <w:p>
      <w:pPr>
        <w:shd w:fill="F5F4F1" w:val="clear"/>
        <w:spacing w:after="160" w:before="120"/>
        <w:jc w:val="center"/>
      </w:pPr>
      <w:r>
        <w:rPr>
          <w:i/>
          <w:iCs/>
          <w:sz w:val="22"/>
          <w:szCs w:val="22"/>
        </w:rPr>
        <w:t xml:space="preserve">Seed → extract → refine → manufacture → repair → replicate → expand</w:t>
      </w:r>
    </w:p>
    <w:p>
      <w:pPr>
        <w:spacing w:after="160" w:line="276"/>
      </w:pPr>
      <w:r>
        <w:t xml:space="preserve">The seed is viable only if it can grow its productive base before critical imported components fail — the clock-setting condition of Section 4. A credible design therefore requires redundancy, modularity, recycling, error correction, inventory buffers, and an explicit path for every nonlocal dependency.</w:t>
      </w:r>
    </w:p>
    <w:p>
      <w:pPr>
        <w:pStyle w:val="Heading1"/>
      </w:pPr>
      <w:r>
        <w:t xml:space="preserve">6. Intelligence, Coordination, and Time</w:t>
      </w:r>
    </w:p>
    <w:p>
      <w:pPr>
        <w:spacing w:after="160" w:line="276"/>
      </w:pPr>
      <w:r>
        <w:t xml:space="preserve">A sufficiently capable AI can convert much of organizational coordination from a human-management problem into a computational service. It can schedule machines, allocate energy, route materials, diagnose failures, redesign components, balance inventories, plan construction, and select which bottleneck to expand next.</w:t>
      </w:r>
    </w:p>
    <w:p>
      <w:pPr>
        <w:shd w:fill="F5F4F1" w:val="clear"/>
        <w:spacing w:after="160" w:before="120"/>
        <w:jc w:val="center"/>
      </w:pPr>
      <w:r>
        <w:rPr>
          <w:i/>
          <w:iCs/>
          <w:sz w:val="22"/>
          <w:szCs w:val="22"/>
        </w:rPr>
        <w:t xml:space="preserve">Coordination burden = f(number of agents, complexity, uncertainty, intelligence)</w:t>
      </w:r>
    </w:p>
    <w:p>
      <w:pPr>
        <w:spacing w:after="160" w:line="276"/>
      </w:pPr>
      <w:r>
        <w:t xml:space="preserve">As intelligence and local autonomy improve, the human management required per unit of infrastructure can decline. The architecture is likely hierarchical rather than perfectly centralized: local controllers manage fast operations; facility-level agents coordinate production; higher-level planners allocate resources across the network.</w:t>
      </w:r>
    </w:p>
    <w:p>
      <w:pPr>
        <w:spacing w:after="160" w:line="276"/>
      </w:pPr>
      <w:r>
        <w:t xml:space="preserve">An early terrestrial version is documented inside the same corporate complex, though it is weaker than sometimes claimed. Academic case studies of Tesla's manufacturing-execution systems confirm real-time monitoring, production scheduling, and quality management operating as decision support at factory scale; commentary goes further, describing performance indicators replacing layers of managerial assignment outright. The confirmed portion suffices for this section's claim: coordination functions traditionally mediated by human management are already being converted into data infrastructure at industrial scale, years before any of it is exported off-planet. The stronger management-replacement framing remains single-source and is treated as indicative only.</w:t>
      </w:r>
    </w:p>
    <w:p>
      <w:pPr>
        <w:pStyle w:val="Heading2"/>
      </w:pPr>
      <w:r>
        <w:t xml:space="preserve">Why coordination is still not literally zero</w:t>
      </w:r>
    </w:p>
    <w:p>
      <w:pPr>
        <w:spacing w:after="160" w:line="276"/>
      </w:pPr>
      <w:r>
        <w:t xml:space="preserve">Intelligence can reduce cognitive and organizational friction, but it cannot abolish physical information constraints. A machine must sense its environment; signals require propagation time; actions require fabrication and motion; uncertain results require verification; and two projects cannot simultaneously consume the same indivisible machine or stored resource.</w:t>
      </w:r>
    </w:p>
    <w:p>
      <w:pPr>
        <w:shd w:fill="F5F4F1" w:val="clear"/>
        <w:spacing w:after="160" w:before="120"/>
        <w:jc w:val="center"/>
      </w:pPr>
      <w:r>
        <w:rPr>
          <w:i/>
          <w:iCs/>
          <w:sz w:val="22"/>
          <w:szCs w:val="22"/>
        </w:rPr>
        <w:t xml:space="preserve">Minimum coordination cost = sensing + communication latency + verification + contention</w:t>
      </w:r>
    </w:p>
    <w:p>
      <w:pPr>
        <w:spacing w:after="160" w:line="276"/>
      </w:pPr>
      <w:r>
        <w:t xml:space="preserve">The strongest version of the argument is therefore that coordination approaches a physical information limit, not zero. Intelligence compresses planning and management overhead until observation, propagation, actuation, and verification dominate.</w:t>
      </w:r>
    </w:p>
    <w:p>
      <w:pPr>
        <w:pStyle w:val="Heading2"/>
      </w:pPr>
      <w:r>
        <w:t xml:space="preserve">When infrastructure becomes primarily a function of time</w:t>
      </w:r>
    </w:p>
    <w:p>
      <w:pPr>
        <w:spacing w:after="160" w:line="276"/>
      </w:pPr>
      <w:r>
        <w:t xml:space="preserve">After high industrial closure, the central allocation question changes from “Can the system obtain land, permits, workers, and imported components?” to “How much productive throughput should be assigned, and when will the output be complete?”</w:t>
      </w:r>
    </w:p>
    <w:p>
      <w:pPr>
        <w:shd w:fill="F5F4F1" w:val="clear"/>
        <w:spacing w:after="160" w:before="120"/>
        <w:jc w:val="center"/>
      </w:pPr>
      <w:r>
        <w:rPr>
          <w:i/>
          <w:iCs/>
          <w:sz w:val="22"/>
          <w:szCs w:val="22"/>
        </w:rPr>
        <w:t xml:space="preserve">Infrastructure created by time t = ∫ productive throughput(τ) dτ</w:t>
      </w:r>
    </w:p>
    <w:p>
      <w:pPr>
        <w:shd w:fill="F5F4F1" w:val="clear"/>
        <w:spacing w:after="40" w:before="120"/>
        <w:jc w:val="center"/>
      </w:pPr>
      <w:r>
        <w:rPr>
          <w:i/>
          <w:iCs/>
          <w:sz w:val="22"/>
          <w:szCs w:val="22"/>
        </w:rPr>
        <w:t xml:space="preserve">dH/dt = [r(I, E, M) − δ] H</w:t>
      </w:r>
    </w:p>
    <w:p>
      <w:pPr>
        <w:spacing w:after="160"/>
        <w:jc w:val="center"/>
      </w:pPr>
      <w:r>
        <w:rPr>
          <w:i/>
          <w:iCs/>
          <w:color w:val="595959"/>
          <w:sz w:val="18"/>
          <w:szCs w:val="18"/>
        </w:rPr>
        <w:t xml:space="preserve">r is gross replication productivity; δ is depreciation and failure; I, E, M are intelligence, energy, and accessible material.</w:t>
      </w:r>
    </w:p>
    <w:p>
      <w:pPr>
        <w:spacing w:after="160" w:line="276"/>
      </w:pPr>
      <w:r>
        <w:t xml:space="preserve">When r exceeds δ, the idealized solution is exponential growth. Real systems move through bottleneck-limited phases: extraction, refining, power, thermal control, transportation, precision manufacturing, compute, or maintenance may become the slowest stage. Intelligence accelerates growth by detecting and expanding the active bottleneck.</w:t>
      </w:r>
    </w:p>
    <w:tbl>
      <w:tblPr>
        <w:tblW w:type="dxa" w:w="9360"/>
        <w:tblBorders>
          <w:top w:val="single" w:color="C9C9C9" w:sz="2"/>
          <w:left w:val="single" w:color="B0592A" w:sz="24"/>
          <w:bottom w:val="single" w:color="C9C9C9" w:sz="2"/>
          <w:right w:val="single" w:color="C9C9C9" w:sz="2"/>
          <w:insideH w:val="none"/>
          <w:insideV w:val="none"/>
        </w:tblBorders>
      </w:tblPr>
      <w:tblGrid>
        <w:gridCol w:w="9360"/>
      </w:tblGrid>
      <w:tr>
        <w:tc>
          <w:tcPr>
            <w:tcW w:type="dxa" w:w="9360"/>
            <w:shd w:fill="F5F4F1" w:val="clear"/>
            <w:tcMar>
              <w:top w:type="dxa" w:w="140"/>
              <w:left w:type="dxa" w:w="200"/>
              <w:bottom w:type="dxa" w:w="100"/>
              <w:right w:type="dxa" w:w="200"/>
            </w:tcMar>
          </w:tcPr>
          <w:p>
            <w:pPr>
              <w:spacing w:after="80"/>
            </w:pPr>
            <w:r>
              <w:rPr>
                <w:b/>
                <w:bCs/>
                <w:color w:val="1F3352"/>
                <w:sz w:val="22"/>
                <w:szCs w:val="22"/>
              </w:rPr>
              <w:t xml:space="preserve">Scarcity becomes latency</w:t>
            </w:r>
          </w:p>
          <w:p>
            <w:pPr>
              <w:spacing w:after="40"/>
            </w:pPr>
            <w:r>
              <w:t xml:space="preserve">In the mature regime, many outputs are no longer scarce because their raw inputs must be purchased from an external economy. They remain scarce because machines, energy, compute, transport capacity, and time have alternative uses. The accounting unit shifts toward joules, kilograms processed, machine-hours, compute-hours, delta-v, and completion time.</w:t>
            </w:r>
          </w:p>
        </w:tc>
      </w:tr>
    </w:tbl>
    <w:p>
      <w:pPr>
        <w:spacing w:after="160"/>
      </w:pPr>
    </w:p>
    <w:p>
      <w:pPr>
        <w:pStyle w:val="Heading1"/>
      </w:pPr>
      <w:r>
        <w:t xml:space="preserve">7. A Musk-Associated Technology Stack</w:t>
      </w:r>
    </w:p>
    <w:p>
      <w:pPr>
        <w:spacing w:after="160" w:line="276"/>
      </w:pPr>
      <w:r>
        <w:t xml:space="preserve">The following mapping is an analytical interpretation of how existing companies could supply layers of the proposed system. It should not be read as proof that the companies are managed as one formal program — although the 2026 developments (the Terafab initiative and SpaceX's absorption of xAI) mean that the transport, communications, intelligence, and fabrication layers are now bound by overlapping control, strategic coordination, and contractual collaboration. Tesla remains a separate public company; a shared controlling figure and a framework agreement are not common ownership [S27].</w:t>
      </w:r>
    </w:p>
    <w:tbl>
      <w:tblPr>
        <w:tblW w:type="dxa" w:w="9360"/>
        <w:tblBorders>
          <w:top w:val="single" w:color="C9C9C9" w:sz="4"/>
          <w:left w:val="single" w:color="C9C9C9" w:sz="4"/>
          <w:bottom w:val="single" w:color="C9C9C9" w:sz="4"/>
          <w:right w:val="single" w:color="C9C9C9" w:sz="4"/>
          <w:insideH w:val="single" w:color="C9C9C9" w:sz="4"/>
          <w:insideV w:val="single" w:color="C9C9C9" w:sz="4"/>
        </w:tblBorders>
      </w:tblPr>
      <w:tblGrid>
        <w:gridCol w:w="1350"/>
        <w:gridCol w:w="1900"/>
        <w:gridCol w:w="3110"/>
        <w:gridCol w:w="3000"/>
      </w:tblGrid>
      <w:tr>
        <w:trPr>
          <w:tblHeader/>
        </w:trPr>
        <w:tc>
          <w:tcPr>
            <w:tcW w:type="dxa" w:w="1350"/>
            <w:shd w:fill="E8EBF1" w:val="clear"/>
            <w:tcMar>
              <w:top w:type="dxa" w:w="90"/>
              <w:left w:type="dxa" w:w="120"/>
              <w:bottom w:type="dxa" w:w="90"/>
              <w:right w:type="dxa" w:w="120"/>
            </w:tcMar>
          </w:tcPr>
          <w:p>
            <w:pPr>
              <w:spacing w:after="0" w:line="260"/>
            </w:pPr>
            <w:r>
              <w:rPr>
                <w:b/>
                <w:bCs/>
                <w:color w:val="1F3352"/>
                <w:sz w:val="20"/>
                <w:szCs w:val="20"/>
              </w:rPr>
              <w:t xml:space="preserve">Layer</w:t>
            </w:r>
          </w:p>
        </w:tc>
        <w:tc>
          <w:tcPr>
            <w:tcW w:type="dxa" w:w="1900"/>
            <w:shd w:fill="E8EBF1" w:val="clear"/>
            <w:tcMar>
              <w:top w:type="dxa" w:w="90"/>
              <w:left w:type="dxa" w:w="120"/>
              <w:bottom w:type="dxa" w:w="90"/>
              <w:right w:type="dxa" w:w="120"/>
            </w:tcMar>
          </w:tcPr>
          <w:p>
            <w:pPr>
              <w:spacing w:after="0" w:line="260"/>
            </w:pPr>
            <w:r>
              <w:rPr>
                <w:b/>
                <w:bCs/>
                <w:color w:val="1F3352"/>
                <w:sz w:val="20"/>
                <w:szCs w:val="20"/>
              </w:rPr>
              <w:t xml:space="preserve">Contributor</w:t>
            </w:r>
          </w:p>
        </w:tc>
        <w:tc>
          <w:tcPr>
            <w:tcW w:type="dxa" w:w="3110"/>
            <w:shd w:fill="E8EBF1" w:val="clear"/>
            <w:tcMar>
              <w:top w:type="dxa" w:w="90"/>
              <w:left w:type="dxa" w:w="120"/>
              <w:bottom w:type="dxa" w:w="90"/>
              <w:right w:type="dxa" w:w="120"/>
            </w:tcMar>
          </w:tcPr>
          <w:p>
            <w:pPr>
              <w:spacing w:after="0" w:line="260"/>
            </w:pPr>
            <w:r>
              <w:rPr>
                <w:b/>
                <w:bCs/>
                <w:color w:val="1F3352"/>
                <w:sz w:val="20"/>
                <w:szCs w:val="20"/>
              </w:rPr>
              <w:t xml:space="preserve">Relevant capability</w:t>
            </w:r>
          </w:p>
        </w:tc>
        <w:tc>
          <w:tcPr>
            <w:tcW w:type="dxa" w:w="3000"/>
            <w:shd w:fill="E8EBF1" w:val="clear"/>
            <w:tcMar>
              <w:top w:type="dxa" w:w="90"/>
              <w:left w:type="dxa" w:w="120"/>
              <w:bottom w:type="dxa" w:w="90"/>
              <w:right w:type="dxa" w:w="120"/>
            </w:tcMar>
          </w:tcPr>
          <w:p>
            <w:pPr>
              <w:spacing w:after="0" w:line="260"/>
            </w:pPr>
            <w:r>
              <w:rPr>
                <w:b/>
                <w:bCs/>
                <w:color w:val="1F3352"/>
                <w:sz w:val="20"/>
                <w:szCs w:val="20"/>
              </w:rPr>
              <w:t xml:space="preserve">Role in recursion</w:t>
            </w:r>
          </w:p>
        </w:tc>
      </w:tr>
      <w:tr>
        <w:tc>
          <w:tcPr>
            <w:tcW w:type="dxa" w:w="1350"/>
            <w:tcMar>
              <w:top w:type="dxa" w:w="90"/>
              <w:left w:type="dxa" w:w="120"/>
              <w:bottom w:type="dxa" w:w="90"/>
              <w:right w:type="dxa" w:w="120"/>
            </w:tcMar>
          </w:tcPr>
          <w:p>
            <w:pPr>
              <w:spacing w:after="0" w:line="260"/>
            </w:pPr>
            <w:r>
              <w:rPr>
                <w:sz w:val="20"/>
                <w:szCs w:val="20"/>
              </w:rPr>
              <w:t xml:space="preserve">Intelligence</w:t>
            </w:r>
          </w:p>
        </w:tc>
        <w:tc>
          <w:tcPr>
            <w:tcW w:type="dxa" w:w="1900"/>
            <w:tcMar>
              <w:top w:type="dxa" w:w="90"/>
              <w:left w:type="dxa" w:w="120"/>
              <w:bottom w:type="dxa" w:w="90"/>
              <w:right w:type="dxa" w:w="120"/>
            </w:tcMar>
          </w:tcPr>
          <w:p>
            <w:pPr>
              <w:spacing w:after="0" w:line="260"/>
            </w:pPr>
            <w:r>
              <w:rPr>
                <w:sz w:val="20"/>
                <w:szCs w:val="20"/>
              </w:rPr>
              <w:t xml:space="preserve">xAI (within SpaceX post-merger)</w:t>
            </w:r>
          </w:p>
        </w:tc>
        <w:tc>
          <w:tcPr>
            <w:tcW w:type="dxa" w:w="3110"/>
            <w:tcMar>
              <w:top w:type="dxa" w:w="90"/>
              <w:left w:type="dxa" w:w="120"/>
              <w:bottom w:type="dxa" w:w="90"/>
              <w:right w:type="dxa" w:w="120"/>
            </w:tcMar>
          </w:tcPr>
          <w:p>
            <w:pPr>
              <w:spacing w:after="0" w:line="260"/>
            </w:pPr>
            <w:r>
              <w:rPr>
                <w:sz w:val="20"/>
                <w:szCs w:val="20"/>
              </w:rPr>
              <w:t xml:space="preserve">AI research, reasoning, software, large-scale compute</w:t>
            </w:r>
          </w:p>
        </w:tc>
        <w:tc>
          <w:tcPr>
            <w:tcW w:type="dxa" w:w="3000"/>
            <w:tcMar>
              <w:top w:type="dxa" w:w="90"/>
              <w:left w:type="dxa" w:w="120"/>
              <w:bottom w:type="dxa" w:w="90"/>
              <w:right w:type="dxa" w:w="120"/>
            </w:tcMar>
          </w:tcPr>
          <w:p>
            <w:pPr>
              <w:spacing w:after="0" w:line="260"/>
            </w:pPr>
            <w:r>
              <w:rPr>
                <w:sz w:val="20"/>
                <w:szCs w:val="20"/>
              </w:rPr>
              <w:t xml:space="preserve">Design, coordination, optimization, recursive digital improvement</w:t>
            </w:r>
          </w:p>
        </w:tc>
      </w:tr>
      <w:tr>
        <w:tc>
          <w:tcPr>
            <w:tcW w:type="dxa" w:w="1350"/>
            <w:tcMar>
              <w:top w:type="dxa" w:w="90"/>
              <w:left w:type="dxa" w:w="120"/>
              <w:bottom w:type="dxa" w:w="90"/>
              <w:right w:type="dxa" w:w="120"/>
            </w:tcMar>
          </w:tcPr>
          <w:p>
            <w:pPr>
              <w:spacing w:after="0" w:line="260"/>
            </w:pPr>
            <w:r>
              <w:rPr>
                <w:sz w:val="20"/>
                <w:szCs w:val="20"/>
              </w:rPr>
              <w:t xml:space="preserve">Energy</w:t>
            </w:r>
          </w:p>
        </w:tc>
        <w:tc>
          <w:tcPr>
            <w:tcW w:type="dxa" w:w="1900"/>
            <w:tcMar>
              <w:top w:type="dxa" w:w="90"/>
              <w:left w:type="dxa" w:w="120"/>
              <w:bottom w:type="dxa" w:w="90"/>
              <w:right w:type="dxa" w:w="120"/>
            </w:tcMar>
          </w:tcPr>
          <w:p>
            <w:pPr>
              <w:spacing w:after="0" w:line="260"/>
            </w:pPr>
            <w:r>
              <w:rPr>
                <w:sz w:val="20"/>
                <w:szCs w:val="20"/>
              </w:rPr>
              <w:t xml:space="preserve">Tesla Energy</w:t>
            </w:r>
          </w:p>
        </w:tc>
        <w:tc>
          <w:tcPr>
            <w:tcW w:type="dxa" w:w="3110"/>
            <w:tcMar>
              <w:top w:type="dxa" w:w="90"/>
              <w:left w:type="dxa" w:w="120"/>
              <w:bottom w:type="dxa" w:w="90"/>
              <w:right w:type="dxa" w:w="120"/>
            </w:tcMar>
          </w:tcPr>
          <w:p>
            <w:pPr>
              <w:spacing w:after="0" w:line="260"/>
            </w:pPr>
            <w:r>
              <w:rPr>
                <w:sz w:val="20"/>
                <w:szCs w:val="20"/>
              </w:rPr>
              <w:t xml:space="preserve">Generation, storage, power electronics; a reported push toward large domestic solar manufacturing</w:t>
            </w:r>
          </w:p>
        </w:tc>
        <w:tc>
          <w:tcPr>
            <w:tcW w:type="dxa" w:w="3000"/>
            <w:tcMar>
              <w:top w:type="dxa" w:w="90"/>
              <w:left w:type="dxa" w:w="120"/>
              <w:bottom w:type="dxa" w:w="90"/>
              <w:right w:type="dxa" w:w="120"/>
            </w:tcMar>
          </w:tcPr>
          <w:p>
            <w:pPr>
              <w:spacing w:after="0" w:line="260"/>
            </w:pPr>
            <w:r>
              <w:rPr>
                <w:sz w:val="20"/>
                <w:szCs w:val="20"/>
              </w:rPr>
              <w:t xml:space="preserve">Power for compute, factories, robots, mining, transport</w:t>
            </w:r>
          </w:p>
        </w:tc>
      </w:tr>
      <w:tr>
        <w:tc>
          <w:tcPr>
            <w:tcW w:type="dxa" w:w="1350"/>
            <w:tcMar>
              <w:top w:type="dxa" w:w="90"/>
              <w:left w:type="dxa" w:w="120"/>
              <w:bottom w:type="dxa" w:w="90"/>
              <w:right w:type="dxa" w:w="120"/>
            </w:tcMar>
          </w:tcPr>
          <w:p>
            <w:pPr>
              <w:spacing w:after="0" w:line="260"/>
            </w:pPr>
            <w:r>
              <w:rPr>
                <w:sz w:val="20"/>
                <w:szCs w:val="20"/>
              </w:rPr>
              <w:t xml:space="preserve">Robotic labor</w:t>
            </w:r>
          </w:p>
        </w:tc>
        <w:tc>
          <w:tcPr>
            <w:tcW w:type="dxa" w:w="1900"/>
            <w:tcMar>
              <w:top w:type="dxa" w:w="90"/>
              <w:left w:type="dxa" w:w="120"/>
              <w:bottom w:type="dxa" w:w="90"/>
              <w:right w:type="dxa" w:w="120"/>
            </w:tcMar>
          </w:tcPr>
          <w:p>
            <w:pPr>
              <w:spacing w:after="0" w:line="260"/>
            </w:pPr>
            <w:r>
              <w:rPr>
                <w:sz w:val="20"/>
                <w:szCs w:val="20"/>
              </w:rPr>
              <w:t xml:space="preserve">Optimus</w:t>
            </w:r>
          </w:p>
        </w:tc>
        <w:tc>
          <w:tcPr>
            <w:tcW w:type="dxa" w:w="3110"/>
            <w:tcMar>
              <w:top w:type="dxa" w:w="90"/>
              <w:left w:type="dxa" w:w="120"/>
              <w:bottom w:type="dxa" w:w="90"/>
              <w:right w:type="dxa" w:w="120"/>
            </w:tcMar>
          </w:tcPr>
          <w:p>
            <w:pPr>
              <w:spacing w:after="0" w:line="260"/>
            </w:pPr>
            <w:r>
              <w:rPr>
                <w:sz w:val="20"/>
                <w:szCs w:val="20"/>
              </w:rPr>
              <w:t xml:space="preserve">Embodied manipulation, inspection, maintenance, repetitive work; a stated role in building and operating Terafab</w:t>
            </w:r>
          </w:p>
        </w:tc>
        <w:tc>
          <w:tcPr>
            <w:tcW w:type="dxa" w:w="3000"/>
            <w:tcMar>
              <w:top w:type="dxa" w:w="90"/>
              <w:left w:type="dxa" w:w="120"/>
              <w:bottom w:type="dxa" w:w="90"/>
              <w:right w:type="dxa" w:w="120"/>
            </w:tcMar>
          </w:tcPr>
          <w:p>
            <w:pPr>
              <w:spacing w:after="0" w:line="260"/>
            </w:pPr>
            <w:r>
              <w:rPr>
                <w:sz w:val="20"/>
                <w:szCs w:val="20"/>
              </w:rPr>
              <w:t xml:space="preserve">Manufactured labor capacity and physical automation</w:t>
            </w:r>
          </w:p>
        </w:tc>
      </w:tr>
      <w:tr>
        <w:tc>
          <w:tcPr>
            <w:tcW w:type="dxa" w:w="1350"/>
            <w:tcMar>
              <w:top w:type="dxa" w:w="90"/>
              <w:left w:type="dxa" w:w="120"/>
              <w:bottom w:type="dxa" w:w="90"/>
              <w:right w:type="dxa" w:w="120"/>
            </w:tcMar>
          </w:tcPr>
          <w:p>
            <w:pPr>
              <w:spacing w:after="0" w:line="260"/>
            </w:pPr>
            <w:r>
              <w:rPr>
                <w:sz w:val="20"/>
                <w:szCs w:val="20"/>
              </w:rPr>
              <w:t xml:space="preserve">Manufacturing</w:t>
            </w:r>
          </w:p>
        </w:tc>
        <w:tc>
          <w:tcPr>
            <w:tcW w:type="dxa" w:w="1900"/>
            <w:tcMar>
              <w:top w:type="dxa" w:w="90"/>
              <w:left w:type="dxa" w:w="120"/>
              <w:bottom w:type="dxa" w:w="90"/>
              <w:right w:type="dxa" w:w="120"/>
            </w:tcMar>
          </w:tcPr>
          <w:p>
            <w:pPr>
              <w:spacing w:after="0" w:line="260"/>
            </w:pPr>
            <w:r>
              <w:rPr>
                <w:sz w:val="20"/>
                <w:szCs w:val="20"/>
              </w:rPr>
              <w:t xml:space="preserve">Tesla</w:t>
            </w:r>
          </w:p>
        </w:tc>
        <w:tc>
          <w:tcPr>
            <w:tcW w:type="dxa" w:w="3110"/>
            <w:tcMar>
              <w:top w:type="dxa" w:w="90"/>
              <w:left w:type="dxa" w:w="120"/>
              <w:bottom w:type="dxa" w:w="90"/>
              <w:right w:type="dxa" w:w="120"/>
            </w:tcMar>
          </w:tcPr>
          <w:p>
            <w:pPr>
              <w:spacing w:after="0" w:line="260"/>
            </w:pPr>
            <w:r>
              <w:rPr>
                <w:sz w:val="20"/>
                <w:szCs w:val="20"/>
              </w:rPr>
              <w:t xml:space="preserve">High-volume factories, batteries, motors, controls, integrated production</w:t>
            </w:r>
          </w:p>
        </w:tc>
        <w:tc>
          <w:tcPr>
            <w:tcW w:type="dxa" w:w="3000"/>
            <w:tcMar>
              <w:top w:type="dxa" w:w="90"/>
              <w:left w:type="dxa" w:w="120"/>
              <w:bottom w:type="dxa" w:w="90"/>
              <w:right w:type="dxa" w:w="120"/>
            </w:tcMar>
          </w:tcPr>
          <w:p>
            <w:pPr>
              <w:spacing w:after="0" w:line="260"/>
            </w:pPr>
            <w:r>
              <w:rPr>
                <w:sz w:val="20"/>
                <w:szCs w:val="20"/>
              </w:rPr>
              <w:t xml:space="preserve">Factory design and machine production at scale</w:t>
            </w:r>
          </w:p>
        </w:tc>
      </w:tr>
      <w:tr>
        <w:tc>
          <w:tcPr>
            <w:tcW w:type="dxa" w:w="1350"/>
            <w:tcMar>
              <w:top w:type="dxa" w:w="90"/>
              <w:left w:type="dxa" w:w="120"/>
              <w:bottom w:type="dxa" w:w="90"/>
              <w:right w:type="dxa" w:w="120"/>
            </w:tcMar>
          </w:tcPr>
          <w:p>
            <w:pPr>
              <w:spacing w:after="0" w:line="260"/>
            </w:pPr>
            <w:r>
              <w:rPr>
                <w:sz w:val="20"/>
                <w:szCs w:val="20"/>
              </w:rPr>
              <w:t xml:space="preserve">Fabrication</w:t>
            </w:r>
          </w:p>
        </w:tc>
        <w:tc>
          <w:tcPr>
            <w:tcW w:type="dxa" w:w="1900"/>
            <w:tcMar>
              <w:top w:type="dxa" w:w="90"/>
              <w:left w:type="dxa" w:w="120"/>
              <w:bottom w:type="dxa" w:w="90"/>
              <w:right w:type="dxa" w:w="120"/>
            </w:tcMar>
          </w:tcPr>
          <w:p>
            <w:pPr>
              <w:spacing w:after="0" w:line="260"/>
            </w:pPr>
            <w:r>
              <w:rPr>
                <w:sz w:val="20"/>
                <w:szCs w:val="20"/>
              </w:rPr>
              <w:t xml:space="preserve">Terafab initiative (Tesla, SpaceX, xAI; Intel joined April 2026)</w:t>
            </w:r>
          </w:p>
        </w:tc>
        <w:tc>
          <w:tcPr>
            <w:tcW w:type="dxa" w:w="3110"/>
            <w:tcMar>
              <w:top w:type="dxa" w:w="90"/>
              <w:left w:type="dxa" w:w="120"/>
              <w:bottom w:type="dxa" w:w="90"/>
              <w:right w:type="dxa" w:w="120"/>
            </w:tcMar>
          </w:tcPr>
          <w:p>
            <w:pPr>
              <w:spacing w:after="0" w:line="260"/>
            </w:pPr>
            <w:r>
              <w:rPr>
                <w:sz w:val="20"/>
                <w:szCs w:val="20"/>
              </w:rPr>
              <w:t xml:space="preserve">Declared scope: chip design, lithography operation, fabrication, memory, packaging, and testing under one roof [S6–S10, S27, S28]</w:t>
            </w:r>
          </w:p>
        </w:tc>
        <w:tc>
          <w:tcPr>
            <w:tcW w:type="dxa" w:w="3000"/>
            <w:tcMar>
              <w:top w:type="dxa" w:w="90"/>
              <w:left w:type="dxa" w:w="120"/>
              <w:bottom w:type="dxa" w:w="90"/>
              <w:right w:type="dxa" w:w="120"/>
            </w:tcMar>
          </w:tcPr>
          <w:p>
            <w:pPr>
              <w:spacing w:after="0" w:line="260"/>
            </w:pPr>
            <w:r>
              <w:rPr>
                <w:sz w:val="20"/>
                <w:szCs w:val="20"/>
              </w:rPr>
              <w:t xml:space="preserve">Declared target for the compute-substrate layer; framework stage</w:t>
            </w:r>
          </w:p>
        </w:tc>
      </w:tr>
      <w:tr>
        <w:tc>
          <w:tcPr>
            <w:tcW w:type="dxa" w:w="1350"/>
            <w:tcMar>
              <w:top w:type="dxa" w:w="90"/>
              <w:left w:type="dxa" w:w="120"/>
              <w:bottom w:type="dxa" w:w="90"/>
              <w:right w:type="dxa" w:w="120"/>
            </w:tcMar>
          </w:tcPr>
          <w:p>
            <w:pPr>
              <w:spacing w:after="0" w:line="260"/>
            </w:pPr>
            <w:r>
              <w:rPr>
                <w:sz w:val="20"/>
                <w:szCs w:val="20"/>
              </w:rPr>
              <w:t xml:space="preserve">Transport</w:t>
            </w:r>
          </w:p>
        </w:tc>
        <w:tc>
          <w:tcPr>
            <w:tcW w:type="dxa" w:w="1900"/>
            <w:tcMar>
              <w:top w:type="dxa" w:w="90"/>
              <w:left w:type="dxa" w:w="120"/>
              <w:bottom w:type="dxa" w:w="90"/>
              <w:right w:type="dxa" w:w="120"/>
            </w:tcMar>
          </w:tcPr>
          <w:p>
            <w:pPr>
              <w:spacing w:after="0" w:line="260"/>
            </w:pPr>
            <w:r>
              <w:rPr>
                <w:sz w:val="20"/>
                <w:szCs w:val="20"/>
              </w:rPr>
              <w:t xml:space="preserve">SpaceX / Starship</w:t>
            </w:r>
          </w:p>
        </w:tc>
        <w:tc>
          <w:tcPr>
            <w:tcW w:type="dxa" w:w="3110"/>
            <w:tcMar>
              <w:top w:type="dxa" w:w="90"/>
              <w:left w:type="dxa" w:w="120"/>
              <w:bottom w:type="dxa" w:w="90"/>
              <w:right w:type="dxa" w:w="120"/>
            </w:tcMar>
          </w:tcPr>
          <w:p>
            <w:pPr>
              <w:spacing w:after="0" w:line="260"/>
            </w:pPr>
            <w:r>
              <w:rPr>
                <w:sz w:val="20"/>
                <w:szCs w:val="20"/>
              </w:rPr>
              <w:t xml:space="preserve">Reusable launch, heavy cargo, spacecraft manufacturing, interplanetary transport</w:t>
            </w:r>
          </w:p>
        </w:tc>
        <w:tc>
          <w:tcPr>
            <w:tcW w:type="dxa" w:w="3000"/>
            <w:tcMar>
              <w:top w:type="dxa" w:w="90"/>
              <w:left w:type="dxa" w:w="120"/>
              <w:bottom w:type="dxa" w:w="90"/>
              <w:right w:type="dxa" w:w="120"/>
            </w:tcMar>
          </w:tcPr>
          <w:p>
            <w:pPr>
              <w:spacing w:after="0" w:line="260"/>
            </w:pPr>
            <w:r>
              <w:rPr>
                <w:sz w:val="20"/>
                <w:szCs w:val="20"/>
              </w:rPr>
              <w:t xml:space="preserve">Deployment of seed industry; movement of equipment and materials</w:t>
            </w:r>
          </w:p>
        </w:tc>
      </w:tr>
      <w:tr>
        <w:tc>
          <w:tcPr>
            <w:tcW w:type="dxa" w:w="1350"/>
            <w:tcMar>
              <w:top w:type="dxa" w:w="90"/>
              <w:left w:type="dxa" w:w="120"/>
              <w:bottom w:type="dxa" w:w="90"/>
              <w:right w:type="dxa" w:w="120"/>
            </w:tcMar>
          </w:tcPr>
          <w:p>
            <w:pPr>
              <w:spacing w:after="0" w:line="260"/>
            </w:pPr>
            <w:r>
              <w:rPr>
                <w:sz w:val="20"/>
                <w:szCs w:val="20"/>
              </w:rPr>
              <w:t xml:space="preserve">Communications</w:t>
            </w:r>
          </w:p>
        </w:tc>
        <w:tc>
          <w:tcPr>
            <w:tcW w:type="dxa" w:w="1900"/>
            <w:tcMar>
              <w:top w:type="dxa" w:w="90"/>
              <w:left w:type="dxa" w:w="120"/>
              <w:bottom w:type="dxa" w:w="90"/>
              <w:right w:type="dxa" w:w="120"/>
            </w:tcMar>
          </w:tcPr>
          <w:p>
            <w:pPr>
              <w:spacing w:after="0" w:line="260"/>
            </w:pPr>
            <w:r>
              <w:rPr>
                <w:sz w:val="20"/>
                <w:szCs w:val="20"/>
              </w:rPr>
              <w:t xml:space="preserve">Starlink and successors</w:t>
            </w:r>
          </w:p>
        </w:tc>
        <w:tc>
          <w:tcPr>
            <w:tcW w:type="dxa" w:w="3110"/>
            <w:tcMar>
              <w:top w:type="dxa" w:w="90"/>
              <w:left w:type="dxa" w:w="120"/>
              <w:bottom w:type="dxa" w:w="90"/>
              <w:right w:type="dxa" w:w="120"/>
            </w:tcMar>
          </w:tcPr>
          <w:p>
            <w:pPr>
              <w:spacing w:after="0" w:line="260"/>
            </w:pPr>
            <w:r>
              <w:rPr>
                <w:sz w:val="20"/>
                <w:szCs w:val="20"/>
              </w:rPr>
              <w:t xml:space="preserve">Distributed connectivity, data transfer, network operations</w:t>
            </w:r>
          </w:p>
        </w:tc>
        <w:tc>
          <w:tcPr>
            <w:tcW w:type="dxa" w:w="3000"/>
            <w:tcMar>
              <w:top w:type="dxa" w:w="90"/>
              <w:left w:type="dxa" w:w="120"/>
              <w:bottom w:type="dxa" w:w="90"/>
              <w:right w:type="dxa" w:w="120"/>
            </w:tcMar>
          </w:tcPr>
          <w:p>
            <w:pPr>
              <w:spacing w:after="0" w:line="260"/>
            </w:pPr>
            <w:r>
              <w:rPr>
                <w:sz w:val="20"/>
                <w:szCs w:val="20"/>
              </w:rPr>
              <w:t xml:space="preserve">Coordination across remote industrial nodes</w:t>
            </w:r>
          </w:p>
        </w:tc>
      </w:tr>
      <w:tr>
        <w:tc>
          <w:tcPr>
            <w:tcW w:type="dxa" w:w="1350"/>
            <w:tcMar>
              <w:top w:type="dxa" w:w="90"/>
              <w:left w:type="dxa" w:w="120"/>
              <w:bottom w:type="dxa" w:w="90"/>
              <w:right w:type="dxa" w:w="120"/>
            </w:tcMar>
          </w:tcPr>
          <w:p>
            <w:pPr>
              <w:spacing w:after="0" w:line="260"/>
            </w:pPr>
            <w:r>
              <w:rPr>
                <w:sz w:val="20"/>
                <w:szCs w:val="20"/>
              </w:rPr>
              <w:t xml:space="preserve">Compute deployment</w:t>
            </w:r>
          </w:p>
        </w:tc>
        <w:tc>
          <w:tcPr>
            <w:tcW w:type="dxa" w:w="1900"/>
            <w:tcMar>
              <w:top w:type="dxa" w:w="90"/>
              <w:left w:type="dxa" w:w="120"/>
              <w:bottom w:type="dxa" w:w="90"/>
              <w:right w:type="dxa" w:w="120"/>
            </w:tcMar>
          </w:tcPr>
          <w:p>
            <w:pPr>
              <w:spacing w:after="0" w:line="260"/>
            </w:pPr>
            <w:r>
              <w:rPr>
                <w:sz w:val="20"/>
                <w:szCs w:val="20"/>
              </w:rPr>
              <w:t xml:space="preserve">Orbital constellation (planned D3 chips)</w:t>
            </w:r>
          </w:p>
        </w:tc>
        <w:tc>
          <w:tcPr>
            <w:tcW w:type="dxa" w:w="3110"/>
            <w:tcMar>
              <w:top w:type="dxa" w:w="90"/>
              <w:left w:type="dxa" w:w="120"/>
              <w:bottom w:type="dxa" w:w="90"/>
              <w:right w:type="dxa" w:w="120"/>
            </w:tcMar>
          </w:tcPr>
          <w:p>
            <w:pPr>
              <w:spacing w:after="0" w:line="260"/>
            </w:pPr>
            <w:r>
              <w:rPr>
                <w:sz w:val="20"/>
                <w:szCs w:val="20"/>
              </w:rPr>
              <w:t xml:space="preserve">Radiation-tolerant silicon designed for space operation</w:t>
            </w:r>
          </w:p>
        </w:tc>
        <w:tc>
          <w:tcPr>
            <w:tcW w:type="dxa" w:w="3000"/>
            <w:tcMar>
              <w:top w:type="dxa" w:w="90"/>
              <w:left w:type="dxa" w:w="120"/>
              <w:bottom w:type="dxa" w:w="90"/>
              <w:right w:type="dxa" w:w="120"/>
            </w:tcMar>
          </w:tcPr>
          <w:p>
            <w:pPr>
              <w:spacing w:after="0" w:line="260"/>
            </w:pPr>
            <w:r>
              <w:rPr>
                <w:sz w:val="20"/>
                <w:szCs w:val="20"/>
              </w:rPr>
              <w:t xml:space="preserve">Space-based compute as a stated product direction</w:t>
            </w:r>
          </w:p>
        </w:tc>
      </w:tr>
      <w:tr>
        <w:tc>
          <w:tcPr>
            <w:tcW w:type="dxa" w:w="1350"/>
            <w:tcMar>
              <w:top w:type="dxa" w:w="90"/>
              <w:left w:type="dxa" w:w="120"/>
              <w:bottom w:type="dxa" w:w="90"/>
              <w:right w:type="dxa" w:w="120"/>
            </w:tcMar>
          </w:tcPr>
          <w:p>
            <w:pPr>
              <w:spacing w:after="0" w:line="260"/>
            </w:pPr>
            <w:r>
              <w:rPr>
                <w:sz w:val="20"/>
                <w:szCs w:val="20"/>
              </w:rPr>
              <w:t xml:space="preserve">Data</w:t>
            </w:r>
          </w:p>
        </w:tc>
        <w:tc>
          <w:tcPr>
            <w:tcW w:type="dxa" w:w="1900"/>
            <w:tcMar>
              <w:top w:type="dxa" w:w="90"/>
              <w:left w:type="dxa" w:w="120"/>
              <w:bottom w:type="dxa" w:w="90"/>
              <w:right w:type="dxa" w:w="120"/>
            </w:tcMar>
          </w:tcPr>
          <w:p>
            <w:pPr>
              <w:spacing w:after="0" w:line="260"/>
            </w:pPr>
            <w:r>
              <w:rPr>
                <w:sz w:val="20"/>
                <w:szCs w:val="20"/>
              </w:rPr>
              <w:t xml:space="preserve">Tesla fleet, factories, test programs, Optimus, X</w:t>
            </w:r>
          </w:p>
        </w:tc>
        <w:tc>
          <w:tcPr>
            <w:tcW w:type="dxa" w:w="3110"/>
            <w:tcMar>
              <w:top w:type="dxa" w:w="90"/>
              <w:left w:type="dxa" w:w="120"/>
              <w:bottom w:type="dxa" w:w="90"/>
              <w:right w:type="dxa" w:w="120"/>
            </w:tcMar>
          </w:tcPr>
          <w:p>
            <w:pPr>
              <w:spacing w:after="0" w:line="260"/>
            </w:pPr>
            <w:r>
              <w:rPr>
                <w:sz w:val="20"/>
                <w:szCs w:val="20"/>
              </w:rPr>
              <w:t xml:space="preserve">Engine telemetry, process parameters, failure archives, driving and manipulation data; engineering corpus reported feeding in-house model training</w:t>
            </w:r>
          </w:p>
        </w:tc>
        <w:tc>
          <w:tcPr>
            <w:tcW w:type="dxa" w:w="3000"/>
            <w:tcMar>
              <w:top w:type="dxa" w:w="90"/>
              <w:left w:type="dxa" w:w="120"/>
              <w:bottom w:type="dxa" w:w="90"/>
              <w:right w:type="dxa" w:w="120"/>
            </w:tcMar>
          </w:tcPr>
          <w:p>
            <w:pPr>
              <w:spacing w:after="0" w:line="260"/>
            </w:pPr>
            <w:r>
              <w:rPr>
                <w:sz w:val="20"/>
                <w:szCs w:val="20"/>
              </w:rPr>
              <w:t xml:space="preserve">Proprietary physical-process data as the exhaust of the physical loop (Section 2)</w:t>
            </w:r>
          </w:p>
        </w:tc>
      </w:tr>
      <w:tr>
        <w:tc>
          <w:tcPr>
            <w:tcW w:type="dxa" w:w="1350"/>
            <w:tcMar>
              <w:top w:type="dxa" w:w="90"/>
              <w:left w:type="dxa" w:w="120"/>
              <w:bottom w:type="dxa" w:w="90"/>
              <w:right w:type="dxa" w:w="120"/>
            </w:tcMar>
          </w:tcPr>
          <w:p>
            <w:pPr>
              <w:spacing w:after="0" w:line="260"/>
            </w:pPr>
            <w:r>
              <w:rPr>
                <w:sz w:val="20"/>
                <w:szCs w:val="20"/>
              </w:rPr>
              <w:t xml:space="preserve">Settlement</w:t>
            </w:r>
          </w:p>
        </w:tc>
        <w:tc>
          <w:tcPr>
            <w:tcW w:type="dxa" w:w="1900"/>
            <w:tcMar>
              <w:top w:type="dxa" w:w="90"/>
              <w:left w:type="dxa" w:w="120"/>
              <w:bottom w:type="dxa" w:w="90"/>
              <w:right w:type="dxa" w:w="120"/>
            </w:tcMar>
          </w:tcPr>
          <w:p>
            <w:pPr>
              <w:spacing w:after="0" w:line="260"/>
            </w:pPr>
            <w:r>
              <w:rPr>
                <w:sz w:val="20"/>
                <w:szCs w:val="20"/>
              </w:rPr>
              <w:t xml:space="preserve">SpaceX Mars objective</w:t>
            </w:r>
          </w:p>
        </w:tc>
        <w:tc>
          <w:tcPr>
            <w:tcW w:type="dxa" w:w="3110"/>
            <w:tcMar>
              <w:top w:type="dxa" w:w="90"/>
              <w:left w:type="dxa" w:w="120"/>
              <w:bottom w:type="dxa" w:w="90"/>
              <w:right w:type="dxa" w:w="120"/>
            </w:tcMar>
          </w:tcPr>
          <w:p>
            <w:pPr>
              <w:spacing w:after="0" w:line="260"/>
            </w:pPr>
            <w:r>
              <w:rPr>
                <w:sz w:val="20"/>
                <w:szCs w:val="20"/>
              </w:rPr>
              <w:t xml:space="preserve">Long-term goal of a self-sufficient city on Mars</w:t>
            </w:r>
          </w:p>
        </w:tc>
        <w:tc>
          <w:tcPr>
            <w:tcW w:type="dxa" w:w="3000"/>
            <w:tcMar>
              <w:top w:type="dxa" w:w="90"/>
              <w:left w:type="dxa" w:w="120"/>
              <w:bottom w:type="dxa" w:w="90"/>
              <w:right w:type="dxa" w:w="120"/>
            </w:tcMar>
          </w:tcPr>
          <w:p>
            <w:pPr>
              <w:spacing w:after="0" w:line="260"/>
            </w:pPr>
            <w:r>
              <w:rPr>
                <w:sz w:val="20"/>
                <w:szCs w:val="20"/>
              </w:rPr>
              <w:t xml:space="preserve">Demand center and proof of survival independent of Earth supply</w:t>
            </w:r>
          </w:p>
        </w:tc>
      </w:tr>
    </w:tbl>
    <w:p>
      <w:pPr>
        <w:spacing w:after="160"/>
      </w:pPr>
    </w:p>
    <w:p>
      <w:pPr>
        <w:pStyle w:val="Heading2"/>
      </w:pPr>
      <w:r>
        <w:t xml:space="preserve">The integrated loop</w:t>
      </w:r>
    </w:p>
    <w:p>
      <w:pPr>
        <w:shd w:fill="F5F4F1" w:val="clear"/>
        <w:spacing w:after="160" w:before="120"/>
        <w:jc w:val="center"/>
      </w:pPr>
      <w:r>
        <w:rPr>
          <w:i/>
          <w:iCs/>
          <w:sz w:val="22"/>
          <w:szCs w:val="22"/>
        </w:rPr>
        <w:t xml:space="preserve">xAI improves intelligence → AI improves robots and factories → factories expand energy and hardware → Terafab expands chips → hardware expands compute, on Earth and in orbit → compute improves AI</w:t>
      </w:r>
    </w:p>
    <w:p>
      <w:pPr>
        <w:spacing w:after="160" w:line="276"/>
      </w:pPr>
      <w:r>
        <w:t xml:space="preserve">The theoretical advantage is not mere ownership of complementary companies. It is the ability to integrate feedback, capital allocation, engineering, deployment environments, and industrial production into a shorter end-to-end loop than competitors can achieve. Reported preparations for a SpaceX public offering would, if completed, add a major financing event to fund the capital-intensive middle of that loop (Section 9).</w:t>
      </w:r>
    </w:p>
    <w:p>
      <w:pPr>
        <w:pStyle w:val="Heading2"/>
      </w:pPr>
      <w:r>
        <w:t xml:space="preserve">Competing explanations and discriminating evidence</w:t>
      </w:r>
    </w:p>
    <w:p>
      <w:pPr>
        <w:spacing w:after="160" w:line="276"/>
      </w:pPr>
      <w:r>
        <w:t xml:space="preserve">The right evidential test is comparative: good evidence for a hypothesis must be more likely under it than under credible alternatives. The hypotheses must also be nested rather than treated as exclusive, since a long-run off-world strategy can be </w:t>
      </w:r>
      <w:r>
        <w:rPr>
          <w:i/>
          <w:iCs/>
        </w:rPr>
        <w:t xml:space="preserve">pursued through</w:t>
      </w:r>
      <w:r>
        <w:t xml:space="preserve"> vertical integration and supply hedging — those are mechanisms, not alternatives. The cleaner hierarchy is: </w:t>
      </w:r>
      <w:r>
        <w:rPr>
          <w:b/>
          <w:bCs/>
        </w:rPr>
        <w:t xml:space="preserve">H0</w:t>
      </w:r>
      <w:r>
        <w:t xml:space="preserve">, terrestrial vertical integration and supply resilience with no material off-world industrial objective; </w:t>
      </w:r>
      <w:r>
        <w:rPr>
          <w:b/>
          <w:bCs/>
        </w:rPr>
        <w:t xml:space="preserve">H1</w:t>
      </w:r>
      <w:r>
        <w:t xml:space="preserve">, deliberate integrated space–AI–industrial development; </w:t>
      </w:r>
      <w:r>
        <w:rPr>
          <w:b/>
          <w:bCs/>
        </w:rPr>
        <w:t xml:space="preserve">H2</w:t>
      </w:r>
      <w:r>
        <w:t xml:space="preserve">, H1 plus an intended transition to recursive industrial closure. On this structure the filing supports H1 strongly — it lists orbital compute, lunar and in-orbit manufacturing, and asteroid mining among its own initiatives [S27] — while H2 remains weakly supported, because nothing published describes closure, reproduction, or seed architecture as an objective. Individual actions such as the fabrication initiative remain low-likelihood-ratio evidence as between H0 and H1. The clearest exception is the initiative's own first-party messaging [S28], which frames the effort in Kardashev-scale terms, publishes an orbital-versus-terrestrial cost decomposition, and names lunar mass drivers as a next step: H0 and H2 do not predict that, so it raises the likelihood ratio for H1 on the </w:t>
      </w:r>
      <w:r>
        <w:rPr>
          <w:i/>
          <w:iCs/>
        </w:rPr>
        <w:t xml:space="preserve">declared-intent</w:t>
      </w:r>
      <w:r>
        <w:t xml:space="preserve"> axis while leaving implementation status unchanged. Reusable launch and Mars rhetoric predate the thesis and cannot discriminate either.</w:t>
      </w:r>
    </w:p>
    <w:p>
      <w:pPr>
        <w:spacing w:after="160" w:line="276"/>
      </w:pPr>
      <w:r>
        <w:t xml:space="preserve">What </w:t>
      </w:r>
      <w:r>
        <w:rPr>
          <w:i/>
          <w:iCs/>
        </w:rPr>
        <w:t xml:space="preserve">would</w:t>
      </w:r>
      <w:r>
        <w:t xml:space="preserve"> discriminate, in rising order of strength: an internal export-control-scoped model variant (moderate — better predicted by H1 than H0); a dedicated cross-company closure program with published metrics; production or fabrication equipment explicitly designed for local extraterrestrial reproduction; and a published bill of materials for an off-world industrial seed. The indicators of Section 14 are now read through this lens: they weigh in proportion to their likelihood ratio, not their mere consistency with the thesis.</w:t>
      </w:r>
    </w:p>
    <w:p>
      <w:pPr>
        <w:pStyle w:val="Heading1"/>
      </w:pPr>
      <w:r>
        <w:t xml:space="preserve">8. Terafab and the Fabrication Frontier</w:t>
      </w:r>
    </w:p>
    <w:p>
      <w:pPr>
        <w:pStyle w:val="Heading2"/>
      </w:pPr>
      <w:r>
        <w:t xml:space="preserve">What was announced</w:t>
      </w:r>
    </w:p>
    <w:p>
      <w:pPr>
        <w:spacing w:after="160" w:line="276"/>
      </w:pPr>
      <w:r>
        <w:t xml:space="preserve">On March 21, 2026, at an event in Austin, the initiative publicly launched [S6–S10] as a joint project of Tesla, SpaceX, and xAI, with initial cost estimates around 20–25 billion dollars and a later regulatory filing indicating a full buildout of up to roughly 119 billion dollars. The facility is planned for the North Campus of Giga Texas and is described as consolidating chip design, lithography, fabrication, memory production, advanced packaging, and testing in one complex, targeting 2-nanometer-class process technology. Reported ambitions run from an initial 100,000 wafer starts per month toward one million — a full-scale figure on the order of two-thirds of the incumbent leading foundry's present global output. Planned products include AI5 inference chips for vehicles and Optimus robots and radiation-tolerant D3 chips for an orbital constellation. Musk has said large numbers of Optimus robots would help build and operate the facility; the near-term concrete step is a research fab of roughly three billion dollars producing a few thousand wafers per month, with SpaceX leading the scaled phase and mass production targeted for 2028. The stated rationale is a projected ceiling on how fast external suppliers can expand, plus geopolitical supply risk [S6, S9].</w:t>
      </w:r>
    </w:p>
    <w:p>
      <w:pPr>
        <w:pStyle w:val="Heading2"/>
      </w:pPr>
      <w:r>
        <w:t xml:space="preserve">What the primary sources say</w:t>
      </w:r>
    </w:p>
    <w:p>
      <w:pPr>
        <w:spacing w:after="160" w:line="276"/>
      </w:pPr>
      <w:r>
        <w:t xml:space="preserve">The strongest available source is SpaceX's Form S-1, filed May 20, 2026 [S27], and it is materially more cautious than the launch event. It states that SpaceX has agreed with Tesla on a general framework for Terafab's future development; that specific projects, development timelines, milestones, and capital expenditures remain subject to separate negotiations and have not been determined; that neither Tesla nor Intel (which joined in April 2026) is obligated to remain in the project; and that some initiatives may not achieve commercial viability — with no Terafab-specific risk factor.</w:t>
      </w:r>
    </w:p>
    <w:p>
      <w:pPr>
        <w:spacing w:after="160" w:line="276"/>
      </w:pPr>
      <w:r>
        <w:t xml:space="preserve">Reporting since then requires four corrections to earlier drafts of this paper. </w:t>
      </w:r>
      <w:r>
        <w:rPr>
          <w:b/>
          <w:bCs/>
        </w:rPr>
        <w:t xml:space="preserve">First, the sites are distinct</w:t>
      </w:r>
      <w:r>
        <w:t xml:space="preserve">: a smaller Tesla research fab at the Giga Texas campus and a proposed SpaceX-led scaled facility in Grimes County are two projects, not one facility described inconsistently [S6–S10]. </w:t>
      </w:r>
      <w:r>
        <w:rPr>
          <w:b/>
          <w:bCs/>
        </w:rPr>
        <w:t xml:space="preserve">Second, the county agreements are executed</w:t>
      </w:r>
      <w:r>
        <w:t xml:space="preserve">: the tax-abatement and economic-development agreements for the SpaceX site are now recorded as fully signed, which strengthens site-level commitment without constituting a definitive construction, funding, or operating agreement for the semiconductor programme [S6–S10]. </w:t>
      </w:r>
      <w:r>
        <w:rPr>
          <w:b/>
          <w:bCs/>
        </w:rPr>
        <w:t xml:space="preserve">Third, Intel's presence changes the competence question</w:t>
      </w:r>
      <w:r>
        <w:t xml:space="preserve">: Tesla, SpaceX, and xAI have no demonstrated advanced-fab operating record, but Intel plainly does, and the reported process plan is Intel 14A — so the open question is whether that experience transfers into this organisational structure and what obligations Intel has actually accepted, not whether anyone involved has ever run a fab [S6–S10]. </w:t>
      </w:r>
      <w:r>
        <w:rPr>
          <w:b/>
          <w:bCs/>
        </w:rPr>
        <w:t xml:space="preserve">Fourth, two scale comparisons used in earlier drafts are withdrawn</w:t>
      </w:r>
      <w:r>
        <w:t xml:space="preserve">: wafer-start counts cannot be set against a foundry's global output without controlling for wafer diameter, node, product mix, yield, and effective die output; and “one terawatt per year” is a claimed annual production rate of hardware whose aggregate nameplate power draw would total a terawatt — a manufacturing-throughput figure that is not commensurable with national electricity consumption or generation.</w:t>
      </w:r>
    </w:p>
    <w:tbl>
      <w:tblPr>
        <w:tblW w:type="dxa" w:w="9360"/>
        <w:tblBorders>
          <w:top w:val="single" w:color="C9C9C9" w:sz="2"/>
          <w:left w:val="single" w:color="B0592A" w:sz="24"/>
          <w:bottom w:val="single" w:color="C9C9C9" w:sz="2"/>
          <w:right w:val="single" w:color="C9C9C9" w:sz="2"/>
          <w:insideH w:val="none"/>
          <w:insideV w:val="none"/>
        </w:tblBorders>
      </w:tblPr>
      <w:tblGrid>
        <w:gridCol w:w="9360"/>
      </w:tblGrid>
      <w:tr>
        <w:tc>
          <w:tcPr>
            <w:tcW w:type="dxa" w:w="9360"/>
            <w:shd w:fill="F5F4F1" w:val="clear"/>
            <w:tcMar>
              <w:top w:type="dxa" w:w="140"/>
              <w:left w:type="dxa" w:w="200"/>
              <w:bottom w:type="dxa" w:w="100"/>
              <w:right w:type="dxa" w:w="200"/>
            </w:tcMar>
          </w:tcPr>
          <w:p>
            <w:pPr>
              <w:spacing w:after="80"/>
            </w:pPr>
            <w:r>
              <w:rPr>
                <w:b/>
                <w:bCs/>
                <w:color w:val="1F3352"/>
                <w:sz w:val="22"/>
                <w:szCs w:val="22"/>
              </w:rPr>
              <w:t xml:space="preserve">Terafab status</w:t>
            </w:r>
          </w:p>
          <w:p>
            <w:pPr>
              <w:spacing w:after="40"/>
            </w:pPr>
            <w:r>
              <w:t xml:space="preserve">Terafab comprises a general intercompany framework plus at least two discussed physical projects: a Tesla research fab at Giga Texas and a proposed SpaceX-led scaled facility in Grimes County. County tax and economic-development agreements for the SpaceX site are fully executed, and the reported process plan is Intel 14A. The S-1 continues to state that project-specific timelines, milestones, and capital expenditures require separate agreements and remain undetermined. Terafab has therefore progressed beyond an announcement; it is not yet a committed or demonstrated fabrication programme. Status: </w:t>
            </w:r>
            <w:r>
              <w:rPr>
                <w:b/>
                <w:bCs/>
              </w:rPr>
              <w:t xml:space="preserve">documented initiative and strategic framework; implementation scope partly advanced, scope of commitment unsettled.</w:t>
            </w:r>
          </w:p>
        </w:tc>
      </w:tr>
    </w:tbl>
    <w:p>
      <w:pPr>
        <w:spacing w:after="160"/>
      </w:pPr>
    </w:p>
    <w:p>
      <w:pPr>
        <w:pStyle w:val="Heading2"/>
      </w:pPr>
      <w:r>
        <w:t xml:space="preserve">First-party messaging versus legal commitment</w:t>
      </w:r>
    </w:p>
    <w:p>
      <w:pPr>
        <w:spacing w:after="160" w:line="276"/>
      </w:pPr>
      <w:r>
        <w:t xml:space="preserve">The initiative's own public material [S28] is markedly more space-oriented than the filing, and the divergence is itself informative. The site presents the effort as Tesla, SpaceX, and xAI “launching” a combined logic, memory, and advanced-packaging facility; frames the goal on the Kardashev scale as aspiring to a galactic civilisation; sets out scaling figures of roughly one billion robots, ten million tons per year launched to orbit, and more than a terawatt of solar power; describes a facility footprint an order of magnitude beyond an existing gigafactory, at an output of one terawatt per year against roughly half a terawatt of current annual U.S. consumption; names chip lines for vehicles and robots (AI5, AI6) and for space (D3); asserts that space is the only truly scalable solution for the future of AI, with an explicit cost comparison listing Earth-side power build, permitting, land, energy, infrastructure, and cooling against space-side launch, satellite build, operations, and infrastructure; and names </w:t>
      </w:r>
      <w:r>
        <w:rPr>
          <w:b/>
          <w:bCs/>
        </w:rPr>
        <w:t xml:space="preserve">lunar mass drivers</w:t>
      </w:r>
      <w:r>
        <w:t xml:space="preserve"> as the next step.</w:t>
      </w:r>
    </w:p>
    <w:p>
      <w:pPr>
        <w:spacing w:after="160" w:line="276"/>
      </w:pPr>
      <w:r>
        <w:t xml:space="preserve">Two things follow. First, this is a materially stronger likelihood ratio for the space-industrial interpretation than generic vertical integration provides (Section 7): ordinary supply-security strategy does not publish Kardashev-scale framing, an orbital-versus-terrestrial cost decomposition that mirrors this paper's operating-wall argument, or lunar mass drivers. Second, it remains </w:t>
      </w:r>
      <w:r>
        <w:rPr>
          <w:b/>
          <w:bCs/>
        </w:rPr>
        <w:t xml:space="preserve">stated intent, not commitment</w:t>
      </w:r>
      <w:r>
        <w:t xml:space="preserve">: recruiting and marketing material is cheap to publish, and the same organisation's binding legal language describes an unsettled framework [S27]. The correct combined reading is a strongly space-oriented declared strategy resting on unsettled implementation.</w:t>
      </w:r>
    </w:p>
    <w:p>
      <w:pPr>
        <w:pStyle w:val="Heading2"/>
      </w:pPr>
      <w:r>
        <w:t xml:space="preserve">What it changes for this thesis</w:t>
      </w:r>
    </w:p>
    <w:p>
      <w:pPr>
        <w:pStyle w:val="ListParagraph"/>
        <w:numPr>
          <w:ilvl w:val="0"/>
          <w:numId w:val="2"/>
        </w:numPr>
        <w:spacing w:after="100" w:line="276"/>
      </w:pPr>
      <w:r>
        <w:rPr>
          <w:b/>
          <w:bCs/>
        </w:rPr>
        <w:t xml:space="preserve">Fabrication moves from missing term to declared target.</w:t>
      </w:r>
      <w:r>
        <w:t xml:space="preserve"> Terafab supplies evidence of an intent to internalise terrestrial chip production. It does not yet demonstrate fabrication competence, binding implementation commitments, or progress toward off-world fabrication closure.</w:t>
      </w:r>
    </w:p>
    <w:p>
      <w:pPr>
        <w:pStyle w:val="ListParagraph"/>
        <w:numPr>
          <w:ilvl w:val="0"/>
          <w:numId w:val="2"/>
        </w:numPr>
        <w:spacing w:after="100" w:line="276"/>
      </w:pPr>
      <w:r>
        <w:rPr>
          <w:b/>
          <w:bCs/>
        </w:rPr>
        <w:t xml:space="preserve">The residual dependency moves one layer down the stack.</w:t>
      </w:r>
      <w:r>
        <w:t xml:space="preserve"> A fab still buys extreme-ultraviolet lithography systems from their sole supplier, along with deposition, etch, and metrology equipment and ultra-pure feedstocks. The external chokepoint relocates from foundries to equipment makers; it does not disappear.</w:t>
      </w:r>
    </w:p>
    <w:p>
      <w:pPr>
        <w:pStyle w:val="ListParagraph"/>
        <w:numPr>
          <w:ilvl w:val="0"/>
          <w:numId w:val="2"/>
        </w:numPr>
        <w:spacing w:after="100" w:line="276"/>
      </w:pPr>
      <w:r>
        <w:rPr>
          <w:b/>
          <w:bCs/>
        </w:rPr>
        <w:t xml:space="preserve">The fab-to-space link is explicit.</w:t>
      </w:r>
      <w:r>
        <w:t xml:space="preserve"> A chip line designed for orbital deployment is the first direct product connection between the fabrication layer and the space compute layer — previously a pure inference of this framework.</w:t>
      </w:r>
    </w:p>
    <w:p>
      <w:pPr>
        <w:pStyle w:val="Heading2"/>
      </w:pPr>
      <w:r>
        <w:t xml:space="preserve">What it does not change</w:t>
      </w:r>
    </w:p>
    <w:p>
      <w:pPr>
        <w:pStyle w:val="ListParagraph"/>
        <w:numPr>
          <w:ilvl w:val="0"/>
          <w:numId w:val="2"/>
        </w:numPr>
        <w:spacing w:after="100" w:line="276"/>
      </w:pPr>
      <w:r>
        <w:t xml:space="preserve">No wafers have been produced; the three originating companies have no advanced-fab operating record — though Intel, which joined in April 2026, does — and the programme targets a leading-edge node.</w:t>
      </w:r>
    </w:p>
    <w:p>
      <w:pPr>
        <w:pStyle w:val="ListParagraph"/>
        <w:numPr>
          <w:ilvl w:val="0"/>
          <w:numId w:val="2"/>
        </w:numPr>
        <w:spacing w:after="100" w:line="276"/>
      </w:pPr>
      <w:r>
        <w:t xml:space="preserve">Industry skepticism is on record: Nvidia's chief executive publicly cautioned that advanced chip manufacturing is far harder than newcomers tend to expect.</w:t>
      </w:r>
    </w:p>
    <w:p>
      <w:pPr>
        <w:pStyle w:val="ListParagraph"/>
        <w:numPr>
          <w:ilvl w:val="0"/>
          <w:numId w:val="2"/>
        </w:numPr>
        <w:spacing w:after="100" w:line="276"/>
      </w:pPr>
      <w:r>
        <w:t xml:space="preserve">The announced timeline — mass production in 2028 — is faster than typical multi-year fab ramps, and announced wafer targets exceed anything a single site has achieved.</w:t>
      </w:r>
    </w:p>
    <w:p>
      <w:pPr>
        <w:pStyle w:val="Heading2"/>
      </w:pPr>
      <w:r>
        <w:t xml:space="preserve">The lithography question</w:t>
      </w:r>
    </w:p>
    <w:p>
      <w:pPr>
        <w:spacing w:after="160" w:line="276"/>
      </w:pPr>
      <w:r>
        <w:t xml:space="preserve">For terrestrial operation, purchasing lithography and process equipment is an acceptable permanent dependency; every foundry on Earth accepts it. For high space closure (Stage 5 and beyond), lithography-class equipment must eventually be reproduced internally, substituted — for example, older process nodes at much greater volume, or currently immature approaches such as nanoimprint or electron-beam patterning — or accepted as a designed permanent import from Earth. This is the deepest single closure problem in the framework and any serious roadmap should treat it as such.</w:t>
      </w:r>
    </w:p>
    <w:p>
      <w:pPr>
        <w:pStyle w:val="Heading2"/>
      </w:pPr>
      <w:r>
        <w:t xml:space="preserve">Terafab-specific falsifiable indicators</w:t>
      </w:r>
    </w:p>
    <w:p>
      <w:pPr>
        <w:pStyle w:val="ListParagraph"/>
        <w:numPr>
          <w:ilvl w:val="0"/>
          <w:numId w:val="2"/>
        </w:numPr>
        <w:spacing w:after="100" w:line="276"/>
      </w:pPr>
      <w:r>
        <w:t xml:space="preserve">First research-fab wafer, and any disclosed yield figures at any node.</w:t>
      </w:r>
    </w:p>
    <w:p>
      <w:pPr>
        <w:pStyle w:val="ListParagraph"/>
        <w:numPr>
          <w:ilvl w:val="0"/>
          <w:numId w:val="2"/>
        </w:numPr>
        <w:spacing w:after="100" w:line="276"/>
      </w:pPr>
      <w:r>
        <w:t xml:space="preserve">Visible equipment order flow from the major lithography and process-tool suppliers.</w:t>
      </w:r>
    </w:p>
    <w:p>
      <w:pPr>
        <w:pStyle w:val="ListParagraph"/>
        <w:numPr>
          <w:ilvl w:val="0"/>
          <w:numId w:val="2"/>
        </w:numPr>
        <w:spacing w:after="100" w:line="276"/>
      </w:pPr>
      <w:r>
        <w:t xml:space="preserve">Whether memory and advanced packaging are genuinely produced in-house or quietly outsourced.</w:t>
      </w:r>
    </w:p>
    <w:p>
      <w:pPr>
        <w:pStyle w:val="ListParagraph"/>
        <w:numPr>
          <w:ilvl w:val="0"/>
          <w:numId w:val="2"/>
        </w:numPr>
        <w:spacing w:after="100" w:line="276"/>
      </w:pPr>
      <w:r>
        <w:t xml:space="preserve">Demonstrated radiation-qualified D3 silicon and any disclosed unit economics of orbital compute.</w:t>
      </w:r>
    </w:p>
    <w:p>
      <w:pPr>
        <w:pStyle w:val="Heading1"/>
      </w:pPr>
      <w:r>
        <w:t xml:space="preserve">9. The Bridge Economy</w:t>
      </w:r>
    </w:p>
    <w:p>
      <w:pPr>
        <w:spacing w:after="160" w:line="276"/>
      </w:pPr>
      <w:r>
        <w:t xml:space="preserve">The first edition listed economic motivation as a failure mode: before closure, the project must survive a long, capital-intensive transition. This edition treats that survival as an architectural requirement with a specific shape.</w:t>
      </w:r>
    </w:p>
    <w:tbl>
      <w:tblPr>
        <w:tblW w:type="dxa" w:w="9360"/>
        <w:tblBorders>
          <w:top w:val="single" w:color="C9C9C9" w:sz="2"/>
          <w:left w:val="single" w:color="B0592A" w:sz="24"/>
          <w:bottom w:val="single" w:color="C9C9C9" w:sz="2"/>
          <w:right w:val="single" w:color="C9C9C9" w:sz="2"/>
          <w:insideH w:val="none"/>
          <w:insideV w:val="none"/>
        </w:tblBorders>
      </w:tblPr>
      <w:tblGrid>
        <w:gridCol w:w="9360"/>
      </w:tblGrid>
      <w:tr>
        <w:tc>
          <w:tcPr>
            <w:tcW w:type="dxa" w:w="9360"/>
            <w:shd w:fill="F5F4F1" w:val="clear"/>
            <w:tcMar>
              <w:top w:type="dxa" w:w="140"/>
              <w:left w:type="dxa" w:w="200"/>
              <w:bottom w:type="dxa" w:w="100"/>
              <w:right w:type="dxa" w:w="200"/>
            </w:tcMar>
          </w:tcPr>
          <w:p>
            <w:pPr>
              <w:spacing w:after="80"/>
            </w:pPr>
            <w:r>
              <w:rPr>
                <w:b/>
                <w:bCs/>
                <w:color w:val="1F3352"/>
                <w:sz w:val="22"/>
                <w:szCs w:val="22"/>
              </w:rPr>
              <w:t xml:space="preserve">The staircase principle</w:t>
            </w:r>
          </w:p>
          <w:p>
            <w:pPr>
              <w:spacing w:after="40"/>
            </w:pPr>
            <w:r>
              <w:t xml:space="preserve">Each stage of the recursion must be independently profitable or deliberately financed. The architecture is a staircase of self-supporting steps, not a single leap to closure.</w:t>
            </w:r>
          </w:p>
        </w:tc>
      </w:tr>
    </w:tbl>
    <w:p>
      <w:pPr>
        <w:spacing w:after="160"/>
      </w:pPr>
    </w:p>
    <w:p>
      <w:pPr>
        <w:spacing w:after="160" w:line="276"/>
      </w:pPr>
      <w:r>
        <w:t xml:space="preserve">The plausible treads, in order:</w:t>
      </w:r>
    </w:p>
    <w:p>
      <w:pPr>
        <w:pStyle w:val="ListParagraph"/>
        <w:numPr>
          <w:ilvl w:val="0"/>
          <w:numId w:val="2"/>
        </w:numPr>
        <w:spacing w:after="100" w:line="276"/>
      </w:pPr>
      <w:r>
        <w:rPr>
          <w:b/>
          <w:bCs/>
        </w:rPr>
        <w:t xml:space="preserve">Terrestrial products of the same machinery.</w:t>
      </w:r>
      <w:r>
        <w:t xml:space="preserve"> Vehicles, storage, and eventually robots fund manufacturing scale, automation learning, and the energy business — the recursion's ground floor pays rent.</w:t>
      </w:r>
    </w:p>
    <w:p>
      <w:pPr>
        <w:pStyle w:val="ListParagraph"/>
        <w:numPr>
          <w:ilvl w:val="0"/>
          <w:numId w:val="2"/>
        </w:numPr>
        <w:spacing w:after="100" w:line="276"/>
      </w:pPr>
      <w:r>
        <w:rPr>
          <w:b/>
          <w:bCs/>
        </w:rPr>
        <w:t xml:space="preserve">Launch and connectivity.</w:t>
      </w:r>
      <w:r>
        <w:t xml:space="preserve"> Starlink revenue and launch services fund transport development and constellation operations.</w:t>
      </w:r>
    </w:p>
    <w:p>
      <w:pPr>
        <w:pStyle w:val="ListParagraph"/>
        <w:numPr>
          <w:ilvl w:val="0"/>
          <w:numId w:val="2"/>
        </w:numPr>
        <w:spacing w:after="100" w:line="276"/>
      </w:pPr>
      <w:r>
        <w:rPr>
          <w:b/>
          <w:bCs/>
        </w:rPr>
        <w:t xml:space="preserve">Orbital compute services — a contested tread with a launch-cost feasibility marker, not a crossover.</w:t>
      </w:r>
      <w:r>
        <w:t xml:space="preserve"> Selling computation from space is stated intent at more than one actor: the S-1 describes orbital AI data centers beginning as early as 2028 [S27], and an independent programme has published a technical design study for satellite-borne accelerator clusters [S30]. An earlier draft of this paper described that study as supplying a crossover threshold at which orbital compute approaches parity with terrestrial facilities. That was wrong, and the primary source says so twice: its cost section states that it does not constitute a full economic analysis, and that it is not intended as a comprehensive economic feasibility study but as a high-level evaluation of whether launch costs specifically could cease to be prohibitive [S30].</w:t>
      </w:r>
    </w:p>
    <w:p>
      <w:pPr>
        <w:pStyle w:val="ListParagraph"/>
        <w:numPr>
          <w:ilvl w:val="0"/>
          <w:numId w:val="2"/>
        </w:numPr>
        <w:spacing w:after="100" w:line="276"/>
      </w:pPr>
      <w:r>
        <w:rPr>
          <w:b/>
          <w:bCs/>
        </w:rPr>
        <w:t xml:space="preserve">What the comparison actually is.</w:t>
      </w:r>
      <w:r>
        <w:t xml:space="preserve"> At a hypothetical $200/kg to low Earth orbit, the study amortises the </w:t>
      </w:r>
      <w:r>
        <w:rPr>
          <w:b/>
          <w:bCs/>
        </w:rPr>
        <w:t xml:space="preserve">launch component alone</w:t>
      </w:r>
      <w:r>
        <w:t xml:space="preserve"> over spacecraft life, obtaining roughly $810 per kilowatt-year for a Starlink-v2-class mass-to-power ratio and $810–7,500 per kilowatt-year across a range of satellite classes; it sets this beside reported terrestrial data-centre </w:t>
      </w:r>
      <w:r>
        <w:rPr>
          <w:b/>
          <w:bCs/>
        </w:rPr>
        <w:t xml:space="preserve">electricity spend</w:t>
      </w:r>
      <w:r>
        <w:t xml:space="preserve"> of roughly $570–3,000 per kilowatt-year, and states that it excludes infrastructure and building costs and chip costs [S30]. Launch-versus-electricity is not system-versus-system. Absent from the orbital side are spacecraft and structural manufacture, solar arrays and power conditioning, radiators and heat transport, compute hardware, inter-satellite and ground communications, station-keeping and collision avoidance, operations, replacement launches, financing, utilisation, failure-adjusted useful life, and cost per </w:t>
      </w:r>
      <w:r>
        <w:rPr>
          <w:b/>
          <w:bCs/>
        </w:rPr>
        <w:t xml:space="preserve">verified useful computation</w:t>
      </w:r>
      <w:r>
        <w:t xml:space="preserve"> rather than per installed kilowatt. The finding is that launch need not remain independently prohibitive under favourable assumptions — a real and useful result, and not a parity claim.</w:t>
      </w:r>
    </w:p>
    <w:p>
      <w:pPr>
        <w:pStyle w:val="ListParagraph"/>
        <w:numPr>
          <w:ilvl w:val="0"/>
          <w:numId w:val="2"/>
        </w:numPr>
        <w:spacing w:after="100" w:line="276"/>
      </w:pPr>
      <w:r>
        <w:rPr>
          <w:b/>
          <w:bCs/>
        </w:rPr>
        <w:t xml:space="preserve">The threshold carries its own conditions.</w:t>
      </w:r>
      <w:r>
        <w:t xml:space="preserve"> Reaching ≲$200/kg by the mid-2030s on the study's ~20% learning-rate projection requires roughly 370,000 tonnes of additional cumulative mass launched — on the order of 1,800 Starship-class flights, averaging ~180 per year — which the authors call ambitious while noting it sits below stated launch-rate targets; a reuse-based alternative calculation puts costs to the operator between roughly $460/kg with no reuse and ≲$15/kg at hundredfold component reuse, against a fuel-cost floor near $8/kg [S30]. The engineering results are similarly bounded. Radiation testing of a current-generation accelerator found no hard total-dose failures to fifteen times the five-year mission requirement, with high-bandwidth memory the most sensitive subsystem, and an inference-workload error probability the authors judge likely acceptable — while explicitly reserving the effect on </w:t>
      </w:r>
      <w:r>
        <w:rPr>
          <w:b/>
          <w:bCs/>
        </w:rPr>
        <w:t xml:space="preserve">training</w:t>
      </w:r>
      <w:r>
        <w:t xml:space="preserve"> for further study. A bench inter-satellite optical demonstration reached 1.6 Tbps bidirectional against a stated per-link requirement of order 10 Tbps. Thermal management, high-bandwidth ground communications, and on-orbit reliability and repair are named as unsolved, with repair characterised as impracticable in orbit and redundant provisioning proposed as the answer — which is a cost, not an absence of one [S30].</w:t>
      </w:r>
    </w:p>
    <w:p>
      <w:pPr>
        <w:pStyle w:val="ListParagraph"/>
        <w:numPr>
          <w:ilvl w:val="0"/>
          <w:numId w:val="2"/>
        </w:numPr>
        <w:spacing w:after="100" w:line="276"/>
      </w:pPr>
      <w:r>
        <w:rPr>
          <w:b/>
          <w:bCs/>
        </w:rPr>
        <w:t xml:space="preserve">What multiple entrants do and do not establish.</w:t>
      </w:r>
      <w:r>
        <w:t xml:space="preserve"> Prototype satellites are slated for launch by early 2027 in partnership with an established Earth-observation operator, and at least one further entrant has flown an accelerator demonstrator [S30, S31]. Several sophisticated actors pursuing the same step raises the prior that the </w:t>
      </w:r>
      <w:r>
        <w:rPr>
          <w:b/>
          <w:bCs/>
        </w:rPr>
        <w:t xml:space="preserve">engineering problem merits serious investigation</w:t>
      </w:r>
      <w:r>
        <w:t xml:space="preserve">; it does not independently validate the economics. P3 accordingly remains weakly quantified. The three reference cases still require full levelised-cost models before this tread can bear weight [S35]: a LEO inference service, high-orbit or cislunar batch compute, and lunar-surface compute on locally manufactured power. The filing also concedes a present dependency: chip supply for orbital AI currently exceeds what is available to the company [S27].</w:t>
      </w:r>
    </w:p>
    <w:p>
      <w:pPr>
        <w:spacing w:after="160" w:line="276"/>
      </w:pPr>
      <w:r>
        <w:t xml:space="preserve">The test of the staircase is simple: at every stage, revenue plus strategic financing must exceed the burn required to reach the next stage before the clock-setting components of Section 4 expire.</w:t>
      </w:r>
    </w:p>
    <w:p>
      <w:pPr>
        <w:pStyle w:val="Heading1"/>
      </w:pPr>
      <w:r>
        <w:t xml:space="preserve">10. Competition and the Takeoff-Speed Assumption</w:t>
      </w:r>
    </w:p>
    <w:tbl>
      <w:tblPr>
        <w:tblW w:type="dxa" w:w="9360"/>
        <w:tblBorders>
          <w:top w:val="single" w:color="C9C9C9" w:sz="2"/>
          <w:left w:val="single" w:color="B0592A" w:sz="24"/>
          <w:bottom w:val="single" w:color="C9C9C9" w:sz="2"/>
          <w:right w:val="single" w:color="C9C9C9" w:sz="2"/>
          <w:insideH w:val="none"/>
          <w:insideV w:val="none"/>
        </w:tblBorders>
      </w:tblPr>
      <w:tblGrid>
        <w:gridCol w:w="9360"/>
      </w:tblGrid>
      <w:tr>
        <w:tc>
          <w:tcPr>
            <w:tcW w:type="dxa" w:w="9360"/>
            <w:shd w:fill="F5F4F1" w:val="clear"/>
            <w:tcMar>
              <w:top w:type="dxa" w:w="140"/>
              <w:left w:type="dxa" w:w="200"/>
              <w:bottom w:type="dxa" w:w="100"/>
              <w:right w:type="dxa" w:w="200"/>
            </w:tcMar>
          </w:tcPr>
          <w:p>
            <w:pPr>
              <w:spacing w:after="80"/>
            </w:pPr>
            <w:r>
              <w:rPr>
                <w:b/>
                <w:bCs/>
                <w:color w:val="1F3352"/>
                <w:sz w:val="22"/>
                <w:szCs w:val="22"/>
              </w:rPr>
              <w:t xml:space="preserve">Explicit assumption</w:t>
            </w:r>
          </w:p>
          <w:p>
            <w:pPr>
              <w:spacing w:after="40"/>
            </w:pPr>
            <w:r>
              <w:t xml:space="preserve">This thesis is decision-relevant chiefly under a slow-to-medium AI takeoff, measured in years to decades. Under a fast software takeoff, incumbent compute and algorithms decide outcomes before any physical loop closes; the space complex then becomes something the resulting intelligence builds afterward, not the path by which it arises.</w:t>
            </w:r>
          </w:p>
        </w:tc>
      </w:tr>
    </w:tbl>
    <w:p>
      <w:pPr>
        <w:spacing w:after="160"/>
      </w:pPr>
    </w:p>
    <w:p>
      <w:pPr>
        <w:spacing w:after="160" w:line="276"/>
      </w:pPr>
      <w:r>
        <w:t xml:space="preserve">The first edition analyzed the system in isolation. It is not alone.</w:t>
      </w:r>
    </w:p>
    <w:p>
      <w:pPr>
        <w:pStyle w:val="ListParagraph"/>
        <w:numPr>
          <w:ilvl w:val="0"/>
          <w:numId w:val="2"/>
        </w:numPr>
        <w:spacing w:after="100" w:line="276"/>
      </w:pPr>
      <w:r>
        <w:rPr>
          <w:b/>
          <w:bCs/>
        </w:rPr>
        <w:t xml:space="preserve">China</w:t>
      </w:r>
      <w:r>
        <w:t xml:space="preserve"> is the closest existing implementation of the terrestrial stages at national scale: dominant solar and battery manufacturing, a fast-scaling robotics sector, rare-earth refining, and domestic (if trailing-edge) chip fabrication. What it lacks, for now, is a reusable heavy-lift transport economy.</w:t>
      </w:r>
    </w:p>
    <w:p>
      <w:pPr>
        <w:pStyle w:val="ListParagraph"/>
        <w:numPr>
          <w:ilvl w:val="0"/>
          <w:numId w:val="2"/>
        </w:numPr>
        <w:spacing w:after="100" w:line="276"/>
      </w:pPr>
      <w:r>
        <w:rPr>
          <w:b/>
          <w:bCs/>
        </w:rPr>
        <w:t xml:space="preserve">Hyperscalers</w:t>
      </w:r>
      <w:r>
        <w:t xml:space="preserve"> close the same inputs with capital rather than ownership: long-term power agreements, custom silicon programs, and multi-year supply contracts. Capital as a substitute for vertical integration works until aggregate demand outruns what markets can scale — which is precisely the condition Terafab's stated rationale asserts has arrived.</w:t>
      </w:r>
    </w:p>
    <w:p>
      <w:pPr>
        <w:pStyle w:val="ListParagraph"/>
        <w:numPr>
          <w:ilvl w:val="0"/>
          <w:numId w:val="2"/>
        </w:numPr>
        <w:spacing w:after="100" w:line="276"/>
      </w:pPr>
      <w:r>
        <w:rPr>
          <w:b/>
          <w:bCs/>
        </w:rPr>
        <w:t xml:space="preserve">State space programs</w:t>
      </w:r>
      <w:r>
        <w:t xml:space="preserve"> hold ISRU and lunar-infrastructure roadmaps but iterate more slowly than commercial actors.</w:t>
      </w:r>
    </w:p>
    <w:p>
      <w:pPr>
        <w:spacing w:after="160" w:line="276"/>
      </w:pPr>
      <w:r>
        <w:t xml:space="preserve">Two corrections to the assumption that launch access is the decisive chokepoint. First, over the past decade the larger cost-performance gain in space systems came from the </w:t>
      </w:r>
      <w:r>
        <w:rPr>
          <w:b/>
          <w:bCs/>
        </w:rPr>
        <w:t xml:space="preserve">payload</w:t>
      </w:r>
      <w:r>
        <w:t xml:space="preserve">, not the rocket: satellite capability per kilogram is reported by industry participants to have improved by two to three orders of magnitude through miniaturisation, against a smaller multiple for launch price [S33]. A crossover model that treats launch $/kg as the primary axis and payload capability as fixed will therefore mis-weight its own sensitivity analysis (third edition [S35]). Second, chemical rockets are a local optimum rather than a frontier: mass-manufacturing of vehicles, and non-chemical approaches such as electromagnetic or kinetic launch — including mass drivers operating from a low-gravity surface, which the fabrication initiative's own material names as a later step [S28] — remain largely unexplored at scale, and any of them would reset the launch axis rather than move along it. Both corrections cut against a durable launch monopoly and toward the paper's general convergence expectation.</w:t>
      </w:r>
    </w:p>
    <w:p>
      <w:pPr>
        <w:spacing w:after="160" w:line="276"/>
      </w:pPr>
      <w:r>
        <w:t xml:space="preserve">The race principle that falls out of the framework: the closure race rewards the shortest verified end-to-end iteration loop across design → manufacture → deploy → learn — not the largest current stock of any single input.</w:t>
      </w:r>
    </w:p>
    <w:p>
      <w:pPr>
        <w:pStyle w:val="Heading2"/>
      </w:pPr>
      <w:r>
        <w:t xml:space="preserve">The capital wall: why markets cannot price the endgame</w:t>
      </w:r>
    </w:p>
    <w:p>
      <w:pPr>
        <w:spacing w:after="160" w:line="276"/>
      </w:pPr>
      <w:r>
        <w:t xml:space="preserve">Expansion purchased through markets pays stacked scarcity rents — foundry margins on equipment margins, with energy, land, and labor priced at what every rival bidder will pay. When demand outruns supply, prices are set by scarcity rather than cost. The strongest version of this claim needs qualification: markets are not static — high prices stimulate investment, entry, and substitution — so the right formulation is a </w:t>
      </w:r>
      <w:r>
        <w:rPr>
          <w:b/>
          <w:bCs/>
        </w:rPr>
        <w:t xml:space="preserve">race between demand growth and induced supply</w:t>
      </w:r>
      <w:r>
        <w:t xml:space="preserve">, with multi-year capacity lags as the binding term. At sufficiently rapid demand growth, short- and medium-run supply elasticity becomes the constraint; whether internal replication beats inducing market expansion is a rate comparison requiring the explicit modeling of the third edition, not a categorical fact. Vertical integration, likewise, internalises rather than eliminates capital cost: materials, equipment, risk-bearing, and time retain opportunity costs even when no external invoice is paid. What survives is the interface claim — every market boundary adds a financing requirement and a margin — and the post-closure claim, where expansion re-denominates in kind.</w:t>
      </w:r>
    </w:p>
    <w:p>
      <w:pPr>
        <w:spacing w:after="160" w:line="276"/>
      </w:pPr>
      <w:r>
        <w:t xml:space="preserve">A self-replicating industrial base escapes </w:t>
      </w:r>
      <w:r>
        <w:rPr>
          <w:i/>
          <w:iCs/>
        </w:rPr>
        <w:t xml:space="preserve">mandatory dependence on external Earth markets</w:t>
      </w:r>
      <w:r>
        <w:t xml:space="preserve"> — not economic allocation, opportunity cost, or internal pricing, which persist in any multi-firm or internally-priced closed ecology. Its expansion cost re-denominates from currency into materials, energy, and time — and, once the system produces its own energy and labor, effectively into materials and time. Money is a claim on other people's labor and capital; a system that manufactures its own labor and capital no longer needs the claim at the margin. Biology is an existence proof that self-replication without capital markets is physically possible — not that a precision technological industry shares its economics: life had deep time, inherited molecular self-assembly, and tolerated extraordinary failure rates.</w:t>
      </w:r>
    </w:p>
    <w:p>
      <w:pPr>
        <w:spacing w:after="160" w:line="276"/>
      </w:pPr>
      <w:r>
        <w:t xml:space="preserve">Two caveats keep this honest. First, the entry ticket is still paid in ordinary dollars: the first self-replicating unit is bought, not grown — which is what the bridge economy of Section 9 exists to finance — and the race is to reach r &gt; δ before capital or patience is exhausted. Second, the logic predicts convergence, not uniqueness: every serious actor eventually verticalizes or plateaus, and hyperscaler custom silicon and power agreements are the first visible steps. The durable advantage is therefore not being vertical; it is having the shortest hardware doubling time once everyone is.</w:t>
      </w:r>
    </w:p>
    <w:p>
      <w:pPr>
        <w:pStyle w:val="Heading2"/>
      </w:pPr>
      <w:r>
        <w:t xml:space="preserve">Integration versus modularity: the Coasean resolution</w:t>
      </w:r>
    </w:p>
    <w:p>
      <w:pPr>
        <w:spacing w:after="160" w:line="276"/>
      </w:pPr>
      <w:r>
        <w:t xml:space="preserve">The strongest historical objection to this section deserves direct engagement: markets scaled semiconductor output roughly a billionfold, and did it through </w:t>
      </w:r>
      <w:r>
        <w:rPr>
          <w:i/>
          <w:iCs/>
        </w:rPr>
        <w:t xml:space="preserve">dis</w:t>
      </w:r>
      <w:r>
        <w:t xml:space="preserve">integration — the fabless-foundry split — while vertical integration has mostly lost to modular specialization across modern industry. Why would this time differ? The answer runs through the economics of firm boundaries. In the Coasean frame, a firm's boundary sits where internal coordination costs exceed market transaction costs. Specialization won historically because no single human organization could hold all the process knowledge and coordinate it efficiently: past a certain size, internal coordination costs explode, and independent firms trading through markets become cheaper despite margin stacking at every interface.</w:t>
      </w:r>
    </w:p>
    <w:p>
      <w:pPr>
        <w:spacing w:after="160" w:line="276"/>
      </w:pPr>
      <w:r>
        <w:t xml:space="preserve">AI attacks the internal term — but it attacks the external one too, improving supplier discovery, specification, contract drafting, monitoring, quality assurance, pricing, logistics, and modular interface design. The correct conditional is therefore: </w:t>
      </w:r>
      <w:r>
        <w:rPr>
          <w:b/>
          <w:bCs/>
        </w:rPr>
        <w:t xml:space="preserve">AI moves the efficient boundary toward greater integration only if it reduces internal coordination costs faster than it reduces interfirm transaction costs</w:t>
      </w:r>
      <w:r>
        <w:t xml:space="preserve">, which is an empirical question this paper does not settle. If it does, internal cost per unit of complexity falls toward the physical information limit and the efficient boundary of the firm expands accordingly — an integrated complex can match the efficiency of specialized ones because it can host </w:t>
      </w:r>
      <w:r>
        <w:rPr>
          <w:b/>
          <w:bCs/>
        </w:rPr>
        <w:t xml:space="preserve">internal specialization without market interfaces</w:t>
      </w:r>
      <w:r>
        <w:t xml:space="preserve">: the distributed ecology of Section 3 is precisely modularity inside one owner. Meanwhile the market interface retains an irreducible cost that no efficiency gain removes: every break in the closed loop is a transaction, every transaction requires capital, and capital is the very resource whose scaling limit defines the capital wall. So market interfaces carry an irreducible capital requirement that efficiency gains do not remove. The defensible conclusion is bounded: </w:t>
      </w:r>
      <w:r>
        <w:rPr>
          <w:b/>
          <w:bCs/>
        </w:rPr>
        <w:t xml:space="preserve">AI may lower internal coordination costs and therefore move the efficient boundary between firms and markets toward greater integration</w:t>
      </w:r>
      <w:r>
        <w:t xml:space="preserve"> — not that complete ownership integration outperforms modular ecosystems in general. The fabless-foundry history is best read as a regime marker rather than a refutation: markets and specialisation dominate while capital can still buy inputs at the required rate. Whether integration dominates outside that regime must be demonstrated by sector and scale, comparing market transaction costs (contracting, margin stacking, capacity lag, hold-up) against integrated costs (internal coordination, incentive loss, internal allocation error, common-mode risk).</w:t>
      </w:r>
    </w:p>
    <w:p>
      <w:pPr>
        <w:spacing w:after="160" w:line="276"/>
      </w:pPr>
      <w:r>
        <w:t xml:space="preserve">Three qualifications are central rather than secondary. </w:t>
      </w:r>
      <w:r>
        <w:rPr>
          <w:b/>
          <w:bCs/>
        </w:rPr>
        <w:t xml:space="preserve">First</w:t>
      </w:r>
      <w:r>
        <w:t xml:space="preserve">, markets supply more than transaction interfaces: distributed experimentation, competitive selection, specialised knowledge, independent capital allocation, risk diversification, supplier innovation, redundancy against common-mode management error, and price signals about relative scarcity. An integrated complex must replicate all of these internally or decay into the soft-budget pathologies of planned economies; the digital loop suggests a mechanism — parallel internal competitions with measured selection against ground truth — but engineering that discipline is an open problem, not a solved one. </w:t>
      </w:r>
      <w:r>
        <w:rPr>
          <w:b/>
          <w:bCs/>
        </w:rPr>
        <w:t xml:space="preserve">Second</w:t>
      </w:r>
      <w:r>
        <w:t xml:space="preserve">, three kinds of closure must not be conflated: </w:t>
      </w:r>
      <w:r>
        <w:rPr>
          <w:i/>
          <w:iCs/>
        </w:rPr>
        <w:t xml:space="preserve">technical</w:t>
      </w:r>
      <w:r>
        <w:t xml:space="preserve"> closure (the network can produce its essential inputs), </w:t>
      </w:r>
      <w:r>
        <w:rPr>
          <w:i/>
          <w:iCs/>
        </w:rPr>
        <w:t xml:space="preserve">contractual</w:t>
      </w:r>
      <w:r>
        <w:t xml:space="preserve"> closure (inputs secured by durable agreement), and </w:t>
      </w:r>
      <w:r>
        <w:rPr>
          <w:i/>
          <w:iCs/>
        </w:rPr>
        <w:t xml:space="preserve">ownership</w:t>
      </w:r>
      <w:r>
        <w:t xml:space="preserve"> closure (one owner controls the productive entities). This paper's thesis requires only the first; a technically closed industrial ecology could consist of competing or contractually coordinated entities. </w:t>
      </w:r>
      <w:r>
        <w:rPr>
          <w:b/>
          <w:bCs/>
        </w:rPr>
        <w:t xml:space="preserve">Third</w:t>
      </w:r>
      <w:r>
        <w:t xml:space="preserve">, the in-domain example most often cited for integration — a vertically integrated launch entrant undercutting the legacy aerospace supply chain by widely reported order-of-magnitude factors — does not isolate integration as the cause: reusability, vehicle architecture, flight cadence, organisational incentives, risk tolerance, demand aggregation, and procurement model are all confounded with it.</w:t>
      </w:r>
    </w:p>
    <w:p>
      <w:pPr>
        <w:pStyle w:val="Heading2"/>
      </w:pPr>
      <w:r>
        <w:t xml:space="preserve">The operating wall: society-priced versus physics-priced costs</w:t>
      </w:r>
    </w:p>
    <w:p>
      <w:pPr>
        <w:spacing w:after="160" w:line="276"/>
      </w:pPr>
      <w:r>
        <w:t xml:space="preserve">Operating costs divide into two kinds. </w:t>
      </w:r>
      <w:r>
        <w:rPr>
          <w:b/>
          <w:bCs/>
        </w:rPr>
        <w:t xml:space="preserve">Physics-priced inputs</w:t>
      </w:r>
      <w:r>
        <w:t xml:space="preserve"> — energy, materials, machine-hours — fall with scale through learning curves and automation. </w:t>
      </w:r>
      <w:r>
        <w:rPr>
          <w:b/>
          <w:bCs/>
        </w:rPr>
        <w:t xml:space="preserve">Society-priced inputs</w:t>
      </w:r>
      <w:r>
        <w:t xml:space="preserve"> — land rents, permits, grid interconnection, taxes, litigation, political goodwill — rise with scale: a growing complex bids up its own land, lengthens its own permitting queues, and generates opposition in proportion to its visibility. On Earth, closure has a structural ceiling, because land, law, and neighbors can never be internalized; past some scale the rising term dominates no matter how vertical the operator becomes.</w:t>
      </w:r>
    </w:p>
    <w:p>
      <w:pPr>
        <w:spacing w:after="160" w:line="276"/>
      </w:pPr>
      <w:r>
        <w:t xml:space="preserve">Space may reduce recurring terrestrial siting and local-permission costs while substituting launch, communications, liability, security, treaty, and logistics costs whose scaling behavior remains uncertain — the society-priced term shrinks and relocates; it does not vanish. One favorable property survives the correction: on Earth, every marginal factory needs marginal permission, so regulatory cost grows with the size of the system, whereas in space permission attaches to the gateway — launches and spectrum — rather than to the complex, so the millionth robot needs no new municipal permit even though the network supporting it remains regulated. There is also a hard physical version of the argument. Earth has a planetary waste-heat budget; a compute economy dissipating a meaningful fraction of incident sunlight would be climatically intolerable however financed. Space offers unbounded radiator </w:t>
      </w:r>
      <w:r>
        <w:rPr>
          <w:i/>
          <w:iCs/>
        </w:rPr>
        <w:t xml:space="preserve">area</w:t>
      </w:r>
      <w:r>
        <w:t xml:space="preserve"> — though not free thermal rejection: every square meter is matter, structure, pumping, orientation, and maintenance.</w:t>
      </w:r>
    </w:p>
    <w:p>
      <w:pPr>
        <w:spacing w:after="160" w:line="276"/>
      </w:pPr>
      <w:r>
        <w:t xml:space="preserve">The costs never vanish; they re-denominate. A closed ecosystem still pays for its operation in spares, machine-hours, joules, and maintenance — in kind rather than in currency, which is Section 6's “scarcity becomes latency” restated as accounting. And the sequence is brutal: before high closure, space is the most expensive place to operate, not the cheapest — every kilogram of spares travels at full launch freight while depreciation runs at its worst. The declining-cost regime switches on only after κ is high, which is why the bridge economy and the clock-setting components of Section 4 decide who survives to reach it.</w:t>
      </w:r>
    </w:p>
    <w:p>
      <w:pPr>
        <w:pStyle w:val="Heading2"/>
      </w:pPr>
      <w:r>
        <w:t xml:space="preserve">The threshold-model argument</w:t>
      </w:r>
    </w:p>
    <w:p>
      <w:pPr>
        <w:spacing w:after="160" w:line="276"/>
      </w:pPr>
      <w:r>
        <w:t xml:space="preserve">How much does model quality matter to this race? The answer depends on whether RSI capability is a threshold or a continuum. If it is a threshold — a base model good enough to run verified improvement loops on its own development — then a smarter starting model confers only a head start of some number of loops, which the loop itself erodes; the durable variable becomes who can run more loops, which is hardware. Mid-2026 evidence supports continued benchmark compression between some open and proprietary models. It does not establish commoditisation at an autonomous-R&amp;D or RSI threshold, and the hardware-dominance conclusion is therefore one branch of the model — the small-α branch — rather than the established trajectory. The current internal model is reported to be used for engineering work and was trained alongside an acquired coding-tools corpus; a subsequent, larger model was separately announced for supplemental training on the unrestricted portion of the aerospace engineering corpus — two distinct runs that earlier drafts conflated [S11, S13], while open-weight releases — most recently a 2.8-trillion-parameter open model benchmarking near the proprietary frontier on agentic and coding tasks [S12] — have compressed the open-closed gap from years to months. If RSI-grade capability arrives in open weights, model advantage weakens sharply as a moat — though it does not vanish: post-training, proprietary data, evaluation systems, inference infrastructure, tool integration, operational reliability, distribution, and the capacity to run physical experiments all persist as differentiators. To the extent it does weaken, the contest shifts toward the physical loop, which is the strongest form of the verticalisation thesis.</w:t>
      </w:r>
    </w:p>
    <w:p>
      <w:pPr>
        <w:spacing w:after="160" w:line="276"/>
      </w:pPr>
      <w:r>
        <w:t xml:space="preserve">The counterpoint that keeps this honest: the argument holds only if capability is genuinely threshold-like rather than continuously compounding. If a better model runs meaningfully faster or better-verified loops on the same hardware, head starts compound instead of eroding — and a head start can be spent acquiring hardware advantages that outlast it. Both conditions are open. The defensible reading is that commoditization is the current trend, not a law.</w:t>
      </w:r>
    </w:p>
    <w:p>
      <w:pPr>
        <w:shd w:fill="F5F4F1" w:val="clear"/>
        <w:spacing w:after="40" w:before="120"/>
        <w:jc w:val="center"/>
      </w:pPr>
      <w:r>
        <w:rPr>
          <w:i/>
          <w:iCs/>
          <w:sz w:val="22"/>
          <w:szCs w:val="22"/>
        </w:rPr>
        <w:t xml:space="preserve">Threshold regime: L_RSI ∝ C^β        |        Continuous regime: L_RSI ∝ A^α · C^β · V^γ</w:t>
      </w:r>
    </w:p>
    <w:p>
      <w:pPr>
        <w:spacing w:after="160"/>
        <w:jc w:val="center"/>
      </w:pPr>
      <w:r>
        <w:rPr>
          <w:i/>
          <w:iCs/>
          <w:color w:val="595959"/>
          <w:sz w:val="18"/>
          <w:szCs w:val="18"/>
        </w:rPr>
        <w:t xml:space="preserve">A: model capability; C: compute; V: verification quality. The strategic conclusion depends on α, which is currently unknown.</w:t>
      </w:r>
    </w:p>
    <w:p>
      <w:pPr>
        <w:spacing w:after="160" w:line="276"/>
      </w:pPr>
      <w:r>
        <w:t xml:space="preserve">The counterpoint sharpens further: benchmark convergence between open and closed models does not establish that autonomous R&amp;D capability is threshold-like. Research capability varies continuously along correctness, long-horizon reliability, experimental judgement, verification design, and resistance to reward hacking — a model ten percent better on coding benchmarks could be two percent or fifty percent better at safely conducting month-long autonomous research. Until α is estimated, the hardware-dominance conclusion is one branch of a two-branch model, not the established trend.</w:t>
      </w:r>
    </w:p>
    <w:p>
      <w:pPr>
        <w:spacing w:after="160" w:line="276"/>
      </w:pPr>
      <w:r>
        <w:t xml:space="preserve">There is also a structural counterweight to commoditization itself. Open and closed models converge because they train on the same public data; the residual model-layer differentiation is therefore exactly the capability trained on </w:t>
      </w:r>
      <w:r>
        <w:rPr>
          <w:b/>
          <w:bCs/>
        </w:rPr>
        <w:t xml:space="preserve">proprietary physical-process data</w:t>
      </w:r>
      <w:r>
        <w:t xml:space="preserve"> (Section 2) — combustion dynamics, manufacturing process windows, fleet telemetry — which no open corpus contains and export control partly fences by law. If general capability commoditizes, the model contest does not disappear; it narrows to the domains where training data is generated by owned industry. The complex that operates the most instrumented physical economy holds the residual model advantage, which folds the model race back into the physical loop. The dynamic is already visible: the two-trillion-parameter successor to the current in-house model was publicly positioned against a </w:t>
      </w:r>
      <w:r>
        <w:rPr>
          <w:i/>
          <w:iCs/>
        </w:rPr>
        <w:t xml:space="preserve">larger</w:t>
      </w:r>
      <w:r>
        <w:t xml:space="preserve"> open-weight rival not on scale but on its supplemental training over an engineering corpus no competitor can license [S12, S13].</w:t>
      </w:r>
    </w:p>
    <w:p>
      <w:pPr>
        <w:pStyle w:val="Heading1"/>
      </w:pPr>
      <w:r>
        <w:t xml:space="preserve">11. Control and Governance of a Self-Expanding System</w:t>
      </w:r>
    </w:p>
    <w:p>
      <w:pPr>
        <w:spacing w:after="160" w:line="276"/>
      </w:pPr>
      <w:r>
        <w:t xml:space="preserve">A self-expanding autonomous industrial network is, formally, a governed macroscale von Neumann replicator. The first edition compressed this into a single bullet on verification; it deserves the status of a design requirement, because the same property that makes the system valuable — compounding physical replication — is what makes its failure modes compound too.</w:t>
      </w:r>
    </w:p>
    <w:p>
      <w:pPr>
        <w:pStyle w:val="ListParagraph"/>
        <w:numPr>
          <w:ilvl w:val="0"/>
          <w:numId w:val="2"/>
        </w:numPr>
        <w:spacing w:after="100" w:line="276"/>
      </w:pPr>
      <w:r>
        <w:rPr>
          <w:b/>
          <w:bCs/>
        </w:rPr>
        <w:t xml:space="preserve">Verification must scale with expansion.</w:t>
      </w:r>
      <w:r>
        <w:t xml:space="preserve"> V in the loop equation of Section 1 is also a safety term. If productive expansion outpaces the capacity to verify software, engineering changes, and physical output, error and misalignment accumulate with compound interest.</w:t>
      </w:r>
    </w:p>
    <w:p>
      <w:pPr>
        <w:pStyle w:val="ListParagraph"/>
        <w:numPr>
          <w:ilvl w:val="0"/>
          <w:numId w:val="2"/>
        </w:numPr>
        <w:spacing w:after="100" w:line="276"/>
      </w:pPr>
      <w:r>
        <w:rPr>
          <w:b/>
          <w:bCs/>
        </w:rPr>
        <w:t xml:space="preserve">Throttle authority must be explicit.</w:t>
      </w:r>
      <w:r>
        <w:t xml:space="preserve"> The system needs reliable mechanisms to slow or halt replication — rate limits on self-production, hardware-level authorization of replication steps — and clarity about who holds them: corporate, national, or international.</w:t>
      </w:r>
    </w:p>
    <w:p>
      <w:pPr>
        <w:pStyle w:val="ListParagraph"/>
        <w:numPr>
          <w:ilvl w:val="0"/>
          <w:numId w:val="2"/>
        </w:numPr>
        <w:spacing w:after="100" w:line="276"/>
      </w:pPr>
      <w:r>
        <w:rPr>
          <w:b/>
          <w:bCs/>
        </w:rPr>
        <w:t xml:space="preserve">The legal frame is unsettled.</w:t>
      </w:r>
      <w:r>
        <w:t xml:space="preserve"> Outer-space governance on resource appropriation, liability, planetary protection, and spectrum is ambiguous, and first movers will set precedent as much as follow it.</w:t>
      </w:r>
    </w:p>
    <w:p>
      <w:pPr>
        <w:spacing w:after="160" w:line="276"/>
      </w:pPr>
      <w:r>
        <w:t xml:space="preserve">This section must also acknowledge a tension with the rest of the document. The strategic argument celebrates escaping society-priced costs — permits, oversight, law — while the safety argument requires retaining exactly such constraints for the most consequential system ever built. The resolution the framework itself supplies is the </w:t>
      </w:r>
      <w:r>
        <w:rPr>
          <w:b/>
          <w:bCs/>
        </w:rPr>
        <w:t xml:space="preserve">gateway</w:t>
      </w:r>
      <w:r>
        <w:t xml:space="preserve">: Section 10 observes that in space, permission attaches to launches and spectrum rather than to the complex. That is where governance holds real leverage — launch licensing, export control, and pre-closure financing are enforceable because the complex still needs them. The leverage variable is dependency, but it is not proportional to (1 − κ): this paper has already established that scalar closure is invalid, and a single low-mass imported item can be a minimum cut set conferring disproportionate leverage. The governing quantity is G_dependency = f(criticality, substitutability, stockpile, supplier concentration, enforceability) — what matters is whether withholding an input collapses the network, not how much of it is imported. The vitamin parts of Section 5 — the last few percent that resist local production — are therefore also the last governance handle.</w:t>
      </w:r>
    </w:p>
    <w:p>
      <w:pPr>
        <w:spacing w:after="160" w:line="276"/>
      </w:pPr>
      <w:r>
        <w:t xml:space="preserve">This yields the section's sharpest conclusion, stated with the precision it requires: </w:t>
      </w:r>
      <w:r>
        <w:rPr>
          <w:b/>
          <w:bCs/>
        </w:rPr>
        <w:t xml:space="preserve">material-dependency governance has a declining window as closure rises, so governance must transition from external leverage to embedded technical, institutional, and inter-actor control.</w:t>
      </w:r>
      <w:r>
        <w:t xml:space="preserve"> Throttle authority, verification requirements, and replication limits are cheapest to embed as licensing conditions during the bridge period, while material dependency persists. Closure does not, however, end governance: leverage also runs through communications infrastructure, software and cryptographic authority, personnel and citizenship, corporate ownership, insurance and liability, treaty relations, orbital traffic control, trade with Earth, and relations with other off-world actors. Conversely, low closure guarantees nothing if states lack information, coordination, jurisdiction, or will. The urgency of governance design therefore follows from the thesis's own success condition rather than from moral preference: the material handle is the one that closes.</w:t>
      </w:r>
    </w:p>
    <w:p>
      <w:pPr>
        <w:spacing w:after="160" w:line="276"/>
      </w:pPr>
      <w:r>
        <w:t xml:space="preserve">A serious control architecture — beyond this document's scope but within its obligation to specify — must include: hardware roots of authority; multi-party authorization for replication steps; rate limits; compartmentalization and fault-containment zones; secure update and rollback channels; explicit cyberattack and insider-risk models; independent verification capacity; the incentive structures of operators and governments; jurisdiction and liability; and failure recovery when communication with Earth is unavailable. These are named requirements, not solved problems. This document elevates them; it does not design them.</w:t>
      </w:r>
    </w:p>
    <w:tbl>
      <w:tblPr>
        <w:tblW w:type="dxa" w:w="9360"/>
        <w:tblBorders>
          <w:top w:val="single" w:color="C9C9C9" w:sz="2"/>
          <w:left w:val="single" w:color="B0592A" w:sz="24"/>
          <w:bottom w:val="single" w:color="C9C9C9" w:sz="2"/>
          <w:right w:val="single" w:color="C9C9C9" w:sz="2"/>
          <w:insideH w:val="none"/>
          <w:insideV w:val="none"/>
        </w:tblBorders>
      </w:tblPr>
      <w:tblGrid>
        <w:gridCol w:w="9360"/>
      </w:tblGrid>
      <w:tr>
        <w:tc>
          <w:tcPr>
            <w:tcW w:type="dxa" w:w="9360"/>
            <w:shd w:fill="F5F4F1" w:val="clear"/>
            <w:tcMar>
              <w:top w:type="dxa" w:w="140"/>
              <w:left w:type="dxa" w:w="200"/>
              <w:bottom w:type="dxa" w:w="100"/>
              <w:right w:type="dxa" w:w="200"/>
            </w:tcMar>
          </w:tcPr>
          <w:p>
            <w:pPr>
              <w:spacing w:after="80"/>
            </w:pPr>
            <w:r>
              <w:rPr>
                <w:b/>
                <w:bCs/>
                <w:color w:val="1F3352"/>
                <w:sz w:val="22"/>
                <w:szCs w:val="22"/>
              </w:rPr>
              <w:t xml:space="preserve">Design principle</w:t>
            </w:r>
          </w:p>
          <w:p>
            <w:pPr>
              <w:spacing w:after="40"/>
            </w:pPr>
            <w:r>
              <w:t xml:space="preserve">Replication authority should be the most verified and least autonomous function in the system — deliberately positioned against the efficiency gradient. Because every economic incentive pushes the other way, this property must be designed in at the seed stage; it cannot be retrofitted onto a mature complex.</w:t>
            </w:r>
          </w:p>
        </w:tc>
      </w:tr>
    </w:tbl>
    <w:p>
      <w:pPr>
        <w:spacing w:after="160"/>
      </w:pPr>
    </w:p>
    <w:p>
      <w:pPr>
        <w:pStyle w:val="Heading1"/>
      </w:pPr>
      <w:r>
        <w:t xml:space="preserve">12. Development Path to a Self-Expanding Complex</w:t>
      </w:r>
    </w:p>
    <w:p>
      <w:pPr>
        <w:spacing w:after="60" w:before="120"/>
      </w:pPr>
      <w:r>
        <w:rPr>
          <w:b/>
          <w:bCs/>
          <w:color w:val="1F3352"/>
        </w:rPr>
        <w:t xml:space="preserve">Stage 1 — Earth-dependent space operations</w:t>
      </w:r>
    </w:p>
    <w:p>
      <w:pPr>
        <w:spacing w:after="160" w:line="276"/>
      </w:pPr>
      <w:r>
        <w:t xml:space="preserve">Earth supplies vehicles, energy systems, consumables, spares, electronics, and nearly all machinery. Space assets perform narrow missions.</w:t>
      </w:r>
    </w:p>
    <w:p>
      <w:pPr>
        <w:spacing w:after="60" w:before="120"/>
      </w:pPr>
      <w:r>
        <w:rPr>
          <w:b/>
          <w:bCs/>
          <w:color w:val="1F3352"/>
        </w:rPr>
        <w:t xml:space="preserve">Stage 2 — Local resource supplementation</w:t>
      </w:r>
    </w:p>
    <w:p>
      <w:pPr>
        <w:spacing w:after="160" w:line="276"/>
      </w:pPr>
      <w:r>
        <w:t xml:space="preserve">Local water, oxygen, shielding, construction feedstock, and selected propellant inputs reduce imported mass.</w:t>
      </w:r>
    </w:p>
    <w:p>
      <w:pPr>
        <w:spacing w:after="60" w:before="120"/>
      </w:pPr>
      <w:r>
        <w:rPr>
          <w:b/>
          <w:bCs/>
          <w:color w:val="1F3352"/>
        </w:rPr>
        <w:t xml:space="preserve">Stage 3 — Heavy-industry closure</w:t>
      </w:r>
    </w:p>
    <w:p>
      <w:pPr>
        <w:spacing w:after="160" w:line="276"/>
      </w:pPr>
      <w:r>
        <w:t xml:space="preserve">The network produces bulk metals, glass, ceramics, structural parts, tanks, simple mechanisms, roads, pads, and large power structures.</w:t>
      </w:r>
    </w:p>
    <w:p>
      <w:pPr>
        <w:spacing w:after="60" w:before="120"/>
      </w:pPr>
      <w:r>
        <w:rPr>
          <w:b/>
          <w:bCs/>
          <w:color w:val="1F3352"/>
        </w:rPr>
        <w:t xml:space="preserve">Stage 4 — Advanced manufacturing closure</w:t>
      </w:r>
    </w:p>
    <w:p>
      <w:pPr>
        <w:spacing w:after="160" w:line="276"/>
      </w:pPr>
      <w:r>
        <w:t xml:space="preserve">The network produces motors, actuators, sensors, precision tools, robots, spacecraft subsystems, computers, and factory machinery. Terafab is best read as a terrestrial rehearsal of this stage: practicing advanced-manufacturing closure on Earth, with robot labor, before any of it can be exported.</w:t>
      </w:r>
    </w:p>
    <w:p>
      <w:pPr>
        <w:spacing w:after="60" w:before="120"/>
      </w:pPr>
      <w:r>
        <w:rPr>
          <w:b/>
          <w:bCs/>
          <w:color w:val="1F3352"/>
        </w:rPr>
        <w:t xml:space="preserve">Stage 5 — Self-sustenance</w:t>
      </w:r>
    </w:p>
    <w:p>
      <w:pPr>
        <w:spacing w:after="160" w:line="276"/>
      </w:pPr>
      <w:r>
        <w:t xml:space="preserve">Internal production replaces depreciation and failure across all mission-critical categories. Earth supply becomes optional rather than essential.</w:t>
      </w:r>
    </w:p>
    <w:p>
      <w:pPr>
        <w:spacing w:after="60" w:before="120"/>
      </w:pPr>
      <w:r>
        <w:rPr>
          <w:b/>
          <w:bCs/>
          <w:color w:val="1F3352"/>
        </w:rPr>
        <w:t xml:space="preserve">Stage 6 — Self-expansion</w:t>
      </w:r>
    </w:p>
    <w:p>
      <w:pPr>
        <w:spacing w:after="160" w:line="276"/>
      </w:pPr>
      <w:r>
        <w:t xml:space="preserve">Net productive capacity grows: the system builds more mines, refineries, factories, power systems, robots, transports, and compute than replacement requires.</w:t>
      </w:r>
    </w:p>
    <w:p>
      <w:pPr>
        <w:spacing w:after="60" w:before="120"/>
      </w:pPr>
      <w:r>
        <w:rPr>
          <w:b/>
          <w:bCs/>
          <w:color w:val="1F3352"/>
        </w:rPr>
        <w:t xml:space="preserve">Stage 7 — Intelligence-industry recursion</w:t>
      </w:r>
    </w:p>
    <w:p>
      <w:pPr>
        <w:spacing w:after="160" w:line="276"/>
      </w:pPr>
      <w:r>
        <w:t xml:space="preserve">Additional compute improves intelligence; improved intelligence raises industrial replication efficiency; higher industrial output creates still more compute.</w:t>
      </w:r>
    </w:p>
    <w:p>
      <w:pPr>
        <w:shd w:fill="F5F4F1" w:val="clear"/>
        <w:spacing w:after="160" w:before="120"/>
        <w:jc w:val="center"/>
      </w:pPr>
      <w:r>
        <w:rPr>
          <w:i/>
          <w:iCs/>
          <w:sz w:val="22"/>
          <w:szCs w:val="22"/>
        </w:rPr>
        <w:t xml:space="preserve">I increases → replication efficiency increases → infrastructure increases → compute increases → I increases</w:t>
      </w:r>
    </w:p>
    <w:p>
      <w:pPr>
        <w:spacing w:after="160" w:line="276"/>
      </w:pPr>
      <w:r>
        <w:t xml:space="preserve">The bridge economy of Section 9 maps onto this ladder: terrestrial products carry Stages 1–3, launch and connectivity carry Stages 2–4, orbital compute plausibly carries Stages 4–5, and in-space industrial services carry Stages 5–6.</w:t>
      </w:r>
    </w:p>
    <w:p>
      <w:pPr>
        <w:pStyle w:val="Heading1"/>
      </w:pPr>
      <w:r>
        <w:t xml:space="preserve">13. Binding Bottlenecks and Failure Modes</w:t>
      </w:r>
    </w:p>
    <w:p>
      <w:pPr>
        <w:spacing w:after="160" w:line="276"/>
      </w:pPr>
      <w:r>
        <w:t xml:space="preserve">A complete theory must identify the conditions under which the recursive loop fails. Treating every constraint as “solved by intelligence plus time” hides the dependencies that determine whether the seed survives long enough to close the loop.</w:t>
      </w:r>
    </w:p>
    <w:p>
      <w:pPr>
        <w:spacing w:after="160" w:line="276"/>
      </w:pPr>
      <w:r>
        <w:rPr>
          <w:b/>
          <w:bCs/>
        </w:rPr>
        <w:t xml:space="preserve">Lithography and fabrication equipment.</w:t>
      </w:r>
      <w:r>
        <w:t xml:space="preserve"> Even if Terafab succeeds, extreme-ultraviolet lithography, advanced metrology, and ultra-pure feedstocks remain external, concentrated in a handful of suppliers. This replaces the first edition's broader “semiconductor closure” entry: the named residual chokepoint is the equipment layer, not the foundry layer.</w:t>
      </w:r>
    </w:p>
    <w:p>
      <w:pPr>
        <w:spacing w:after="160" w:line="276"/>
      </w:pPr>
      <w:r>
        <w:rPr>
          <w:b/>
          <w:bCs/>
        </w:rPr>
        <w:t xml:space="preserve">Reliability and repair.</w:t>
      </w:r>
      <w:r>
        <w:t xml:space="preserve"> A small number of irreplaceable failures can collapse a high-automation system. Mean time to repair and spare-part closure may matter more than nominal robot capability; see the clock-setting condition of Section 4.</w:t>
      </w:r>
    </w:p>
    <w:p>
      <w:pPr>
        <w:spacing w:after="160" w:line="276"/>
      </w:pPr>
      <w:r>
        <w:rPr>
          <w:b/>
          <w:bCs/>
        </w:rPr>
        <w:t xml:space="preserve">Thermal management.</w:t>
      </w:r>
      <w:r>
        <w:t xml:space="preserve"> Large-scale compute and industry must reject waste heat. Space offers vacuum, not passive cooling; radiators require area, mass, orientation, and maintenance.</w:t>
      </w:r>
    </w:p>
    <w:p>
      <w:pPr>
        <w:spacing w:after="160" w:line="276"/>
      </w:pPr>
      <w:r>
        <w:rPr>
          <w:b/>
          <w:bCs/>
        </w:rPr>
        <w:t xml:space="preserve">Energy storage and continuity.</w:t>
      </w:r>
      <w:r>
        <w:t xml:space="preserve"> Solar abundance does not guarantee continuous usable power. Eclipses, dust, distance, storage degradation, and transmission constrain operations.</w:t>
      </w:r>
    </w:p>
    <w:p>
      <w:pPr>
        <w:spacing w:after="160" w:line="276"/>
      </w:pPr>
      <w:r>
        <w:rPr>
          <w:b/>
          <w:bCs/>
        </w:rPr>
        <w:t xml:space="preserve">Resource quality and processing.</w:t>
      </w:r>
      <w:r>
        <w:t xml:space="preserve"> Matter may be abundant while useful ore grades, volatiles, high-purity feedstocks, or economical processing routes remain limited.</w:t>
      </w:r>
    </w:p>
    <w:p>
      <w:pPr>
        <w:spacing w:after="160" w:line="276"/>
      </w:pPr>
      <w:r>
        <w:rPr>
          <w:b/>
          <w:bCs/>
        </w:rPr>
        <w:t xml:space="preserve">Verification and control.</w:t>
      </w:r>
      <w:r>
        <w:t xml:space="preserve"> Faster autonomous iteration can amplify errors; verification must scale with expansion (Section 11).</w:t>
      </w:r>
    </w:p>
    <w:p>
      <w:pPr>
        <w:spacing w:after="160" w:line="276"/>
      </w:pPr>
      <w:r>
        <w:rPr>
          <w:b/>
          <w:bCs/>
        </w:rPr>
        <w:t xml:space="preserve">Political and legal environment.</w:t>
      </w:r>
      <w:r>
        <w:t xml:space="preserve"> Outer-space governance, property rights, launch authorization, spectrum, planetary protection, liability, and geopolitical conflict can affect deployment even if local operations are autonomous.</w:t>
      </w:r>
    </w:p>
    <w:p>
      <w:pPr>
        <w:spacing w:after="160" w:line="276"/>
      </w:pPr>
      <w:r>
        <w:rPr>
          <w:b/>
          <w:bCs/>
        </w:rPr>
        <w:t xml:space="preserve">Economic survival of the transition.</w:t>
      </w:r>
      <w:r>
        <w:t xml:space="preserve"> Before closure, intermediate outputs must carry the financing staircase of Section 9.</w:t>
      </w:r>
    </w:p>
    <w:p>
      <w:pPr>
        <w:spacing w:after="160" w:line="276"/>
      </w:pPr>
      <w:r>
        <w:rPr>
          <w:b/>
          <w:bCs/>
        </w:rPr>
        <w:t xml:space="preserve">Concentrated coordination.</w:t>
      </w:r>
      <w:r>
        <w:t xml:space="preserve"> The integration advantage depends on unusually concentrated decision authority across several companies. That concentration is a fragility as well as a strength: key-person risk, divided attention, and governance disputes are single points of failure that a distributed competitor does not have.</w:t>
      </w:r>
    </w:p>
    <w:p>
      <w:pPr>
        <w:spacing w:after="160" w:line="276"/>
      </w:pPr>
      <w:r>
        <w:rPr>
          <w:b/>
          <w:bCs/>
        </w:rPr>
        <w:t xml:space="preserve">Paradigm-shift stranding.</w:t>
      </w:r>
      <w:r>
        <w:t xml:space="preserve"> A new computing paradigm (analog, photonic, thermodynamic) could strand capital anchored to the current one. The exposure is concentrated, not general: energy, labour, transport, and materials are less paradigm-sensitive and substantially reusable, and the chip fleet largely self-insures through its own three-to-six-year depreciation cycle. The risk lives in the fabrication plant on ten-to-twenty-year horizons — the layer where an incumbent's sunk process capital can let a greenfield rival leapfrog it, the pattern Veblen called the penalty of taking the lead. Section 16 treats the timing dynamics and the partial hedge.</w:t>
      </w:r>
    </w:p>
    <w:p>
      <w:pPr>
        <w:pStyle w:val="Heading1"/>
      </w:pPr>
      <w:r>
        <w:t xml:space="preserve">14. Falsifiable Indicators</w:t>
      </w:r>
    </w:p>
    <w:p>
      <w:pPr>
        <w:spacing w:after="160" w:line="276"/>
      </w:pPr>
      <w:r>
        <w:t xml:space="preserve">The hypothesis strengthens if observable programs converge on the following milestones. Status notes mark changes since the first edition.</w:t>
      </w:r>
    </w:p>
    <w:p>
      <w:pPr>
        <w:pStyle w:val="ListParagraph"/>
        <w:numPr>
          <w:ilvl w:val="0"/>
          <w:numId w:val="2"/>
        </w:numPr>
        <w:spacing w:after="100" w:line="276"/>
      </w:pPr>
      <w:r>
        <w:t xml:space="preserve">A published bill of materials for a minimally viable industrial seed and a quantified closure roadmap.</w:t>
      </w:r>
    </w:p>
    <w:p>
      <w:pPr>
        <w:pStyle w:val="ListParagraph"/>
        <w:numPr>
          <w:ilvl w:val="0"/>
          <w:numId w:val="2"/>
        </w:numPr>
        <w:spacing w:after="100" w:line="276"/>
      </w:pPr>
      <w:r>
        <w:t xml:space="preserve">Robots performing unscripted maintenance, construction, mining, and machine tending for long periods with limited human intervention.</w:t>
      </w:r>
    </w:p>
    <w:p>
      <w:pPr>
        <w:pStyle w:val="ListParagraph"/>
        <w:numPr>
          <w:ilvl w:val="0"/>
          <w:numId w:val="2"/>
        </w:numPr>
        <w:spacing w:after="100" w:line="276"/>
      </w:pPr>
      <w:r>
        <w:t xml:space="preserve">Local production of propellant, structural materials, and replacement parts at operational rather than laboratory scale.</w:t>
      </w:r>
    </w:p>
    <w:p>
      <w:pPr>
        <w:pStyle w:val="ListParagraph"/>
        <w:numPr>
          <w:ilvl w:val="0"/>
          <w:numId w:val="2"/>
        </w:numPr>
        <w:spacing w:after="100" w:line="276"/>
      </w:pPr>
      <w:r>
        <w:t xml:space="preserve">Factories using locally processed feedstock to manufacture additional energy, extraction, and production equipment.</w:t>
      </w:r>
    </w:p>
    <w:p>
      <w:pPr>
        <w:pStyle w:val="ListParagraph"/>
        <w:numPr>
          <w:ilvl w:val="0"/>
          <w:numId w:val="2"/>
        </w:numPr>
        <w:spacing w:after="100" w:line="276"/>
      </w:pPr>
      <w:r>
        <w:t xml:space="preserve">A measurable decline in imported mass per unit of local productive capacity.</w:t>
      </w:r>
    </w:p>
    <w:p>
      <w:pPr>
        <w:pStyle w:val="ListParagraph"/>
        <w:numPr>
          <w:ilvl w:val="0"/>
          <w:numId w:val="2"/>
        </w:numPr>
        <w:spacing w:after="100" w:line="276"/>
      </w:pPr>
      <w:r>
        <w:t xml:space="preserve">Space-manufactured compute or the production equipment required to make it. </w:t>
      </w:r>
      <w:r>
        <w:rPr>
          <w:i/>
          <w:iCs/>
        </w:rPr>
        <w:t xml:space="preserve">Status: a terrestrial precursor is now announced (Terafab, with an orbital chip line) but nothing is demonstrated.</w:t>
      </w:r>
    </w:p>
    <w:p>
      <w:pPr>
        <w:pStyle w:val="ListParagraph"/>
        <w:numPr>
          <w:ilvl w:val="0"/>
          <w:numId w:val="2"/>
        </w:numPr>
        <w:spacing w:after="100" w:line="276"/>
      </w:pPr>
      <w:r>
        <w:t xml:space="preserve">Net positive industrial replication after depreciation — P greater than D — across critical categories, with published estimates of both r and δ.</w:t>
      </w:r>
    </w:p>
    <w:p>
      <w:pPr>
        <w:pStyle w:val="ListParagraph"/>
        <w:numPr>
          <w:ilvl w:val="0"/>
          <w:numId w:val="2"/>
        </w:numPr>
        <w:spacing w:after="100" w:line="276"/>
      </w:pPr>
      <w:r>
        <w:rPr>
          <w:i/>
          <w:iCs/>
        </w:rPr>
        <w:t xml:space="preserve">Added:</w:t>
      </w:r>
      <w:r>
        <w:t xml:space="preserve"> a first Terafab research-fab wafer with disclosed yield; visible equipment order flow; radiation-qualified orbital silicon; revenue from orbital compute services; and any published robot reproduction ratio.</w:t>
      </w:r>
    </w:p>
    <w:p>
      <w:pPr>
        <w:pStyle w:val="ListParagraph"/>
        <w:numPr>
          <w:ilvl w:val="0"/>
          <w:numId w:val="2"/>
        </w:numPr>
        <w:spacing w:after="100" w:line="276"/>
      </w:pPr>
      <w:r>
        <w:rPr>
          <w:i/>
          <w:iCs/>
        </w:rPr>
        <w:t xml:space="preserve">Added in revision 2.1:</w:t>
      </w:r>
      <w:r>
        <w:t xml:space="preserve"> open-weight models demonstrating sustained autonomous improvement-loop capability — an indicator that model advantage is commoditizing and that the binding contest has shifted to hardware (Section 10).</w:t>
      </w:r>
    </w:p>
    <w:p>
      <w:pPr>
        <w:pStyle w:val="ListParagraph"/>
        <w:numPr>
          <w:ilvl w:val="0"/>
          <w:numId w:val="2"/>
        </w:numPr>
        <w:spacing w:after="100" w:line="276"/>
      </w:pPr>
      <w:r>
        <w:rPr>
          <w:i/>
          <w:iCs/>
        </w:rPr>
        <w:t xml:space="preserve">Added in revision 2.4:</w:t>
      </w:r>
      <w:r>
        <w:t xml:space="preserve"> fleet- and factory-holding actors demonstrably outperforming open models on domain engineering tasks (propulsion, materials, manufacturing) attributable to proprietary process data — and, conversely, the thesis weakens if open models match them from public and simulated data alone, which would show κ_D does not bind.</w:t>
      </w:r>
    </w:p>
    <w:p>
      <w:pPr>
        <w:pStyle w:val="ListParagraph"/>
        <w:numPr>
          <w:ilvl w:val="0"/>
          <w:numId w:val="2"/>
        </w:numPr>
        <w:spacing w:after="100" w:line="276"/>
      </w:pPr>
      <w:r>
        <w:rPr>
          <w:i/>
          <w:iCs/>
        </w:rPr>
        <w:t xml:space="preserve">Added in revision 2.5, refined in 2.9:</w:t>
      </w:r>
      <w:r>
        <w:t xml:space="preserve"> public evidence of a controlled technical-data training environment — disclosed access restrictions, compliance architecture, or a specialised internal deployment for export-controlled engineering data. (An internal restricted model may be deliberately unpublicised, so its non-observation would falsify nothing; the observable is the compliance apparatus, not the model.)</w:t>
      </w:r>
    </w:p>
    <w:p>
      <w:pPr>
        <w:pStyle w:val="ListParagraph"/>
        <w:numPr>
          <w:ilvl w:val="0"/>
          <w:numId w:val="2"/>
        </w:numPr>
        <w:spacing w:after="100" w:line="276"/>
      </w:pPr>
      <w:r>
        <w:rPr>
          <w:i/>
          <w:iCs/>
        </w:rPr>
        <w:t xml:space="preserve">Added in revision 2.6:</w:t>
      </w:r>
      <w:r>
        <w:t xml:space="preserve"> threshold values that would move the parameters of Appendix A: a demonstrated ISRU plant exceeding ~50% full-system materials closure (κ from aspirational to credible); audited robot production figures replacing company targets (r for robotics from projection to data); an independent satellite-failure audit diverging materially from the observed ~2.5–3% (δ revision).</w:t>
      </w:r>
    </w:p>
    <w:p>
      <w:pPr>
        <w:pStyle w:val="ListParagraph"/>
        <w:numPr>
          <w:ilvl w:val="0"/>
          <w:numId w:val="2"/>
        </w:numPr>
        <w:spacing w:after="100" w:line="276"/>
      </w:pPr>
      <w:r>
        <w:rPr>
          <w:i/>
          <w:iCs/>
        </w:rPr>
        <w:t xml:space="preserve">Added in revision 2.7:</w:t>
      </w:r>
      <w:r>
        <w:t xml:space="preserve"> a sustained, measured decline in the cost per verified improvement loop — the quantity that determines whether compounding efficiency can outrun diminishing returns (Section 16) — and, on the governance side, replication-relevant conditions actually appearing in launch licenses or export-control terms while (1 − κ) leverage still exists (Section 11).</w:t>
      </w:r>
    </w:p>
    <w:p>
      <w:pPr>
        <w:pStyle w:val="ListParagraph"/>
        <w:numPr>
          <w:ilvl w:val="0"/>
          <w:numId w:val="2"/>
        </w:numPr>
        <w:spacing w:after="100" w:line="276"/>
      </w:pPr>
      <w:r>
        <w:rPr>
          <w:i/>
          <w:iCs/>
        </w:rPr>
        <w:t xml:space="preserve">Added in revision 2.8:</w:t>
      </w:r>
      <w:r>
        <w:t xml:space="preserve"> indicators are now weighted by likelihood ratio against competing explanations (Section 7). Highest-weight additions: a dedicated cross-company closure program with published metrics; production equipment explicitly designed for extraterrestrial reproduction; and, for Terafab specifically, executed definitive agreements with committed capital — the event that would upgrade its status from framework to program.</w:t>
      </w:r>
    </w:p>
    <w:p>
      <w:pPr>
        <w:spacing w:after="160" w:line="276"/>
      </w:pPr>
      <w:r>
        <w:t xml:space="preserve">The thesis weakens if humanoid robotics remains economically narrow, if advanced manufacturing cannot be localized, if space transportation costs stop declining, if closure requires a permanently growing Earth supply chain, if verification and maintenance costs rise faster than productive capacity — or, </w:t>
      </w:r>
      <w:r>
        <w:rPr>
          <w:i/>
          <w:iCs/>
        </w:rPr>
        <w:t xml:space="preserve">added in this edition</w:t>
      </w:r>
      <w:r>
        <w:t xml:space="preserve">, if Terafab devolves into a design-and-packaging operation dependent on external front-end fabrication, which would reopen the fabrication term entirely.</w:t>
      </w:r>
    </w:p>
    <w:p>
      <w:pPr>
        <w:pStyle w:val="Heading1"/>
      </w:pPr>
      <w:r>
        <w:t xml:space="preserve">15. Refined Complete Thesis</w:t>
      </w:r>
    </w:p>
    <w:p>
      <w:pPr>
        <w:spacing w:after="160" w:line="276"/>
      </w:pPr>
      <w:r>
        <w:t xml:space="preserve">The most coherent end-state remains a recursively self-expanding space industrial ecology. Reusable rockets transport an initial seed. AI supplies scientific, engineering, and coordinating intelligence. Robots provide scalable physical labor. Local energy systems supply power. Mining and refining convert extraterrestrial matter into industrial feedstocks. Automated factories produce structures, machines, robots, transport vehicles, energy systems — and, through a fabrication capability now being rehearsed on Earth, eventually compute. Communications integrate specialized nodes into one economic and operational network.</w:t>
      </w:r>
    </w:p>
    <w:p>
      <w:pPr>
        <w:spacing w:after="160" w:line="276"/>
      </w:pPr>
      <w:r>
        <w:t xml:space="preserve">The network first reduces Earth dependence, then reaches self-sustenance, and finally produces net additional productive capacity. At high closure, requirements such as station-keeping, collision management, maintenance, transport, and coordination remain real, but they are satisfied by industries inside the system rather than purchased as externally scarce services.</w:t>
      </w:r>
    </w:p>
    <w:p>
      <w:pPr>
        <w:shd w:fill="F5F4F1" w:val="clear"/>
        <w:spacing w:after="160" w:before="120"/>
        <w:jc w:val="center"/>
      </w:pPr>
      <w:r>
        <w:rPr>
          <w:i/>
          <w:iCs/>
          <w:sz w:val="22"/>
          <w:szCs w:val="22"/>
        </w:rPr>
        <w:t xml:space="preserve">Matter + energy + intelligence + time → expanding productive capacity</w:t>
      </w:r>
    </w:p>
    <w:p>
      <w:pPr>
        <w:spacing w:after="160" w:line="276"/>
      </w:pPr>
      <w:r>
        <w:t xml:space="preserve">In this model, recursive self-improvement is no longer limited to software. Intelligence improves the machinery and institutions that create intelligence; the industrial substrate returns more energy, compute, data, experimentation, and physical agency to the intelligence layer. The result is a coupled intelligence-industry recursion.</w:t>
      </w:r>
    </w:p>
    <w:p>
      <w:pPr>
        <w:shd w:fill="F5F4F1" w:val="clear"/>
        <w:spacing w:after="160" w:before="120"/>
        <w:jc w:val="center"/>
      </w:pPr>
      <w:r>
        <w:rPr>
          <w:i/>
          <w:iCs/>
          <w:sz w:val="22"/>
          <w:szCs w:val="22"/>
        </w:rPr>
        <w:t xml:space="preserve">The ultimate product is an industrial system capable of producing more of itself.</w:t>
      </w:r>
    </w:p>
    <w:tbl>
      <w:tblPr>
        <w:tblW w:type="dxa" w:w="9360"/>
        <w:tblBorders>
          <w:top w:val="single" w:color="C9C9C9" w:sz="2"/>
          <w:left w:val="single" w:color="B0592A" w:sz="24"/>
          <w:bottom w:val="single" w:color="C9C9C9" w:sz="2"/>
          <w:right w:val="single" w:color="C9C9C9" w:sz="2"/>
          <w:insideH w:val="none"/>
          <w:insideV w:val="none"/>
        </w:tblBorders>
      </w:tblPr>
      <w:tblGrid>
        <w:gridCol w:w="9360"/>
      </w:tblGrid>
      <w:tr>
        <w:tc>
          <w:tcPr>
            <w:tcW w:type="dxa" w:w="9360"/>
            <w:shd w:fill="F5F4F1" w:val="clear"/>
            <w:tcMar>
              <w:top w:type="dxa" w:w="140"/>
              <w:left w:type="dxa" w:w="200"/>
              <w:bottom w:type="dxa" w:w="100"/>
              <w:right w:type="dxa" w:w="200"/>
            </w:tcMar>
          </w:tcPr>
          <w:p>
            <w:pPr>
              <w:spacing w:after="80"/>
            </w:pPr>
            <w:r>
              <w:rPr>
                <w:b/>
                <w:bCs/>
                <w:color w:val="1F3352"/>
                <w:sz w:val="22"/>
                <w:szCs w:val="22"/>
              </w:rPr>
              <w:t xml:space="preserve">Most precise formulation</w:t>
            </w:r>
          </w:p>
          <w:p>
            <w:pPr>
              <w:spacing w:after="40"/>
            </w:pPr>
            <w:r>
              <w:t xml:space="preserve">Recent integration across reusable launch, communications, AI, energy, robotics, and semiconductor manufacturing increases the plausibility that a Musk-associated corporate ecosystem could pursue elements of a future space-industrial network. A genuinely self-expanding network would nevertheless require unproven thresholds in autonomous maintenance, multisector industrial closure, logistics, thermal management, precision manufacturing, and governance. Current evidence supports capability accumulation and vertical integration; it does not yet establish positive off-world industrial reproduction, an economic crossover with terrestrial production, or a unified strategy aimed at that end state.</w:t>
            </w:r>
          </w:p>
        </w:tc>
      </w:tr>
    </w:tbl>
    <w:p>
      <w:pPr>
        <w:spacing w:after="160"/>
      </w:pPr>
    </w:p>
    <w:p>
      <w:pPr>
        <w:pStyle w:val="Heading2"/>
      </w:pPr>
      <w:r>
        <w:t xml:space="preserve">What the thesis does not claim</w:t>
      </w:r>
    </w:p>
    <w:p>
      <w:pPr>
        <w:pStyle w:val="ListParagraph"/>
        <w:numPr>
          <w:ilvl w:val="0"/>
          <w:numId w:val="2"/>
        </w:numPr>
        <w:spacing w:after="100" w:line="276"/>
      </w:pPr>
      <w:r>
        <w:t xml:space="preserve">It does not establish that a single confidential master plan exists.</w:t>
      </w:r>
    </w:p>
    <w:p>
      <w:pPr>
        <w:pStyle w:val="ListParagraph"/>
        <w:numPr>
          <w:ilvl w:val="0"/>
          <w:numId w:val="2"/>
        </w:numPr>
        <w:spacing w:after="100" w:line="276"/>
      </w:pPr>
      <w:r>
        <w:t xml:space="preserve">It does not imply that energy, matter, infrastructure, or coordination become literally free.</w:t>
      </w:r>
    </w:p>
    <w:p>
      <w:pPr>
        <w:pStyle w:val="ListParagraph"/>
        <w:numPr>
          <w:ilvl w:val="0"/>
          <w:numId w:val="2"/>
        </w:numPr>
        <w:spacing w:after="100" w:line="276"/>
      </w:pPr>
      <w:r>
        <w:t xml:space="preserve">It does not assume that intelligence automatically solves semiconductor fabrication, reliability, governance, or safety.</w:t>
      </w:r>
    </w:p>
    <w:p>
      <w:pPr>
        <w:pStyle w:val="ListParagraph"/>
        <w:numPr>
          <w:ilvl w:val="0"/>
          <w:numId w:val="2"/>
        </w:numPr>
        <w:spacing w:after="100" w:line="276"/>
      </w:pPr>
      <w:r>
        <w:t xml:space="preserve">It does not require every industrial node to be self-contained; closure can exist at the network level.</w:t>
      </w:r>
    </w:p>
    <w:p>
      <w:pPr>
        <w:pStyle w:val="ListParagraph"/>
        <w:numPr>
          <w:ilvl w:val="0"/>
          <w:numId w:val="2"/>
        </w:numPr>
        <w:spacing w:after="100" w:line="276"/>
      </w:pPr>
      <w:r>
        <w:t xml:space="preserve">It does not require uninterrupted exponential growth; the system can progress through successive bottleneck-limited regimes.</w:t>
      </w:r>
    </w:p>
    <w:p>
      <w:pPr>
        <w:pStyle w:val="ListParagraph"/>
        <w:numPr>
          <w:ilvl w:val="0"/>
          <w:numId w:val="2"/>
        </w:numPr>
        <w:spacing w:after="100" w:line="276"/>
      </w:pPr>
      <w:r>
        <w:rPr>
          <w:i/>
          <w:iCs/>
        </w:rPr>
        <w:t xml:space="preserve">Added:</w:t>
      </w:r>
      <w:r>
        <w:t xml:space="preserve"> it does not claim Terafab will reach viable yields; the venture is treated as an attempt, and its failure modes are listed alongside its promise.</w:t>
      </w:r>
    </w:p>
    <w:p>
      <w:pPr>
        <w:pStyle w:val="ListParagraph"/>
        <w:numPr>
          <w:ilvl w:val="0"/>
          <w:numId w:val="2"/>
        </w:numPr>
        <w:spacing w:after="100" w:line="276"/>
      </w:pPr>
      <w:r>
        <w:rPr>
          <w:i/>
          <w:iCs/>
        </w:rPr>
        <w:t xml:space="preserve">Added:</w:t>
      </w:r>
      <w:r>
        <w:t xml:space="preserve"> it does not claim a slow takeoff is certain — only that the thesis is conditional on one.</w:t>
      </w:r>
    </w:p>
    <w:p>
      <w:pPr>
        <w:pStyle w:val="Heading2"/>
      </w:pPr>
      <w:r>
        <w:t xml:space="preserve">Compact model</w:t>
      </w:r>
    </w:p>
    <w:p>
      <w:pPr>
        <w:shd w:fill="F5F4F1" w:val="clear"/>
        <w:spacing w:after="160" w:before="120"/>
        <w:jc w:val="center"/>
      </w:pPr>
      <w:r>
        <w:rPr>
          <w:i/>
          <w:iCs/>
          <w:sz w:val="22"/>
          <w:szCs w:val="22"/>
        </w:rPr>
        <w:t xml:space="preserve">I(t+1) = I(t) + f(C(t), D(t), V(t), H(t))</w:t>
      </w:r>
    </w:p>
    <w:p>
      <w:pPr>
        <w:shd w:fill="F5F4F1" w:val="clear"/>
        <w:spacing w:after="160" w:before="120"/>
        <w:jc w:val="center"/>
      </w:pPr>
      <w:r>
        <w:rPr>
          <w:i/>
          <w:iCs/>
          <w:sz w:val="22"/>
          <w:szCs w:val="22"/>
        </w:rPr>
        <w:t xml:space="preserve">H(t+1) = H(t) + g(I(t), E(t), M(t), R(t)) − δ_env · H(t)</w:t>
      </w:r>
    </w:p>
    <w:p>
      <w:pPr>
        <w:shd w:fill="F5F4F1" w:val="clear"/>
        <w:spacing w:after="160" w:before="120"/>
        <w:jc w:val="center"/>
      </w:pPr>
      <w:r>
        <w:rPr>
          <w:i/>
          <w:iCs/>
          <w:sz w:val="22"/>
          <w:szCs w:val="22"/>
        </w:rPr>
        <w:t xml:space="preserve">C(t+1) = C(t) + h(H(t), E(t), fab(t))</w:t>
      </w:r>
    </w:p>
    <w:p>
      <w:pPr>
        <w:spacing w:after="160" w:line="276"/>
      </w:pPr>
      <w:r>
        <w:t xml:space="preserve">Here I is effective intelligence, H is industrial capacity, C is compute, E is energy, M is processed material, R is robotic labor, D is useful data, V is verification capacity, fab is internal fabrication capacity — currently a declared but unproven term — and δ_env is environment-dependent depreciation, decomposed per Section 4 into wear, catastrophic, obsolescence, and logistics components whose </w:t>
      </w:r>
      <w:r>
        <w:rPr>
          <w:i/>
          <w:iCs/>
        </w:rPr>
        <w:t xml:space="preserve">mix</w:t>
      </w:r>
      <w:r>
        <w:t xml:space="preserve"> differs by environment, rather than a scalar simply higher off Earth. The functions f, g, and h are unspecified placeholders: until the third edition's multisector model gives them operational form, this compact model is a causal diagram, not a predictive tool. The system becomes recursively self-expanding when improvements in I reliably increase H and C, and the resulting increases in H and C reliably increase future I faster than depreciation and failure reduce the system.</w:t>
      </w:r>
    </w:p>
    <w:p>
      <w:pPr>
        <w:pStyle w:val="Heading1"/>
      </w:pPr>
      <w:r>
        <w:t xml:space="preserve">16. Conclusion — and Speculative Terminal Scenarios</w:t>
      </w:r>
    </w:p>
    <w:p>
      <w:pPr>
        <w:spacing w:after="160" w:line="276"/>
      </w:pPr>
      <w:r>
        <w:t xml:space="preserve">The economic argument of this paper compresses to two walls and two escapes. The </w:t>
      </w:r>
      <w:r>
        <w:rPr>
          <w:b/>
          <w:bCs/>
        </w:rPr>
        <w:t xml:space="preserve">capital wall</w:t>
      </w:r>
      <w:r>
        <w:t xml:space="preserve">: expansion purchased through markets runs into scarcity pricing and multi-year supply-elasticity limits as ambitions scale; the escape is self-replication, which re-denominates expansion from dollars into materials, energy, and time. The </w:t>
      </w:r>
      <w:r>
        <w:rPr>
          <w:b/>
          <w:bCs/>
        </w:rPr>
        <w:t xml:space="preserve">operating wall</w:t>
      </w:r>
      <w:r>
        <w:t xml:space="preserve">: on Earth, society-priced costs — land, permits, politics, and ultimately the planet's waste-heat budget — rise with scale and cannot be closed away; the escape is space, where permission attaches to the gateway rather than the complex and radiator area is unbounded in extent.</w:t>
      </w:r>
    </w:p>
    <w:p>
      <w:pPr>
        <w:spacing w:after="160" w:line="276"/>
      </w:pPr>
      <w:r>
        <w:t xml:space="preserve">Both escapes are conditional on the same narrow passage: surviving the bridge, in which the first self-replicating seed is bought at full market price, operated in the environment where depreciation is most severe, and financed by a staircase of intermediate products before any of the favorable economics apply. And if intelligence itself commoditizes at the RSI threshold — as the trajectory of open-weight models suggests it may — then no model moat protects that passage. The contest reduces to hardware doubling time, industrial closure, and the governance capacity to expand without losing control.</w:t>
      </w:r>
    </w:p>
    <w:p>
      <w:pPr>
        <w:shd w:fill="F5F4F1" w:val="clear"/>
        <w:spacing w:after="160" w:before="120"/>
        <w:jc w:val="center"/>
      </w:pPr>
      <w:r>
        <w:rPr>
          <w:i/>
          <w:iCs/>
          <w:sz w:val="22"/>
          <w:szCs w:val="22"/>
        </w:rPr>
        <w:t xml:space="preserve">Two walls: capital and operation · Two escapes: self-replication and space · One passage: the bridge</w:t>
      </w:r>
    </w:p>
    <w:tbl>
      <w:tblPr>
        <w:tblW w:type="dxa" w:w="9360"/>
        <w:tblBorders>
          <w:top w:val="single" w:color="C9C9C9" w:sz="2"/>
          <w:left w:val="single" w:color="B0592A" w:sz="24"/>
          <w:bottom w:val="single" w:color="C9C9C9" w:sz="2"/>
          <w:right w:val="single" w:color="C9C9C9" w:sz="2"/>
          <w:insideH w:val="none"/>
          <w:insideV w:val="none"/>
        </w:tblBorders>
      </w:tblPr>
      <w:tblGrid>
        <w:gridCol w:w="9360"/>
      </w:tblGrid>
      <w:tr>
        <w:tc>
          <w:tcPr>
            <w:tcW w:type="dxa" w:w="9360"/>
            <w:shd w:fill="F5F4F1" w:val="clear"/>
            <w:tcMar>
              <w:top w:type="dxa" w:w="140"/>
              <w:left w:type="dxa" w:w="200"/>
              <w:bottom w:type="dxa" w:w="100"/>
              <w:right w:type="dxa" w:w="200"/>
            </w:tcMar>
          </w:tcPr>
          <w:p>
            <w:pPr>
              <w:spacing w:after="80"/>
            </w:pPr>
            <w:r>
              <w:rPr>
                <w:b/>
                <w:bCs/>
                <w:color w:val="1F3352"/>
                <w:sz w:val="22"/>
                <w:szCs w:val="22"/>
              </w:rPr>
              <w:t xml:space="preserve">Status note for the remainder of this section</w:t>
            </w:r>
          </w:p>
          <w:p>
            <w:pPr>
              <w:spacing w:after="40"/>
            </w:pPr>
            <w:r>
              <w:t xml:space="preserve">What follows is scenario-class analysis: internally consistent extrapolation, not established result. The defensible core conclusion stops here — </w:t>
            </w:r>
            <w:r>
              <w:rPr>
                <w:i/>
                <w:iCs/>
              </w:rPr>
              <w:t xml:space="preserve">if industrial closure becomes sufficiently high and terrestrial expansion costs rise faster than off-world deployment costs, some large-scale industrial and computational activity may migrate off Earth.</w:t>
            </w:r>
            <w:r>
              <w:t xml:space="preserve"> Everything beyond that sentence is a scenario.</w:t>
            </w:r>
          </w:p>
        </w:tc>
      </w:tr>
    </w:tbl>
    <w:p>
      <w:pPr>
        <w:spacing w:after="160"/>
      </w:pPr>
    </w:p>
    <w:p>
      <w:pPr>
        <w:pStyle w:val="Heading2"/>
      </w:pPr>
      <w:r>
        <w:t xml:space="preserve">After convergence: deployment as the terminal regime</w:t>
      </w:r>
    </w:p>
    <w:p>
      <w:pPr>
        <w:spacing w:after="160" w:line="276"/>
      </w:pPr>
      <w:r>
        <w:t xml:space="preserve">The recursion of Section 1 does not run forever. At some point the marginal value of a further improvement in design falls below the marginal value of another deployed node — call this </w:t>
      </w:r>
      <w:r>
        <w:rPr>
          <w:b/>
          <w:bCs/>
        </w:rPr>
        <w:t xml:space="preserve">architectural convergence</w:t>
      </w:r>
      <w:r>
        <w:t xml:space="preserve">. It need not be a perfect or final architecture; it is the point at which discovery stops being the binding activity and deployment becomes it. Past convergence, intelligence behaves as a commodity produced by infrastructure, like electricity:</w:t>
      </w:r>
    </w:p>
    <w:p>
      <w:pPr>
        <w:shd w:fill="F5F4F1" w:val="clear"/>
        <w:spacing w:after="40" w:before="120"/>
        <w:jc w:val="center"/>
      </w:pPr>
      <w:r>
        <w:rPr>
          <w:i/>
          <w:iCs/>
          <w:sz w:val="22"/>
          <w:szCs w:val="22"/>
        </w:rPr>
        <w:t xml:space="preserve">Intelligence throughput ~ deployed energy × physical efficiency</w:t>
      </w:r>
    </w:p>
    <w:p>
      <w:pPr>
        <w:spacing w:after="160"/>
        <w:jc w:val="center"/>
      </w:pPr>
      <w:r>
        <w:rPr>
          <w:i/>
          <w:iCs/>
          <w:color w:val="595959"/>
          <w:sz w:val="18"/>
          <w:szCs w:val="18"/>
        </w:rPr>
        <w:t xml:space="preserve">A heuristic, not a formal relationship: useful intelligence production also depends on algorithms, memory, interconnect, utilisation, data, reliability, verification, latency, workload composition, and fabrication yield.</w:t>
      </w:r>
    </w:p>
    <w:p>
      <w:pPr>
        <w:spacing w:after="160" w:line="276"/>
      </w:pPr>
      <w:r>
        <w:t xml:space="preserve">Efficiency is bounded by physics — Landauer's limit sets a floor on the energy cost of computation — so as architecture converges and efficiency approaches its ceiling, scale plausibly becomes the </w:t>
      </w:r>
      <w:r>
        <w:rPr>
          <w:i/>
          <w:iCs/>
        </w:rPr>
        <w:t xml:space="preserve">dominant marginal</w:t>
      </w:r>
      <w:r>
        <w:t xml:space="preserve"> variable — not the only one, since memory, interconnect, utilisation, reliability, latency, data, verification, algorithms, and fabrication yield all persist. Scale means energy; energy means collector area; and collector area is not bounded by a planetary surface off Earth. It is still bounded: by matter, transport, orbital geometry, heat transport, collision risk, maintenance, and control — and, per the published cluster analysis, by the quadratic scaling of satellite count with cluster radius and by mutual occlusion of rejected infrared between closely flown spacecraft [S30]. This is the terminal form of the operating-wall argument: not merely that Earth grows expensive, but that after convergence there is nothing left to compete on except the one input Earth cannot supply without limit.</w:t>
      </w:r>
    </w:p>
    <w:p>
      <w:pPr>
        <w:pStyle w:val="Heading2"/>
      </w:pPr>
      <w:r>
        <w:t xml:space="preserve">Why compute efficiency is a mass multiplier off Earth</w:t>
      </w:r>
    </w:p>
    <w:p>
      <w:pPr>
        <w:spacing w:after="160" w:line="276"/>
      </w:pPr>
      <w:r>
        <w:t xml:space="preserve">One mechanism deserves separating out, because it changes which variable dominates the crossover and it has no terrestrial analogue of comparable force. On Earth, a chip's operations-per-watt shows up as an electricity bill. In orbit it shows up as </w:t>
      </w:r>
      <w:r>
        <w:rPr>
          <w:b/>
          <w:bCs/>
        </w:rPr>
        <w:t xml:space="preserve">mass</w:t>
      </w:r>
      <w:r>
        <w:t xml:space="preserve">: every watt not converted to useful computation is a watt that must be radiated away, and radiator area, structure, and plumbing are launched mass. Efficiency therefore multiplies through the entire cost stack — flops per watt sets heat rejected, which sets radiator mass, which sets launch mass, which sets cost per delivered unit of compute. Chip efficiency and launch price multiply </w:t>
      </w:r>
      <w:r>
        <w:rPr>
          <w:b/>
          <w:bCs/>
        </w:rPr>
        <w:t xml:space="preserve">within the mass-delivery component</w:t>
      </w:r>
      <w:r>
        <w:t xml:space="preserve"> of cost — schematically, launch cost per unit of useful output scales as p_launch × [m_fixed/Q + (P_waste/Q)(m_radiator/kW + m_power/kW)] — which is why an actor with a materially more efficient accelerator can tolerate a higher launch price than a rival with cheaper launch and a less efficient chip. This is one component of levelised cost, not the whole of it.</w:t>
      </w:r>
    </w:p>
    <w:p>
      <w:pPr>
        <w:spacing w:after="160" w:line="276"/>
      </w:pPr>
      <w:r>
        <w:t xml:space="preserve">Two consequences follow. First, the popular framing of orbital compute as a launch-cost race is incomplete: near-term, launch access dominates; longer-term, accelerator efficiency does, and whoever holds the most efficient chip per watt holds the strongest orbital-compute position independent of who owns the rockets [S33]. Second, this supplies a </w:t>
      </w:r>
      <w:r>
        <w:rPr>
          <w:b/>
          <w:bCs/>
        </w:rPr>
        <w:t xml:space="preserve">thermodynamic</w:t>
      </w:r>
      <w:r>
        <w:t xml:space="preserve"> rationale for internalising chip </w:t>
      </w:r>
      <w:r>
        <w:rPr>
          <w:i/>
          <w:iCs/>
        </w:rPr>
        <w:t xml:space="preserve">design</w:t>
      </w:r>
      <w:r>
        <w:t xml:space="preserve"> — not merely fabrication capacity or supply security — in any orbital-compute strategy, which is a stronger reading of the fabrication initiative of Section 8 than supply-chain hedging alone provides. Radiator sizing scales steeply rather than linearly: radiated </w:t>
      </w:r>
      <w:r>
        <w:rPr>
          <w:b/>
          <w:bCs/>
        </w:rPr>
        <w:t xml:space="preserve">flux per unit area</w:t>
      </w:r>
      <w:r>
        <w:t xml:space="preserve"> rises with the fourth power of absolute radiator temperature, so running hot and pointing at the cold sky buy disproportionate area reductions. Total radiator-system mass does not fall as 1/T⁴, however: heat-transport capacity, material limits, structural requirements, and the gap between chip junction temperature and radiator temperature all intervene. Any levelised-cost model of orbital compute must therefore carry chip efficiency, junction temperature, and radiator mass per kilowatt as first-class parameters [S35].</w:t>
      </w:r>
    </w:p>
    <w:p>
      <w:pPr>
        <w:spacing w:after="160" w:line="276"/>
      </w:pPr>
      <w:r>
        <w:t xml:space="preserve">Both physical ceilings deserve distances, not just names — and each distance must be paired with a traversal rate. The planetary waste-heat ceiling sits perhaps two orders of magnitude above current civilizational energy use; the thermodynamic floor on computation lies several orders of magnitude below current hardware efficiency. Measured statically, neither is imminent. Under sustained compounding, however, the traversal rates matter more than the distances: published estimates put algorithmic efficiency gains near threefold per year — measured as the compute required for </w:t>
      </w:r>
      <w:r>
        <w:rPr>
          <w:i/>
          <w:iCs/>
        </w:rPr>
        <w:t xml:space="preserve">fixed language-modelling performance</w:t>
      </w:r>
      <w:r>
        <w:t xml:space="preserve">, which licenses no extrapolation to general intelligence, autonomous research, or physical productivity, and which the underlying work itself reports with wide uncertainty [S26] — while compute buildout runs at multiples per year, and the digital loop adds a further compounding term — as systems grow more efficient, the cost of each improvement loop falls, so more loops execute per period, countering the diminishing returns of the efficiency function for as long as the efficiency gains themselves last. Distances that look like centuries at constant speed become decades under compounding, and shorter still if recursive improvement raises the compounding rate. Stated as a sensitivity result rather than an expectation: </w:t>
      </w:r>
      <w:r>
        <w:rPr>
          <w:i/>
          <w:iCs/>
        </w:rPr>
        <w:t xml:space="preserve">under sustained compounding assumptions</w:t>
      </w:r>
      <w:r>
        <w:t xml:space="preserve">, ceilings that are far in distance become near in time, and the gap between those two measures is what would argue for building the deployment substrate early. Whether the compounding is sustained is precisely what is unknown.</w:t>
      </w:r>
    </w:p>
    <w:p>
      <w:pPr>
        <w:spacing w:after="160" w:line="276"/>
      </w:pPr>
      <w:r>
        <w:t xml:space="preserve">The two regimes then formalize as cost curves. On Earth, the marginal cost of the n-th node </w:t>
      </w:r>
      <w:r>
        <w:rPr>
          <w:b/>
          <w:bCs/>
        </w:rPr>
        <w:t xml:space="preserve">rises</w:t>
      </w:r>
      <w:r>
        <w:t xml:space="preserve"> with n: the operator bids up its own land, congests its own grid, and eventually meets the planetary thermal ceiling, which no amount of money moves. In space, after closure, the marginal cost of the n-th node </w:t>
      </w:r>
      <w:r>
        <w:rPr>
          <w:b/>
          <w:bCs/>
        </w:rPr>
        <w:t xml:space="preserve">falls</w:t>
      </w:r>
      <w:r>
        <w:t xml:space="preserve"> with n through learning curves and self-replication. One curve rises, the other falls; the crossover is the migration point — and it moves earlier every time launch costs decline or the closure ratio κ improves.</w:t>
      </w:r>
    </w:p>
    <w:p>
      <w:pPr>
        <w:spacing w:after="160" w:line="276"/>
      </w:pPr>
      <w:r>
        <w:t xml:space="preserve">The scenario also rests on an unexamined demand-side premise: that appetite for compute is effectively unbounded. It may not be. If the set of tasks worth computing is finite — if understanding the physical world, or any other plausible terminal objective, turns out to be a bounded computational problem requiring some modest multiple of present capacity rather than an open-ended one — then demand saturates, unbounded deployment is never needed, and the argument that space is the only arena permitting it loses its motivation entirely [S33]. Note the asymmetry between the two ceilings this section has invoked: the physical ceilings bound how </w:t>
      </w:r>
      <w:r>
        <w:rPr>
          <w:i/>
          <w:iCs/>
        </w:rPr>
        <w:t xml:space="preserve">cheaply</w:t>
      </w:r>
      <w:r>
        <w:t xml:space="preserve"> computation can be done, while a demand ceiling would bound how </w:t>
      </w:r>
      <w:r>
        <w:rPr>
          <w:i/>
          <w:iCs/>
        </w:rPr>
        <w:t xml:space="preserve">much</w:t>
      </w:r>
      <w:r>
        <w:t xml:space="preserve"> is wanted. The second is the more decisive and the less examined, and nothing in this paper establishes which regime obtains.</w:t>
      </w:r>
    </w:p>
    <w:p>
      <w:pPr>
        <w:spacing w:after="160" w:line="276"/>
      </w:pPr>
      <w:r>
        <w:t xml:space="preserve">One asymmetry partially strengthens the case for building the fleet early, though it must be stated precisely: </w:t>
      </w:r>
      <w:r>
        <w:rPr>
          <w:b/>
          <w:bCs/>
        </w:rPr>
        <w:t xml:space="preserve">some algorithmic and software improvements can raise the productive value of already-deployed compute at low marginal deployment cost</w:t>
      </w:r>
      <w:r>
        <w:t xml:space="preserve">, whereas hardware-dependent architectural gains — new processor architectures, memory hierarchies, photonic or analog devices, new fabrication nodes — require physical replacement or retrofit. The upgrade asymmetry therefore applies to the software layer, not to silicon. The caveat compounds it: hardware over-fitted to one architecture family can be stranded, which is a real risk for an inference-chip-centred fabrication programme and an argument for maintaining hardware generality across the deployed base.</w:t>
      </w:r>
    </w:p>
    <w:p>
      <w:pPr>
        <w:pStyle w:val="Heading2"/>
      </w:pPr>
      <w:r>
        <w:t xml:space="preserve">Paradigm shifts: delay, alteration, or prevention</w:t>
      </w:r>
    </w:p>
    <w:p>
      <w:pPr>
        <w:spacing w:after="160" w:line="276"/>
      </w:pPr>
      <w:r>
        <w:t xml:space="preserve">The convergence argument assumes efficiency approaches its ceiling before some new computing paradigm — analog, photonic, thermodynamic — resets the curve. Two considerations bound that objection. First, </w:t>
      </w:r>
      <w:r>
        <w:rPr>
          <w:b/>
          <w:bCs/>
        </w:rPr>
        <w:t xml:space="preserve">catch-up time</w:t>
      </w:r>
      <w:r>
        <w:t xml:space="preserve">: a new paradigm does not have to beat today's incumbent technology; it has to beat the incumbent plus decades of compounded process learning, still improving at the moment the newcomer matures. This moving-target problem is why nominally superior device technologies have remained “the future” for decades at a stretch — incumbency buys time even against genuinely better physics. Second, </w:t>
      </w:r>
      <w:r>
        <w:rPr>
          <w:b/>
          <w:bCs/>
        </w:rPr>
        <w:t xml:space="preserve">finiteness</w:t>
      </w:r>
      <w:r>
        <w:t xml:space="preserve">: paradigms that remain within irreversible computation climb toward the same thermodynamic ceiling, so successive resets grow smaller as the system approaches physical limits. Paradigm shifts may therefore delay, alter, or possibly prevent the assumed convergence regime: the effect depends on whether a shift changes merely device efficiency or the underlying computational representation and algorithmic frontier — reversible logic, for instance, can in principle avoid the minimum dissipation attached to logically irreversible operations, though practical finite-time systems still dissipate through control, error correction, communication, input/output, and residual irreversible steps.</w:t>
      </w:r>
    </w:p>
    <w:p>
      <w:pPr>
        <w:spacing w:after="160" w:line="276"/>
      </w:pPr>
      <w:r>
        <w:t xml:space="preserve">Leapfrog risk is concentrated, not general. Split the stack by paradigm-sensitivity: energy, labour, transport, and materials are </w:t>
      </w:r>
      <w:r>
        <w:rPr>
          <w:b/>
          <w:bCs/>
        </w:rPr>
        <w:t xml:space="preserve">less paradigm-sensitive</w:t>
      </w:r>
      <w:r>
        <w:t xml:space="preserve"> — a solar array powers photonic hardware much as it powers silicon, a launch vehicle carries either, and robotic labour builds whichever fab wins. These layers are substantially reusable across a shift, though not immune to it: a new paradigm can alter required materials, power quality, cooling systems, manufacturing tolerances, transport mass, and factory architecture. The exposure lives in one layer, fabrication, and even there it is bounded: chips depreciate on three-to-six-year cycles regardless, so the deployed fleet largely self-insures; it is the fabrication plant, on ten-to-twenty-year horizons, that carries genuine stranding risk. History supports the concern at exactly that layer — dominance in one compute paradigm has repeatedly bought incumbents little in the next, the pattern of sunk-capital incumbents passed by greenfield builders that Veblen described a century ago as the penalty of taking the lead.</w:t>
      </w:r>
    </w:p>
    <w:p>
      <w:pPr>
        <w:spacing w:after="160" w:line="276"/>
      </w:pPr>
      <w:r>
        <w:t xml:space="preserve">The same portfolio that creates the first-mover advantage, however, also partially insures against the leapfrog. General-purpose robotic manufacturing is the industry that builds industries: if a paradigm shift forces a retrofit, the cheapest retrofitter is whoever holds automated construction and labor. On this reading the complex's deepest moat is not any particular fab but the capacity to build the </w:t>
      </w:r>
      <w:r>
        <w:rPr>
          <w:i/>
          <w:iCs/>
        </w:rPr>
        <w:t xml:space="preserve">next</w:t>
      </w:r>
      <w:r>
        <w:t xml:space="preserve"> fab faster than a rival builds its first. The refined strategy: verticalise the less paradigm-sensitive layers hard, stay deliberately flexible at the paradigm-specific one, and track </w:t>
      </w:r>
      <w:r>
        <w:rPr>
          <w:b/>
          <w:bCs/>
        </w:rPr>
        <w:t xml:space="preserve">retooling speed</w:t>
      </w:r>
      <w:r>
        <w:t xml:space="preserve"> as a first-class metric alongside doubling time.</w:t>
      </w:r>
    </w:p>
    <w:p>
      <w:pPr>
        <w:spacing w:after="160" w:line="276"/>
      </w:pPr>
      <w:r>
        <w:t xml:space="preserve">One alternative reading of the same physics deserves recording, because it reaches this paper's destination from opposite values and is held by serious operators in the field. On that account the motive for moving energy-intensive industry off Earth is not that Earth is a constrained platform to be escaped but that it is a uniquely valuable biosphere to be protected — zone the planet for habitation and light activity, and site heavy industry and compute where there is no ecology to disturb [S33]. Independent corroboration of the operating-wall mechanism comes from the same quarter: siting terrestrial data centres is becoming politically contested over electricity prices, water, and land use, which is precisely the society-priced cost curve of Section 16 observed from inside the industry. The physical argument is common to both readings; only the telos differs. This matters for the propositions of the Executive Summary, because it decouples P3 from P4: the case that large-scale compute migrates off Earth can be made without any claim about one company's intentions.</w:t>
      </w:r>
    </w:p>
    <w:p>
      <w:pPr>
        <w:spacing w:after="160" w:line="276"/>
      </w:pPr>
      <w:r>
        <w:t xml:space="preserve">That is the properly conditional form of the intuition with which these notes began. The observed portfolio is consistent with an economic gradient toward greater integration — discovery until convergence, deployment after it, with space as one plausible arena of unbounded deployment under a demanding set of crossover conditions. Present evidence does not establish that recursive off-world industrial closure is the governing objective of the companies described in Section 7. The third edition's program — a multisector feasibility model, an explicit Earth–space crossover analysis, and discriminating tests among the competing strategic explanations of Section 7 — is what could.</w:t>
      </w:r>
    </w:p>
    <w:p>
      <w:r>
        <w:br w:type="page"/>
      </w:r>
    </w:p>
    <w:p>
      <w:pPr>
        <w:pStyle w:val="Heading1"/>
      </w:pPr>
      <w:r>
        <w:t xml:space="preserve">Appendix A: Parameter Anchors</w:t>
      </w:r>
    </w:p>
    <w:p>
      <w:pPr>
        <w:spacing w:after="160" w:line="276"/>
      </w:pPr>
      <w:r>
        <w:t xml:space="preserve">Published estimates for the framework's key quantities, with source class and confidence context. Values are anchors, not precision claims; ranges reflect genuine disagreement across sources. Peer-reviewed findings and official technical reports carry the most weight; company statements and enthusiast tracking are directional.</w:t>
      </w:r>
    </w:p>
    <w:p>
      <w:pPr>
        <w:pStyle w:val="Heading2"/>
      </w:pPr>
      <w:r>
        <w:t xml:space="preserve">A.1 Capacity-loss quantities (δ) — normalised by type</w:t>
      </w:r>
    </w:p>
    <w:tbl>
      <w:tblPr>
        <w:tblW w:type="dxa" w:w="9360"/>
        <w:tblBorders>
          <w:top w:val="single" w:color="C9C9C9" w:sz="4"/>
          <w:left w:val="single" w:color="C9C9C9" w:sz="4"/>
          <w:bottom w:val="single" w:color="C9C9C9" w:sz="4"/>
          <w:right w:val="single" w:color="C9C9C9" w:sz="4"/>
          <w:insideH w:val="single" w:color="C9C9C9" w:sz="4"/>
          <w:insideV w:val="single" w:color="C9C9C9" w:sz="4"/>
        </w:tblBorders>
      </w:tblPr>
      <w:tblGrid>
        <w:gridCol w:w="2600"/>
        <w:gridCol w:w="1750"/>
        <w:gridCol w:w="2760"/>
        <w:gridCol w:w="2250"/>
      </w:tblGrid>
      <w:tr>
        <w:trPr>
          <w:tblHeader/>
        </w:trPr>
        <w:tc>
          <w:tcPr>
            <w:tcW w:type="dxa" w:w="2600"/>
            <w:shd w:fill="E8EBF1" w:val="clear"/>
            <w:tcMar>
              <w:top w:type="dxa" w:w="90"/>
              <w:left w:type="dxa" w:w="120"/>
              <w:bottom w:type="dxa" w:w="90"/>
              <w:right w:type="dxa" w:w="120"/>
            </w:tcMar>
          </w:tcPr>
          <w:p>
            <w:pPr>
              <w:spacing w:after="0" w:line="260"/>
            </w:pPr>
            <w:r>
              <w:rPr>
                <w:b/>
                <w:bCs/>
                <w:color w:val="1F3352"/>
                <w:sz w:val="20"/>
                <w:szCs w:val="20"/>
              </w:rPr>
              <w:t xml:space="preserve">Quantity (unit)</w:t>
            </w:r>
          </w:p>
        </w:tc>
        <w:tc>
          <w:tcPr>
            <w:tcW w:type="dxa" w:w="1750"/>
            <w:shd w:fill="E8EBF1" w:val="clear"/>
            <w:tcMar>
              <w:top w:type="dxa" w:w="90"/>
              <w:left w:type="dxa" w:w="120"/>
              <w:bottom w:type="dxa" w:w="90"/>
              <w:right w:type="dxa" w:w="120"/>
            </w:tcMar>
          </w:tcPr>
          <w:p>
            <w:pPr>
              <w:spacing w:after="0" w:line="260"/>
            </w:pPr>
            <w:r>
              <w:rPr>
                <w:b/>
                <w:bCs/>
                <w:color w:val="1F3352"/>
                <w:sz w:val="20"/>
                <w:szCs w:val="20"/>
              </w:rPr>
              <w:t xml:space="preserve">Estimate / range</w:t>
            </w:r>
          </w:p>
        </w:tc>
        <w:tc>
          <w:tcPr>
            <w:tcW w:type="dxa" w:w="2760"/>
            <w:shd w:fill="E8EBF1" w:val="clear"/>
            <w:tcMar>
              <w:top w:type="dxa" w:w="90"/>
              <w:left w:type="dxa" w:w="120"/>
              <w:bottom w:type="dxa" w:w="90"/>
              <w:right w:type="dxa" w:w="120"/>
            </w:tcMar>
          </w:tcPr>
          <w:p>
            <w:pPr>
              <w:spacing w:after="0" w:line="260"/>
            </w:pPr>
            <w:r>
              <w:rPr>
                <w:b/>
                <w:bCs/>
                <w:color w:val="1F3352"/>
                <w:sz w:val="20"/>
                <w:szCs w:val="20"/>
              </w:rPr>
              <w:t xml:space="preserve">Source [ref]</w:t>
            </w:r>
          </w:p>
        </w:tc>
        <w:tc>
          <w:tcPr>
            <w:tcW w:type="dxa" w:w="2250"/>
            <w:shd w:fill="E8EBF1" w:val="clear"/>
            <w:tcMar>
              <w:top w:type="dxa" w:w="90"/>
              <w:left w:type="dxa" w:w="120"/>
              <w:bottom w:type="dxa" w:w="90"/>
              <w:right w:type="dxa" w:w="120"/>
            </w:tcMar>
          </w:tcPr>
          <w:p>
            <w:pPr>
              <w:spacing w:after="0" w:line="260"/>
            </w:pPr>
            <w:r>
              <w:rPr>
                <w:b/>
                <w:bCs/>
                <w:color w:val="1F3352"/>
                <w:sz w:val="20"/>
                <w:szCs w:val="20"/>
              </w:rPr>
              <w:t xml:space="preserve">Type</w:t>
            </w:r>
          </w:p>
        </w:tc>
      </w:tr>
      <w:tr>
        <w:tc>
          <w:tcPr>
            <w:tcW w:type="dxa" w:w="2600"/>
            <w:tcMar>
              <w:top w:type="dxa" w:w="90"/>
              <w:left w:type="dxa" w:w="120"/>
              <w:bottom w:type="dxa" w:w="90"/>
              <w:right w:type="dxa" w:w="120"/>
            </w:tcMar>
          </w:tcPr>
          <w:p>
            <w:pPr>
              <w:spacing w:after="0" w:line="260"/>
            </w:pPr>
            <w:r>
              <w:rPr>
                <w:sz w:val="20"/>
                <w:szCs w:val="20"/>
              </w:rPr>
              <w:t xml:space="preserve">Solar-array degradation, GEO (%/yr capacity)</w:t>
            </w:r>
          </w:p>
        </w:tc>
        <w:tc>
          <w:tcPr>
            <w:tcW w:type="dxa" w:w="1750"/>
            <w:tcMar>
              <w:top w:type="dxa" w:w="90"/>
              <w:left w:type="dxa" w:w="120"/>
              <w:bottom w:type="dxa" w:w="90"/>
              <w:right w:type="dxa" w:w="120"/>
            </w:tcMar>
          </w:tcPr>
          <w:p>
            <w:pPr>
              <w:spacing w:after="0" w:line="260"/>
            </w:pPr>
            <w:r>
              <w:rPr>
                <w:sz w:val="20"/>
                <w:szCs w:val="20"/>
              </w:rPr>
              <w:t xml:space="preserve">0.4–1.7</w:t>
            </w:r>
          </w:p>
        </w:tc>
        <w:tc>
          <w:tcPr>
            <w:tcW w:type="dxa" w:w="2760"/>
            <w:tcMar>
              <w:top w:type="dxa" w:w="90"/>
              <w:left w:type="dxa" w:w="120"/>
              <w:bottom w:type="dxa" w:w="90"/>
              <w:right w:type="dxa" w:w="120"/>
            </w:tcMar>
          </w:tcPr>
          <w:p>
            <w:pPr>
              <w:spacing w:after="0" w:line="260"/>
            </w:pPr>
            <w:r>
              <w:rPr>
                <w:sz w:val="20"/>
                <w:szCs w:val="20"/>
              </w:rPr>
              <w:t xml:space="preserve">Peer-reviewed telemetry, 11 satellites, 2018 [S19]</w:t>
            </w:r>
          </w:p>
        </w:tc>
        <w:tc>
          <w:tcPr>
            <w:tcW w:type="dxa" w:w="2250"/>
            <w:tcMar>
              <w:top w:type="dxa" w:w="90"/>
              <w:left w:type="dxa" w:w="120"/>
              <w:bottom w:type="dxa" w:w="90"/>
              <w:right w:type="dxa" w:w="120"/>
            </w:tcMar>
          </w:tcPr>
          <w:p>
            <w:pPr>
              <w:spacing w:after="0" w:line="260"/>
            </w:pPr>
            <w:r>
              <w:rPr>
                <w:sz w:val="20"/>
                <w:szCs w:val="20"/>
              </w:rPr>
              <w:t xml:space="preserve">Continuous physical degradation</w:t>
            </w:r>
          </w:p>
        </w:tc>
      </w:tr>
      <w:tr>
        <w:tc>
          <w:tcPr>
            <w:tcW w:type="dxa" w:w="2600"/>
            <w:tcMar>
              <w:top w:type="dxa" w:w="90"/>
              <w:left w:type="dxa" w:w="120"/>
              <w:bottom w:type="dxa" w:w="90"/>
              <w:right w:type="dxa" w:w="120"/>
            </w:tcMar>
          </w:tcPr>
          <w:p>
            <w:pPr>
              <w:spacing w:after="0" w:line="260"/>
            </w:pPr>
            <w:r>
              <w:rPr>
                <w:sz w:val="20"/>
                <w:szCs w:val="20"/>
              </w:rPr>
              <w:t xml:space="preserve">Terrestrial PV degradation (%/yr capacity)</w:t>
            </w:r>
          </w:p>
        </w:tc>
        <w:tc>
          <w:tcPr>
            <w:tcW w:type="dxa" w:w="1750"/>
            <w:tcMar>
              <w:top w:type="dxa" w:w="90"/>
              <w:left w:type="dxa" w:w="120"/>
              <w:bottom w:type="dxa" w:w="90"/>
              <w:right w:type="dxa" w:w="120"/>
            </w:tcMar>
          </w:tcPr>
          <w:p>
            <w:pPr>
              <w:spacing w:after="0" w:line="260"/>
            </w:pPr>
            <w:r>
              <w:rPr>
                <w:sz w:val="20"/>
                <w:szCs w:val="20"/>
              </w:rPr>
              <w:t xml:space="preserve">0.5–0.6 median</w:t>
            </w:r>
          </w:p>
        </w:tc>
        <w:tc>
          <w:tcPr>
            <w:tcW w:type="dxa" w:w="2760"/>
            <w:tcMar>
              <w:top w:type="dxa" w:w="90"/>
              <w:left w:type="dxa" w:w="120"/>
              <w:bottom w:type="dxa" w:w="90"/>
              <w:right w:type="dxa" w:w="120"/>
            </w:tcMar>
          </w:tcPr>
          <w:p>
            <w:pPr>
              <w:spacing w:after="0" w:line="260"/>
            </w:pPr>
            <w:r>
              <w:rPr>
                <w:sz w:val="20"/>
                <w:szCs w:val="20"/>
              </w:rPr>
              <w:t xml:space="preserve">Peer-reviewed meta-study, &gt;11,000 rates, 2016 [S18]</w:t>
            </w:r>
          </w:p>
        </w:tc>
        <w:tc>
          <w:tcPr>
            <w:tcW w:type="dxa" w:w="2250"/>
            <w:tcMar>
              <w:top w:type="dxa" w:w="90"/>
              <w:left w:type="dxa" w:w="120"/>
              <w:bottom w:type="dxa" w:w="90"/>
              <w:right w:type="dxa" w:w="120"/>
            </w:tcMar>
          </w:tcPr>
          <w:p>
            <w:pPr>
              <w:spacing w:after="0" w:line="260"/>
            </w:pPr>
            <w:r>
              <w:rPr>
                <w:sz w:val="20"/>
                <w:szCs w:val="20"/>
              </w:rPr>
              <w:t xml:space="preserve">Continuous physical degradation</w:t>
            </w:r>
          </w:p>
        </w:tc>
      </w:tr>
      <w:tr>
        <w:tc>
          <w:tcPr>
            <w:tcW w:type="dxa" w:w="2600"/>
            <w:tcMar>
              <w:top w:type="dxa" w:w="90"/>
              <w:left w:type="dxa" w:w="120"/>
              <w:bottom w:type="dxa" w:w="90"/>
              <w:right w:type="dxa" w:w="120"/>
            </w:tcMar>
          </w:tcPr>
          <w:p>
            <w:pPr>
              <w:spacing w:after="0" w:line="260"/>
            </w:pPr>
            <w:r>
              <w:rPr>
                <w:sz w:val="20"/>
                <w:szCs w:val="20"/>
              </w:rPr>
              <w:t xml:space="preserve">LEO constellation failure (% of cohort)</w:t>
            </w:r>
          </w:p>
        </w:tc>
        <w:tc>
          <w:tcPr>
            <w:tcW w:type="dxa" w:w="1750"/>
            <w:tcMar>
              <w:top w:type="dxa" w:w="90"/>
              <w:left w:type="dxa" w:w="120"/>
              <w:bottom w:type="dxa" w:w="90"/>
              <w:right w:type="dxa" w:w="120"/>
            </w:tcMar>
          </w:tcPr>
          <w:p>
            <w:pPr>
              <w:spacing w:after="0" w:line="260"/>
            </w:pPr>
            <w:r>
              <w:rPr>
                <w:sz w:val="20"/>
                <w:szCs w:val="20"/>
              </w:rPr>
              <w:t xml:space="preserve">~3 early generations; &lt;0.5 later</w:t>
            </w:r>
          </w:p>
        </w:tc>
        <w:tc>
          <w:tcPr>
            <w:tcW w:type="dxa" w:w="2760"/>
            <w:tcMar>
              <w:top w:type="dxa" w:w="90"/>
              <w:left w:type="dxa" w:w="120"/>
              <w:bottom w:type="dxa" w:w="90"/>
              <w:right w:type="dxa" w:w="120"/>
            </w:tcMar>
          </w:tcPr>
          <w:p>
            <w:pPr>
              <w:spacing w:after="0" w:line="260"/>
            </w:pPr>
            <w:r>
              <w:rPr>
                <w:sz w:val="20"/>
                <w:szCs w:val="20"/>
              </w:rPr>
              <w:t xml:space="preserve">Independent tracking, 2020–2026 [S22]</w:t>
            </w:r>
          </w:p>
        </w:tc>
        <w:tc>
          <w:tcPr>
            <w:tcW w:type="dxa" w:w="2250"/>
            <w:tcMar>
              <w:top w:type="dxa" w:w="90"/>
              <w:left w:type="dxa" w:w="120"/>
              <w:bottom w:type="dxa" w:w="90"/>
              <w:right w:type="dxa" w:w="120"/>
            </w:tcMar>
          </w:tcPr>
          <w:p>
            <w:pPr>
              <w:spacing w:after="0" w:line="260"/>
            </w:pPr>
            <w:r>
              <w:rPr>
                <w:sz w:val="20"/>
                <w:szCs w:val="20"/>
              </w:rPr>
              <w:t xml:space="preserve">Cohort-dependent; mixes failure, retirement, and disposal; not a hazard rate</w:t>
            </w:r>
          </w:p>
        </w:tc>
      </w:tr>
      <w:tr>
        <w:tc>
          <w:tcPr>
            <w:tcW w:type="dxa" w:w="2600"/>
            <w:tcMar>
              <w:top w:type="dxa" w:w="90"/>
              <w:left w:type="dxa" w:w="120"/>
              <w:bottom w:type="dxa" w:w="90"/>
              <w:right w:type="dxa" w:w="120"/>
            </w:tcMar>
          </w:tcPr>
          <w:p>
            <w:pPr>
              <w:spacing w:after="0" w:line="260"/>
            </w:pPr>
            <w:r>
              <w:rPr>
                <w:sz w:val="20"/>
                <w:szCs w:val="20"/>
              </w:rPr>
              <w:t xml:space="preserve">Satellite design life (yr)</w:t>
            </w:r>
          </w:p>
        </w:tc>
        <w:tc>
          <w:tcPr>
            <w:tcW w:type="dxa" w:w="1750"/>
            <w:tcMar>
              <w:top w:type="dxa" w:w="90"/>
              <w:left w:type="dxa" w:w="120"/>
              <w:bottom w:type="dxa" w:w="90"/>
              <w:right w:type="dxa" w:w="120"/>
            </w:tcMar>
          </w:tcPr>
          <w:p>
            <w:pPr>
              <w:spacing w:after="0" w:line="260"/>
            </w:pPr>
            <w:r>
              <w:rPr>
                <w:sz w:val="20"/>
                <w:szCs w:val="20"/>
              </w:rPr>
              <w:t xml:space="preserve">~15 GEO; ~5 LEO</w:t>
            </w:r>
          </w:p>
        </w:tc>
        <w:tc>
          <w:tcPr>
            <w:tcW w:type="dxa" w:w="2760"/>
            <w:tcMar>
              <w:top w:type="dxa" w:w="90"/>
              <w:left w:type="dxa" w:w="120"/>
              <w:bottom w:type="dxa" w:w="90"/>
              <w:right w:type="dxa" w:w="120"/>
            </w:tcMar>
          </w:tcPr>
          <w:p>
            <w:pPr>
              <w:spacing w:after="0" w:line="260"/>
            </w:pPr>
            <w:r>
              <w:rPr>
                <w:sz w:val="20"/>
                <w:szCs w:val="20"/>
              </w:rPr>
              <w:t xml:space="preserve">Industry standard; filings [S22]</w:t>
            </w:r>
          </w:p>
        </w:tc>
        <w:tc>
          <w:tcPr>
            <w:tcW w:type="dxa" w:w="2250"/>
            <w:tcMar>
              <w:top w:type="dxa" w:w="90"/>
              <w:left w:type="dxa" w:w="120"/>
              <w:bottom w:type="dxa" w:w="90"/>
              <w:right w:type="dxa" w:w="120"/>
            </w:tcMar>
          </w:tcPr>
          <w:p>
            <w:pPr>
              <w:spacing w:after="0" w:line="260"/>
            </w:pPr>
            <w:r>
              <w:rPr>
                <w:sz w:val="20"/>
                <w:szCs w:val="20"/>
              </w:rPr>
              <w:t xml:space="preserve">Engineering envelope, not a hazard rate</w:t>
            </w:r>
          </w:p>
        </w:tc>
      </w:tr>
      <w:tr>
        <w:tc>
          <w:tcPr>
            <w:tcW w:type="dxa" w:w="2600"/>
            <w:tcMar>
              <w:top w:type="dxa" w:w="90"/>
              <w:left w:type="dxa" w:w="120"/>
              <w:bottom w:type="dxa" w:w="90"/>
              <w:right w:type="dxa" w:w="120"/>
            </w:tcMar>
          </w:tcPr>
          <w:p>
            <w:pPr>
              <w:spacing w:after="0" w:line="260"/>
            </w:pPr>
            <w:r>
              <w:rPr>
                <w:sz w:val="20"/>
                <w:szCs w:val="20"/>
              </w:rPr>
              <w:t xml:space="preserve">Fab tool depreciation (yr, straight-line)</w:t>
            </w:r>
          </w:p>
        </w:tc>
        <w:tc>
          <w:tcPr>
            <w:tcW w:type="dxa" w:w="1750"/>
            <w:tcMar>
              <w:top w:type="dxa" w:w="90"/>
              <w:left w:type="dxa" w:w="120"/>
              <w:bottom w:type="dxa" w:w="90"/>
              <w:right w:type="dxa" w:w="120"/>
            </w:tcMar>
          </w:tcPr>
          <w:p>
            <w:pPr>
              <w:spacing w:after="0" w:line="260"/>
            </w:pPr>
            <w:r>
              <w:rPr>
                <w:sz w:val="20"/>
                <w:szCs w:val="20"/>
              </w:rPr>
              <w:t xml:space="preserve">2–5</w:t>
            </w:r>
          </w:p>
        </w:tc>
        <w:tc>
          <w:tcPr>
            <w:tcW w:type="dxa" w:w="2760"/>
            <w:tcMar>
              <w:top w:type="dxa" w:w="90"/>
              <w:left w:type="dxa" w:w="120"/>
              <w:bottom w:type="dxa" w:w="90"/>
              <w:right w:type="dxa" w:w="120"/>
            </w:tcMar>
          </w:tcPr>
          <w:p>
            <w:pPr>
              <w:spacing w:after="0" w:line="260"/>
            </w:pPr>
            <w:r>
              <w:rPr>
                <w:sz w:val="20"/>
                <w:szCs w:val="20"/>
              </w:rPr>
              <w:t xml:space="preserve">Foundry annual reports [S34]</w:t>
            </w:r>
          </w:p>
        </w:tc>
        <w:tc>
          <w:tcPr>
            <w:tcW w:type="dxa" w:w="2250"/>
            <w:tcMar>
              <w:top w:type="dxa" w:w="90"/>
              <w:left w:type="dxa" w:w="120"/>
              <w:bottom w:type="dxa" w:w="90"/>
              <w:right w:type="dxa" w:w="120"/>
            </w:tcMar>
          </w:tcPr>
          <w:p>
            <w:pPr>
              <w:spacing w:after="0" w:line="260"/>
            </w:pPr>
            <w:r>
              <w:rPr>
                <w:sz w:val="20"/>
                <w:szCs w:val="20"/>
              </w:rPr>
              <w:t xml:space="preserve">Accounting schedule</w:t>
            </w:r>
          </w:p>
        </w:tc>
      </w:tr>
      <w:tr>
        <w:tc>
          <w:tcPr>
            <w:tcW w:type="dxa" w:w="2600"/>
            <w:tcMar>
              <w:top w:type="dxa" w:w="90"/>
              <w:left w:type="dxa" w:w="120"/>
              <w:bottom w:type="dxa" w:w="90"/>
              <w:right w:type="dxa" w:w="120"/>
            </w:tcMar>
          </w:tcPr>
          <w:p>
            <w:pPr>
              <w:spacing w:after="0" w:line="260"/>
            </w:pPr>
            <w:r>
              <w:rPr>
                <w:sz w:val="20"/>
                <w:szCs w:val="20"/>
              </w:rPr>
              <w:t xml:space="preserve">Data-centre accelerator retirement (yr)</w:t>
            </w:r>
          </w:p>
        </w:tc>
        <w:tc>
          <w:tcPr>
            <w:tcW w:type="dxa" w:w="1750"/>
            <w:tcMar>
              <w:top w:type="dxa" w:w="90"/>
              <w:left w:type="dxa" w:w="120"/>
              <w:bottom w:type="dxa" w:w="90"/>
              <w:right w:type="dxa" w:w="120"/>
            </w:tcMar>
          </w:tcPr>
          <w:p>
            <w:pPr>
              <w:spacing w:after="0" w:line="260"/>
            </w:pPr>
            <w:r>
              <w:rPr>
                <w:sz w:val="20"/>
                <w:szCs w:val="20"/>
              </w:rPr>
              <w:t xml:space="preserve">3–6</w:t>
            </w:r>
          </w:p>
        </w:tc>
        <w:tc>
          <w:tcPr>
            <w:tcW w:type="dxa" w:w="2760"/>
            <w:tcMar>
              <w:top w:type="dxa" w:w="90"/>
              <w:left w:type="dxa" w:w="120"/>
              <w:bottom w:type="dxa" w:w="90"/>
              <w:right w:type="dxa" w:w="120"/>
            </w:tcMar>
          </w:tcPr>
          <w:p>
            <w:pPr>
              <w:spacing w:after="0" w:line="260"/>
            </w:pPr>
            <w:r>
              <w:rPr>
                <w:sz w:val="20"/>
                <w:szCs w:val="20"/>
              </w:rPr>
              <w:t xml:space="preserve">Operator practice [S34]</w:t>
            </w:r>
          </w:p>
        </w:tc>
        <w:tc>
          <w:tcPr>
            <w:tcW w:type="dxa" w:w="2250"/>
            <w:tcMar>
              <w:top w:type="dxa" w:w="90"/>
              <w:left w:type="dxa" w:w="120"/>
              <w:bottom w:type="dxa" w:w="90"/>
              <w:right w:type="dxa" w:w="120"/>
            </w:tcMar>
          </w:tcPr>
          <w:p>
            <w:pPr>
              <w:spacing w:after="0" w:line="260"/>
            </w:pPr>
            <w:r>
              <w:rPr>
                <w:sz w:val="20"/>
                <w:szCs w:val="20"/>
              </w:rPr>
              <w:t xml:space="preserve">Technological retirement</w:t>
            </w:r>
          </w:p>
        </w:tc>
      </w:tr>
      <w:tr>
        <w:tc>
          <w:tcPr>
            <w:tcW w:type="dxa" w:w="2600"/>
            <w:tcMar>
              <w:top w:type="dxa" w:w="90"/>
              <w:left w:type="dxa" w:w="120"/>
              <w:bottom w:type="dxa" w:w="90"/>
              <w:right w:type="dxa" w:w="120"/>
            </w:tcMar>
          </w:tcPr>
          <w:p>
            <w:pPr>
              <w:spacing w:after="0" w:line="260"/>
            </w:pPr>
            <w:r>
              <w:rPr>
                <w:sz w:val="20"/>
                <w:szCs w:val="20"/>
              </w:rPr>
              <w:t xml:space="preserve">Cluster interruption frequency (per accelerator-day)</w:t>
            </w:r>
          </w:p>
        </w:tc>
        <w:tc>
          <w:tcPr>
            <w:tcW w:type="dxa" w:w="1750"/>
            <w:tcMar>
              <w:top w:type="dxa" w:w="90"/>
              <w:left w:type="dxa" w:w="120"/>
              <w:bottom w:type="dxa" w:w="90"/>
              <w:right w:type="dxa" w:w="120"/>
            </w:tcMar>
          </w:tcPr>
          <w:p>
            <w:pPr>
              <w:spacing w:after="0" w:line="260"/>
            </w:pPr>
            <w:r>
              <w:rPr>
                <w:sz w:val="20"/>
                <w:szCs w:val="20"/>
              </w:rPr>
              <w:t xml:space="preserve">~1 per 2,000</w:t>
            </w:r>
          </w:p>
        </w:tc>
        <w:tc>
          <w:tcPr>
            <w:tcW w:type="dxa" w:w="2760"/>
            <w:tcMar>
              <w:top w:type="dxa" w:w="90"/>
              <w:left w:type="dxa" w:w="120"/>
              <w:bottom w:type="dxa" w:w="90"/>
              <w:right w:type="dxa" w:w="120"/>
            </w:tcMar>
          </w:tcPr>
          <w:p>
            <w:pPr>
              <w:spacing w:after="0" w:line="260"/>
            </w:pPr>
            <w:r>
              <w:rPr>
                <w:sz w:val="20"/>
                <w:szCs w:val="20"/>
              </w:rPr>
              <w:t xml:space="preserve">Large-training-run disclosure, 2024 [S34]</w:t>
            </w:r>
          </w:p>
        </w:tc>
        <w:tc>
          <w:tcPr>
            <w:tcW w:type="dxa" w:w="2250"/>
            <w:tcMar>
              <w:top w:type="dxa" w:w="90"/>
              <w:left w:type="dxa" w:w="120"/>
              <w:bottom w:type="dxa" w:w="90"/>
              <w:right w:type="dxa" w:w="120"/>
            </w:tcMar>
          </w:tcPr>
          <w:p>
            <w:pPr>
              <w:spacing w:after="0" w:line="260"/>
            </w:pPr>
            <w:r>
              <w:rPr>
                <w:sz w:val="20"/>
                <w:szCs w:val="20"/>
              </w:rPr>
              <w:t xml:space="preserve">Mixes component, host, network, and software events, mostly auto-recovered — NOT a component hazard rate</w:t>
            </w:r>
          </w:p>
        </w:tc>
      </w:tr>
    </w:tbl>
    <w:p>
      <w:pPr>
        <w:spacing w:after="120"/>
      </w:pPr>
    </w:p>
    <w:p>
      <w:pPr>
        <w:spacing w:after="160" w:line="276"/>
      </w:pPr>
      <w:r>
        <w:t xml:space="preserve">These are all relevant to δ but are </w:t>
      </w:r>
      <w:r>
        <w:rPr>
          <w:b/>
          <w:bCs/>
        </w:rPr>
        <w:t xml:space="preserve">not interchangeable</w:t>
      </w:r>
      <w:r>
        <w:t xml:space="preserve">: continuous degradation, lifetime discrete loss, engineering design life, accounting schedules, technological retirement, and component hazard rates require unit-normalised conversion to capacity-loss-per-year before any of them enters a growth equation — a conversion the third edition performs per component class [S35]. A further extrapolation limit: solar-array and satellite-failure data do not establish the depreciation behaviour of autonomous mines, bearings, seals, machine tools, batteries, robots, or dust-exposed thermal equipment.</w:t>
      </w:r>
    </w:p>
    <w:p>
      <w:pPr>
        <w:pStyle w:val="Heading2"/>
      </w:pPr>
      <w:r>
        <w:t xml:space="preserve">A.2 Rate quantities previously conflated as “r” — separated</w:t>
      </w:r>
    </w:p>
    <w:tbl>
      <w:tblPr>
        <w:tblW w:type="dxa" w:w="9360"/>
        <w:tblBorders>
          <w:top w:val="single" w:color="C9C9C9" w:sz="4"/>
          <w:left w:val="single" w:color="C9C9C9" w:sz="4"/>
          <w:bottom w:val="single" w:color="C9C9C9" w:sz="4"/>
          <w:right w:val="single" w:color="C9C9C9" w:sz="4"/>
          <w:insideH w:val="single" w:color="C9C9C9" w:sz="4"/>
          <w:insideV w:val="single" w:color="C9C9C9" w:sz="4"/>
        </w:tblBorders>
      </w:tblPr>
      <w:tblGrid>
        <w:gridCol w:w="2600"/>
        <w:gridCol w:w="1900"/>
        <w:gridCol w:w="2500"/>
        <w:gridCol w:w="2360"/>
      </w:tblGrid>
      <w:tr>
        <w:trPr>
          <w:tblHeader/>
        </w:trPr>
        <w:tc>
          <w:tcPr>
            <w:tcW w:type="dxa" w:w="2600"/>
            <w:shd w:fill="E8EBF1" w:val="clear"/>
            <w:tcMar>
              <w:top w:type="dxa" w:w="90"/>
              <w:left w:type="dxa" w:w="120"/>
              <w:bottom w:type="dxa" w:w="90"/>
              <w:right w:type="dxa" w:w="120"/>
            </w:tcMar>
          </w:tcPr>
          <w:p>
            <w:pPr>
              <w:spacing w:after="0" w:line="260"/>
            </w:pPr>
            <w:r>
              <w:rPr>
                <w:b/>
                <w:bCs/>
                <w:color w:val="1F3352"/>
                <w:sz w:val="20"/>
                <w:szCs w:val="20"/>
              </w:rPr>
              <w:t xml:space="preserve">Quantity (distinct name)</w:t>
            </w:r>
          </w:p>
        </w:tc>
        <w:tc>
          <w:tcPr>
            <w:tcW w:type="dxa" w:w="1900"/>
            <w:shd w:fill="E8EBF1" w:val="clear"/>
            <w:tcMar>
              <w:top w:type="dxa" w:w="90"/>
              <w:left w:type="dxa" w:w="120"/>
              <w:bottom w:type="dxa" w:w="90"/>
              <w:right w:type="dxa" w:w="120"/>
            </w:tcMar>
          </w:tcPr>
          <w:p>
            <w:pPr>
              <w:spacing w:after="0" w:line="260"/>
            </w:pPr>
            <w:r>
              <w:rPr>
                <w:b/>
                <w:bCs/>
                <w:color w:val="1F3352"/>
                <w:sz w:val="20"/>
                <w:szCs w:val="20"/>
              </w:rPr>
              <w:t xml:space="preserve">Estimate / range</w:t>
            </w:r>
          </w:p>
        </w:tc>
        <w:tc>
          <w:tcPr>
            <w:tcW w:type="dxa" w:w="2500"/>
            <w:shd w:fill="E8EBF1" w:val="clear"/>
            <w:tcMar>
              <w:top w:type="dxa" w:w="90"/>
              <w:left w:type="dxa" w:w="120"/>
              <w:bottom w:type="dxa" w:w="90"/>
              <w:right w:type="dxa" w:w="120"/>
            </w:tcMar>
          </w:tcPr>
          <w:p>
            <w:pPr>
              <w:spacing w:after="0" w:line="260"/>
            </w:pPr>
            <w:r>
              <w:rPr>
                <w:b/>
                <w:bCs/>
                <w:color w:val="1F3352"/>
                <w:sz w:val="20"/>
                <w:szCs w:val="20"/>
              </w:rPr>
              <w:t xml:space="preserve">Source [ref]</w:t>
            </w:r>
          </w:p>
        </w:tc>
        <w:tc>
          <w:tcPr>
            <w:tcW w:type="dxa" w:w="2360"/>
            <w:shd w:fill="E8EBF1" w:val="clear"/>
            <w:tcMar>
              <w:top w:type="dxa" w:w="90"/>
              <w:left w:type="dxa" w:w="120"/>
              <w:bottom w:type="dxa" w:w="90"/>
              <w:right w:type="dxa" w:w="120"/>
            </w:tcMar>
          </w:tcPr>
          <w:p>
            <w:pPr>
              <w:spacing w:after="0" w:line="260"/>
            </w:pPr>
            <w:r>
              <w:rPr>
                <w:b/>
                <w:bCs/>
                <w:color w:val="1F3352"/>
                <w:sz w:val="20"/>
                <w:szCs w:val="20"/>
              </w:rPr>
              <w:t xml:space="preserve">What it does NOT measure</w:t>
            </w:r>
          </w:p>
        </w:tc>
      </w:tr>
      <w:tr>
        <w:tc>
          <w:tcPr>
            <w:tcW w:type="dxa" w:w="2600"/>
            <w:tcMar>
              <w:top w:type="dxa" w:w="90"/>
              <w:left w:type="dxa" w:w="120"/>
              <w:bottom w:type="dxa" w:w="90"/>
              <w:right w:type="dxa" w:w="120"/>
            </w:tcMar>
          </w:tcPr>
          <w:p>
            <w:pPr>
              <w:spacing w:after="0" w:line="260"/>
            </w:pPr>
            <w:r>
              <w:rPr>
                <w:sz w:val="20"/>
                <w:szCs w:val="20"/>
              </w:rPr>
              <w:t xml:space="preserve">Power-subsystem energetic payback (yr)</w:t>
            </w:r>
          </w:p>
        </w:tc>
        <w:tc>
          <w:tcPr>
            <w:tcW w:type="dxa" w:w="1900"/>
            <w:tcMar>
              <w:top w:type="dxa" w:w="90"/>
              <w:left w:type="dxa" w:w="120"/>
              <w:bottom w:type="dxa" w:w="90"/>
              <w:right w:type="dxa" w:w="120"/>
            </w:tcMar>
          </w:tcPr>
          <w:p>
            <w:pPr>
              <w:spacing w:after="0" w:line="260"/>
            </w:pPr>
            <w:r>
              <w:rPr>
                <w:sz w:val="20"/>
                <w:szCs w:val="20"/>
              </w:rPr>
              <w:t xml:space="preserve">~0.9–1.1 Europe; 1.0–4.1 harmonised</w:t>
            </w:r>
          </w:p>
        </w:tc>
        <w:tc>
          <w:tcPr>
            <w:tcW w:type="dxa" w:w="2500"/>
            <w:tcMar>
              <w:top w:type="dxa" w:w="90"/>
              <w:left w:type="dxa" w:w="120"/>
              <w:bottom w:type="dxa" w:w="90"/>
              <w:right w:type="dxa" w:w="120"/>
            </w:tcMar>
          </w:tcPr>
          <w:p>
            <w:pPr>
              <w:spacing w:after="0" w:line="260"/>
            </w:pPr>
            <w:r>
              <w:rPr>
                <w:sz w:val="20"/>
                <w:szCs w:val="20"/>
              </w:rPr>
              <w:t xml:space="preserve">Institute report 2026; peer-reviewed review 2015 [S20]</w:t>
            </w:r>
          </w:p>
        </w:tc>
        <w:tc>
          <w:tcPr>
            <w:tcW w:type="dxa" w:w="2360"/>
            <w:tcMar>
              <w:top w:type="dxa" w:w="90"/>
              <w:left w:type="dxa" w:w="120"/>
              <w:bottom w:type="dxa" w:w="90"/>
              <w:right w:type="dxa" w:w="120"/>
            </w:tcMar>
          </w:tcPr>
          <w:p>
            <w:pPr>
              <w:spacing w:after="0" w:line="260"/>
            </w:pPr>
            <w:r>
              <w:rPr>
                <w:sz w:val="20"/>
                <w:szCs w:val="20"/>
              </w:rPr>
              <w:t xml:space="preserve">Reproduction of mines, refineries, tools, or the panel line itself</w:t>
            </w:r>
          </w:p>
        </w:tc>
      </w:tr>
      <w:tr>
        <w:tc>
          <w:tcPr>
            <w:tcW w:type="dxa" w:w="2600"/>
            <w:tcMar>
              <w:top w:type="dxa" w:w="90"/>
              <w:left w:type="dxa" w:w="120"/>
              <w:bottom w:type="dxa" w:w="90"/>
              <w:right w:type="dxa" w:w="120"/>
            </w:tcMar>
          </w:tcPr>
          <w:p>
            <w:pPr>
              <w:spacing w:after="0" w:line="260"/>
            </w:pPr>
            <w:r>
              <w:rPr>
                <w:sz w:val="20"/>
                <w:szCs w:val="20"/>
              </w:rPr>
              <w:t xml:space="preserve">Strawman replication design target (yr)</w:t>
            </w:r>
          </w:p>
        </w:tc>
        <w:tc>
          <w:tcPr>
            <w:tcW w:type="dxa" w:w="1900"/>
            <w:tcMar>
              <w:top w:type="dxa" w:w="90"/>
              <w:left w:type="dxa" w:w="120"/>
              <w:bottom w:type="dxa" w:w="90"/>
              <w:right w:type="dxa" w:w="120"/>
            </w:tcMar>
          </w:tcPr>
          <w:p>
            <w:pPr>
              <w:spacing w:after="0" w:line="260"/>
            </w:pPr>
            <w:r>
              <w:rPr>
                <w:sz w:val="20"/>
                <w:szCs w:val="20"/>
              </w:rPr>
              <w:t xml:space="preserve">~1 (assumed)</w:t>
            </w:r>
          </w:p>
        </w:tc>
        <w:tc>
          <w:tcPr>
            <w:tcW w:type="dxa" w:w="2500"/>
            <w:tcMar>
              <w:top w:type="dxa" w:w="90"/>
              <w:left w:type="dxa" w:w="120"/>
              <w:bottom w:type="dxa" w:w="90"/>
              <w:right w:type="dxa" w:w="120"/>
            </w:tcMar>
          </w:tcPr>
          <w:p>
            <w:pPr>
              <w:spacing w:after="0" w:line="260"/>
            </w:pPr>
            <w:r>
              <w:rPr>
                <w:sz w:val="20"/>
                <w:szCs w:val="20"/>
              </w:rPr>
              <w:t xml:space="preserve">NASA CP-2255, 1980 [S23]</w:t>
            </w:r>
          </w:p>
        </w:tc>
        <w:tc>
          <w:tcPr>
            <w:tcW w:type="dxa" w:w="2360"/>
            <w:tcMar>
              <w:top w:type="dxa" w:w="90"/>
              <w:left w:type="dxa" w:w="120"/>
              <w:bottom w:type="dxa" w:w="90"/>
              <w:right w:type="dxa" w:w="120"/>
            </w:tcMar>
          </w:tcPr>
          <w:p>
            <w:pPr>
              <w:spacing w:after="0" w:line="260"/>
            </w:pPr>
            <w:r>
              <w:rPr>
                <w:sz w:val="20"/>
                <w:szCs w:val="20"/>
              </w:rPr>
              <w:t xml:space="preserve">A proof-of-principle design assumption, not an estimate or a measurement</w:t>
            </w:r>
          </w:p>
        </w:tc>
      </w:tr>
      <w:tr>
        <w:tc>
          <w:tcPr>
            <w:tcW w:type="dxa" w:w="2600"/>
            <w:tcMar>
              <w:top w:type="dxa" w:w="90"/>
              <w:left w:type="dxa" w:w="120"/>
              <w:bottom w:type="dxa" w:w="90"/>
              <w:right w:type="dxa" w:w="120"/>
            </w:tcMar>
          </w:tcPr>
          <w:p>
            <w:pPr>
              <w:spacing w:after="0" w:line="260"/>
            </w:pPr>
            <w:r>
              <w:rPr>
                <w:sz w:val="20"/>
                <w:szCs w:val="20"/>
              </w:rPr>
              <w:t xml:space="preserve">Terrestrial construction-execution cadence (months)</w:t>
            </w:r>
          </w:p>
        </w:tc>
        <w:tc>
          <w:tcPr>
            <w:tcW w:type="dxa" w:w="1900"/>
            <w:tcMar>
              <w:top w:type="dxa" w:w="90"/>
              <w:left w:type="dxa" w:w="120"/>
              <w:bottom w:type="dxa" w:w="90"/>
              <w:right w:type="dxa" w:w="120"/>
            </w:tcMar>
          </w:tcPr>
          <w:p>
            <w:pPr>
              <w:spacing w:after="0" w:line="260"/>
            </w:pPr>
            <w:r>
              <w:rPr>
                <w:sz w:val="20"/>
                <w:szCs w:val="20"/>
              </w:rPr>
              <w:t xml:space="preserve">~10</w:t>
            </w:r>
          </w:p>
        </w:tc>
        <w:tc>
          <w:tcPr>
            <w:tcW w:type="dxa" w:w="2500"/>
            <w:tcMar>
              <w:top w:type="dxa" w:w="90"/>
              <w:left w:type="dxa" w:w="120"/>
              <w:bottom w:type="dxa" w:w="90"/>
              <w:right w:type="dxa" w:w="120"/>
            </w:tcMar>
          </w:tcPr>
          <w:p>
            <w:pPr>
              <w:spacing w:after="0" w:line="260"/>
            </w:pPr>
            <w:r>
              <w:rPr>
                <w:sz w:val="20"/>
                <w:szCs w:val="20"/>
              </w:rPr>
              <w:t xml:space="preserve">Contemporaneous reporting, 2019 [S34]</w:t>
            </w:r>
          </w:p>
        </w:tc>
        <w:tc>
          <w:tcPr>
            <w:tcW w:type="dxa" w:w="2360"/>
            <w:tcMar>
              <w:top w:type="dxa" w:w="90"/>
              <w:left w:type="dxa" w:w="120"/>
              <w:bottom w:type="dxa" w:w="90"/>
              <w:right w:type="dxa" w:w="120"/>
            </w:tcMar>
          </w:tcPr>
          <w:p>
            <w:pPr>
              <w:spacing w:after="0" w:line="260"/>
            </w:pPr>
            <w:r>
              <w:rPr>
                <w:sz w:val="20"/>
                <w:szCs w:val="20"/>
              </w:rPr>
              <w:t xml:space="preserve">Recursive reproduction; it used a mature host economy</w:t>
            </w:r>
          </w:p>
        </w:tc>
      </w:tr>
      <w:tr>
        <w:tc>
          <w:tcPr>
            <w:tcW w:type="dxa" w:w="2600"/>
            <w:tcMar>
              <w:top w:type="dxa" w:w="90"/>
              <w:left w:type="dxa" w:w="120"/>
              <w:bottom w:type="dxa" w:w="90"/>
              <w:right w:type="dxa" w:w="120"/>
            </w:tcMar>
          </w:tcPr>
          <w:p>
            <w:pPr>
              <w:spacing w:after="0" w:line="260"/>
            </w:pPr>
            <w:r>
              <w:rPr>
                <w:sz w:val="20"/>
                <w:szCs w:val="20"/>
              </w:rPr>
              <w:t xml:space="preserve">Humanoid robot production (units/yr)</w:t>
            </w:r>
          </w:p>
        </w:tc>
        <w:tc>
          <w:tcPr>
            <w:tcW w:type="dxa" w:w="1900"/>
            <w:tcMar>
              <w:top w:type="dxa" w:w="90"/>
              <w:left w:type="dxa" w:w="120"/>
              <w:bottom w:type="dxa" w:w="90"/>
              <w:right w:type="dxa" w:w="120"/>
            </w:tcMar>
          </w:tcPr>
          <w:p>
            <w:pPr>
              <w:spacing w:after="0" w:line="260"/>
            </w:pPr>
            <w:r>
              <w:rPr>
                <w:sz w:val="20"/>
                <w:szCs w:val="20"/>
              </w:rPr>
              <w:t xml:space="preserve">50,000–100,000 targeted 2026</w:t>
            </w:r>
          </w:p>
        </w:tc>
        <w:tc>
          <w:tcPr>
            <w:tcW w:type="dxa" w:w="2500"/>
            <w:tcMar>
              <w:top w:type="dxa" w:w="90"/>
              <w:left w:type="dxa" w:w="120"/>
              <w:bottom w:type="dxa" w:w="90"/>
              <w:right w:type="dxa" w:w="120"/>
            </w:tcMar>
          </w:tcPr>
          <w:p>
            <w:pPr>
              <w:spacing w:after="0" w:line="260"/>
            </w:pPr>
            <w:r>
              <w:rPr>
                <w:sz w:val="20"/>
                <w:szCs w:val="20"/>
              </w:rPr>
              <w:t xml:space="preserve">Company statements, 2026 [S34]</w:t>
            </w:r>
          </w:p>
        </w:tc>
        <w:tc>
          <w:tcPr>
            <w:tcW w:type="dxa" w:w="2360"/>
            <w:tcMar>
              <w:top w:type="dxa" w:w="90"/>
              <w:left w:type="dxa" w:w="120"/>
              <w:bottom w:type="dxa" w:w="90"/>
              <w:right w:type="dxa" w:w="120"/>
            </w:tcMar>
          </w:tcPr>
          <w:p>
            <w:pPr>
              <w:spacing w:after="0" w:line="260"/>
            </w:pPr>
            <w:r>
              <w:rPr>
                <w:sz w:val="20"/>
                <w:szCs w:val="20"/>
              </w:rPr>
              <w:t xml:space="preserve">Feasibility — targets evidence intent, not capability</w:t>
            </w:r>
          </w:p>
        </w:tc>
      </w:tr>
    </w:tbl>
    <w:p>
      <w:pPr>
        <w:spacing w:after="120"/>
      </w:pPr>
    </w:p>
    <w:p>
      <w:pPr>
        <w:spacing w:after="160" w:line="276"/>
      </w:pPr>
      <w:r>
        <w:rPr>
          <w:b/>
          <w:bCs/>
        </w:rPr>
        <w:t xml:space="preserve">System replication time is unknown.</w:t>
      </w:r>
      <w:r>
        <w:t xml:space="preserve"> The four rows above measure four different phenomena and cannot be averaged, bracketed, or read as alternative observations of one variable (Section 5).</w:t>
      </w:r>
    </w:p>
    <w:p>
      <w:pPr>
        <w:pStyle w:val="Heading2"/>
      </w:pPr>
      <w:r>
        <w:t xml:space="preserve">A.3 Closure and data quantities</w:t>
      </w:r>
    </w:p>
    <w:tbl>
      <w:tblPr>
        <w:tblW w:type="dxa" w:w="9360"/>
        <w:tblBorders>
          <w:top w:val="single" w:color="C9C9C9" w:sz="4"/>
          <w:left w:val="single" w:color="C9C9C9" w:sz="4"/>
          <w:bottom w:val="single" w:color="C9C9C9" w:sz="4"/>
          <w:right w:val="single" w:color="C9C9C9" w:sz="4"/>
          <w:insideH w:val="single" w:color="C9C9C9" w:sz="4"/>
          <w:insideV w:val="single" w:color="C9C9C9" w:sz="4"/>
        </w:tblBorders>
      </w:tblPr>
      <w:tblGrid>
        <w:gridCol w:w="2600"/>
        <w:gridCol w:w="2100"/>
        <w:gridCol w:w="2400"/>
        <w:gridCol w:w="2260"/>
      </w:tblGrid>
      <w:tr>
        <w:trPr>
          <w:tblHeader/>
        </w:trPr>
        <w:tc>
          <w:tcPr>
            <w:tcW w:type="dxa" w:w="2600"/>
            <w:shd w:fill="E8EBF1" w:val="clear"/>
            <w:tcMar>
              <w:top w:type="dxa" w:w="90"/>
              <w:left w:type="dxa" w:w="120"/>
              <w:bottom w:type="dxa" w:w="90"/>
              <w:right w:type="dxa" w:w="120"/>
            </w:tcMar>
          </w:tcPr>
          <w:p>
            <w:pPr>
              <w:spacing w:after="0" w:line="260"/>
            </w:pPr>
            <w:r>
              <w:rPr>
                <w:b/>
                <w:bCs/>
                <w:color w:val="1F3352"/>
                <w:sz w:val="20"/>
                <w:szCs w:val="20"/>
              </w:rPr>
              <w:t xml:space="preserve">Quantity</w:t>
            </w:r>
          </w:p>
        </w:tc>
        <w:tc>
          <w:tcPr>
            <w:tcW w:type="dxa" w:w="2100"/>
            <w:shd w:fill="E8EBF1" w:val="clear"/>
            <w:tcMar>
              <w:top w:type="dxa" w:w="90"/>
              <w:left w:type="dxa" w:w="120"/>
              <w:bottom w:type="dxa" w:w="90"/>
              <w:right w:type="dxa" w:w="120"/>
            </w:tcMar>
          </w:tcPr>
          <w:p>
            <w:pPr>
              <w:spacing w:after="0" w:line="260"/>
            </w:pPr>
            <w:r>
              <w:rPr>
                <w:b/>
                <w:bCs/>
                <w:color w:val="1F3352"/>
                <w:sz w:val="20"/>
                <w:szCs w:val="20"/>
              </w:rPr>
              <w:t xml:space="preserve">Estimate / range</w:t>
            </w:r>
          </w:p>
        </w:tc>
        <w:tc>
          <w:tcPr>
            <w:tcW w:type="dxa" w:w="2400"/>
            <w:shd w:fill="E8EBF1" w:val="clear"/>
            <w:tcMar>
              <w:top w:type="dxa" w:w="90"/>
              <w:left w:type="dxa" w:w="120"/>
              <w:bottom w:type="dxa" w:w="90"/>
              <w:right w:type="dxa" w:w="120"/>
            </w:tcMar>
          </w:tcPr>
          <w:p>
            <w:pPr>
              <w:spacing w:after="0" w:line="260"/>
            </w:pPr>
            <w:r>
              <w:rPr>
                <w:b/>
                <w:bCs/>
                <w:color w:val="1F3352"/>
                <w:sz w:val="20"/>
                <w:szCs w:val="20"/>
              </w:rPr>
              <w:t xml:space="preserve">Source [ref]</w:t>
            </w:r>
          </w:p>
        </w:tc>
        <w:tc>
          <w:tcPr>
            <w:tcW w:type="dxa" w:w="2260"/>
            <w:shd w:fill="E8EBF1" w:val="clear"/>
            <w:tcMar>
              <w:top w:type="dxa" w:w="90"/>
              <w:left w:type="dxa" w:w="120"/>
              <w:bottom w:type="dxa" w:w="90"/>
              <w:right w:type="dxa" w:w="120"/>
            </w:tcMar>
          </w:tcPr>
          <w:p>
            <w:pPr>
              <w:spacing w:after="0" w:line="260"/>
            </w:pPr>
            <w:r>
              <w:rPr>
                <w:b/>
                <w:bCs/>
                <w:color w:val="1F3352"/>
                <w:sz w:val="20"/>
                <w:szCs w:val="20"/>
              </w:rPr>
              <w:t xml:space="preserve">Note</w:t>
            </w:r>
          </w:p>
        </w:tc>
      </w:tr>
      <w:tr>
        <w:tc>
          <w:tcPr>
            <w:tcW w:type="dxa" w:w="2600"/>
            <w:tcMar>
              <w:top w:type="dxa" w:w="90"/>
              <w:left w:type="dxa" w:w="120"/>
              <w:bottom w:type="dxa" w:w="90"/>
              <w:right w:type="dxa" w:w="120"/>
            </w:tcMar>
          </w:tcPr>
          <w:p>
            <w:pPr>
              <w:spacing w:after="0" w:line="260"/>
            </w:pPr>
            <w:r>
              <w:rPr>
                <w:sz w:val="20"/>
                <w:szCs w:val="20"/>
              </w:rPr>
              <w:t xml:space="preserve">Closure reported in cited nonreplicating production applications (%)</w:t>
            </w:r>
          </w:p>
        </w:tc>
        <w:tc>
          <w:tcPr>
            <w:tcW w:type="dxa" w:w="2100"/>
            <w:tcMar>
              <w:top w:type="dxa" w:w="90"/>
              <w:left w:type="dxa" w:w="120"/>
              <w:bottom w:type="dxa" w:w="90"/>
              <w:right w:type="dxa" w:w="120"/>
            </w:tcMar>
          </w:tcPr>
          <w:p>
            <w:pPr>
              <w:spacing w:after="0" w:line="260"/>
            </w:pPr>
            <w:r>
              <w:rPr>
                <w:sz w:val="20"/>
                <w:szCs w:val="20"/>
              </w:rPr>
              <w:t xml:space="preserve">90–96</w:t>
            </w:r>
          </w:p>
        </w:tc>
        <w:tc>
          <w:tcPr>
            <w:tcW w:type="dxa" w:w="2400"/>
            <w:tcMar>
              <w:top w:type="dxa" w:w="90"/>
              <w:left w:type="dxa" w:w="120"/>
              <w:bottom w:type="dxa" w:w="90"/>
              <w:right w:type="dxa" w:w="120"/>
            </w:tcMar>
          </w:tcPr>
          <w:p>
            <w:pPr>
              <w:spacing w:after="0" w:line="260"/>
            </w:pPr>
            <w:r>
              <w:rPr>
                <w:sz w:val="20"/>
                <w:szCs w:val="20"/>
              </w:rPr>
              <w:t xml:space="preserve">NASA CP-2255, 1980, citing earlier studies [S23]</w:t>
            </w:r>
          </w:p>
        </w:tc>
        <w:tc>
          <w:tcPr>
            <w:tcW w:type="dxa" w:w="2260"/>
            <w:tcMar>
              <w:top w:type="dxa" w:w="90"/>
              <w:left w:type="dxa" w:w="120"/>
              <w:bottom w:type="dxa" w:w="90"/>
              <w:right w:type="dxa" w:w="120"/>
            </w:tcMar>
          </w:tcPr>
          <w:p>
            <w:pPr>
              <w:spacing w:after="0" w:line="260"/>
            </w:pPr>
            <w:r>
              <w:rPr>
                <w:sz w:val="20"/>
                <w:szCs w:val="20"/>
              </w:rPr>
              <w:t xml:space="preserve">Not a demonstrated closure result for the proposed factory; complete parts closure was outside the study’s scope</w:t>
            </w:r>
          </w:p>
        </w:tc>
      </w:tr>
      <w:tr>
        <w:tc>
          <w:tcPr>
            <w:tcW w:type="dxa" w:w="2600"/>
            <w:tcMar>
              <w:top w:type="dxa" w:w="90"/>
              <w:left w:type="dxa" w:w="120"/>
              <w:bottom w:type="dxa" w:w="90"/>
              <w:right w:type="dxa" w:w="120"/>
            </w:tcMar>
          </w:tcPr>
          <w:p>
            <w:pPr>
              <w:spacing w:after="0" w:line="260"/>
            </w:pPr>
            <w:r>
              <w:rPr>
                <w:sz w:val="20"/>
                <w:szCs w:val="20"/>
              </w:rPr>
              <w:t xml:space="preserve">Demonstrated ISRU oxygen, Mars (g/hr)</w:t>
            </w:r>
          </w:p>
        </w:tc>
        <w:tc>
          <w:tcPr>
            <w:tcW w:type="dxa" w:w="2100"/>
            <w:tcMar>
              <w:top w:type="dxa" w:w="90"/>
              <w:left w:type="dxa" w:w="120"/>
              <w:bottom w:type="dxa" w:w="90"/>
              <w:right w:type="dxa" w:w="120"/>
            </w:tcMar>
          </w:tcPr>
          <w:p>
            <w:pPr>
              <w:spacing w:after="0" w:line="260"/>
            </w:pPr>
            <w:r>
              <w:rPr>
                <w:sz w:val="20"/>
                <w:szCs w:val="20"/>
              </w:rPr>
              <w:t xml:space="preserve">6–12</w:t>
            </w:r>
          </w:p>
        </w:tc>
        <w:tc>
          <w:tcPr>
            <w:tcW w:type="dxa" w:w="2400"/>
            <w:tcMar>
              <w:top w:type="dxa" w:w="90"/>
              <w:left w:type="dxa" w:w="120"/>
              <w:bottom w:type="dxa" w:w="90"/>
              <w:right w:type="dxa" w:w="120"/>
            </w:tcMar>
          </w:tcPr>
          <w:p>
            <w:pPr>
              <w:spacing w:after="0" w:line="260"/>
            </w:pPr>
            <w:r>
              <w:rPr>
                <w:sz w:val="20"/>
                <w:szCs w:val="20"/>
              </w:rPr>
              <w:t xml:space="preserve">Mission results, 2021–23 [S21]</w:t>
            </w:r>
          </w:p>
        </w:tc>
        <w:tc>
          <w:tcPr>
            <w:tcW w:type="dxa" w:w="2260"/>
            <w:tcMar>
              <w:top w:type="dxa" w:w="90"/>
              <w:left w:type="dxa" w:w="120"/>
              <w:bottom w:type="dxa" w:w="90"/>
              <w:right w:type="dxa" w:w="120"/>
            </w:tcMar>
          </w:tcPr>
          <w:p>
            <w:pPr>
              <w:spacing w:after="0" w:line="260"/>
            </w:pPr>
            <w:r>
              <w:rPr>
                <w:sz w:val="20"/>
                <w:szCs w:val="20"/>
              </w:rPr>
              <w:t xml:space="preserve">Single output, toaster scale</w:t>
            </w:r>
          </w:p>
        </w:tc>
      </w:tr>
      <w:tr>
        <w:tc>
          <w:tcPr>
            <w:tcW w:type="dxa" w:w="2600"/>
            <w:tcMar>
              <w:top w:type="dxa" w:w="90"/>
              <w:left w:type="dxa" w:w="120"/>
              <w:bottom w:type="dxa" w:w="90"/>
              <w:right w:type="dxa" w:w="120"/>
            </w:tcMar>
          </w:tcPr>
          <w:p>
            <w:pPr>
              <w:spacing w:after="0" w:line="260"/>
            </w:pPr>
            <w:r>
              <w:rPr>
                <w:sz w:val="20"/>
                <w:szCs w:val="20"/>
              </w:rPr>
              <w:t xml:space="preserve">Demonstrated lunar O₂ yield (%, TRL 5/6)</w:t>
            </w:r>
          </w:p>
        </w:tc>
        <w:tc>
          <w:tcPr>
            <w:tcW w:type="dxa" w:w="2100"/>
            <w:tcMar>
              <w:top w:type="dxa" w:w="90"/>
              <w:left w:type="dxa" w:w="120"/>
              <w:bottom w:type="dxa" w:w="90"/>
              <w:right w:type="dxa" w:w="120"/>
            </w:tcMar>
          </w:tcPr>
          <w:p>
            <w:pPr>
              <w:spacing w:after="0" w:line="260"/>
            </w:pPr>
            <w:r>
              <w:rPr>
                <w:sz w:val="20"/>
                <w:szCs w:val="20"/>
              </w:rPr>
              <w:t xml:space="preserve">~20</w:t>
            </w:r>
          </w:p>
        </w:tc>
        <w:tc>
          <w:tcPr>
            <w:tcW w:type="dxa" w:w="2400"/>
            <w:tcMar>
              <w:top w:type="dxa" w:w="90"/>
              <w:left w:type="dxa" w:w="120"/>
              <w:bottom w:type="dxa" w:w="90"/>
              <w:right w:type="dxa" w:w="120"/>
            </w:tcMar>
          </w:tcPr>
          <w:p>
            <w:pPr>
              <w:spacing w:after="0" w:line="260"/>
            </w:pPr>
            <w:r>
              <w:rPr>
                <w:sz w:val="20"/>
                <w:szCs w:val="20"/>
              </w:rPr>
              <w:t xml:space="preserve">NASA demonstrations, 2024–25 [S21]</w:t>
            </w:r>
          </w:p>
        </w:tc>
        <w:tc>
          <w:tcPr>
            <w:tcW w:type="dxa" w:w="2260"/>
            <w:tcMar>
              <w:top w:type="dxa" w:w="90"/>
              <w:left w:type="dxa" w:w="120"/>
              <w:bottom w:type="dxa" w:w="90"/>
              <w:right w:type="dxa" w:w="120"/>
            </w:tcMar>
          </w:tcPr>
          <w:p>
            <w:pPr>
              <w:spacing w:after="0" w:line="260"/>
            </w:pPr>
            <w:r>
              <w:rPr>
                <w:sz w:val="20"/>
                <w:szCs w:val="20"/>
              </w:rPr>
              <w:t xml:space="preserve">Simulated conditions; full-system closure undemonstrated</w:t>
            </w:r>
          </w:p>
        </w:tc>
      </w:tr>
      <w:tr>
        <w:tc>
          <w:tcPr>
            <w:tcW w:type="dxa" w:w="2600"/>
            <w:tcMar>
              <w:top w:type="dxa" w:w="90"/>
              <w:left w:type="dxa" w:w="120"/>
              <w:bottom w:type="dxa" w:w="90"/>
              <w:right w:type="dxa" w:w="120"/>
            </w:tcMar>
          </w:tcPr>
          <w:p>
            <w:pPr>
              <w:spacing w:after="0" w:line="260"/>
            </w:pPr>
            <w:r>
              <w:rPr>
                <w:sz w:val="20"/>
                <w:szCs w:val="20"/>
              </w:rPr>
              <w:t xml:space="preserve">Fleet data scale (cumulative miles)</w:t>
            </w:r>
          </w:p>
        </w:tc>
        <w:tc>
          <w:tcPr>
            <w:tcW w:type="dxa" w:w="2100"/>
            <w:tcMar>
              <w:top w:type="dxa" w:w="90"/>
              <w:left w:type="dxa" w:w="120"/>
              <w:bottom w:type="dxa" w:w="90"/>
              <w:right w:type="dxa" w:w="120"/>
            </w:tcMar>
          </w:tcPr>
          <w:p>
            <w:pPr>
              <w:spacing w:after="0" w:line="260"/>
            </w:pPr>
            <w:r>
              <w:rPr>
                <w:sz w:val="20"/>
                <w:szCs w:val="20"/>
              </w:rPr>
              <w:t xml:space="preserve">&gt;10B supervised; ~220M driverless (other operator)</w:t>
            </w:r>
          </w:p>
        </w:tc>
        <w:tc>
          <w:tcPr>
            <w:tcW w:type="dxa" w:w="2400"/>
            <w:tcMar>
              <w:top w:type="dxa" w:w="90"/>
              <w:left w:type="dxa" w:w="120"/>
              <w:bottom w:type="dxa" w:w="90"/>
              <w:right w:type="dxa" w:w="120"/>
            </w:tcMar>
          </w:tcPr>
          <w:p>
            <w:pPr>
              <w:spacing w:after="0" w:line="260"/>
            </w:pPr>
            <w:r>
              <w:rPr>
                <w:sz w:val="20"/>
                <w:szCs w:val="20"/>
              </w:rPr>
              <w:t xml:space="preserve">Company statements; safety disclosures, 2026 [S17, S29]</w:t>
            </w:r>
          </w:p>
        </w:tc>
        <w:tc>
          <w:tcPr>
            <w:tcW w:type="dxa" w:w="2260"/>
            <w:tcMar>
              <w:top w:type="dxa" w:w="90"/>
              <w:left w:type="dxa" w:w="120"/>
              <w:bottom w:type="dxa" w:w="90"/>
              <w:right w:type="dxa" w:w="120"/>
            </w:tcMar>
          </w:tcPr>
          <w:p>
            <w:pPr>
              <w:spacing w:after="0" w:line="260"/>
            </w:pPr>
            <w:r>
              <w:rPr>
                <w:sz w:val="20"/>
                <w:szCs w:val="20"/>
              </w:rPr>
              <w:t xml:space="preserve">No conversion between regimes; not an advantage multiple</w:t>
            </w:r>
          </w:p>
        </w:tc>
      </w:tr>
      <w:tr>
        <w:tc>
          <w:tcPr>
            <w:tcW w:type="dxa" w:w="2600"/>
            <w:tcMar>
              <w:top w:type="dxa" w:w="90"/>
              <w:left w:type="dxa" w:w="120"/>
              <w:bottom w:type="dxa" w:w="90"/>
              <w:right w:type="dxa" w:w="120"/>
            </w:tcMar>
          </w:tcPr>
          <w:p>
            <w:pPr>
              <w:spacing w:after="0" w:line="260"/>
            </w:pPr>
            <w:r>
              <w:rPr>
                <w:sz w:val="20"/>
                <w:szCs w:val="20"/>
              </w:rPr>
              <w:t xml:space="preserve">Heavy-lift test flights (count, to mid-2026)</w:t>
            </w:r>
          </w:p>
        </w:tc>
        <w:tc>
          <w:tcPr>
            <w:tcW w:type="dxa" w:w="2100"/>
            <w:tcMar>
              <w:top w:type="dxa" w:w="90"/>
              <w:left w:type="dxa" w:w="120"/>
              <w:bottom w:type="dxa" w:w="90"/>
              <w:right w:type="dxa" w:w="120"/>
            </w:tcMar>
          </w:tcPr>
          <w:p>
            <w:pPr>
              <w:spacing w:after="0" w:line="260"/>
            </w:pPr>
            <w:r>
              <w:rPr>
                <w:sz w:val="20"/>
                <w:szCs w:val="20"/>
              </w:rPr>
              <w:t xml:space="preserve">13</w:t>
            </w:r>
          </w:p>
        </w:tc>
        <w:tc>
          <w:tcPr>
            <w:tcW w:type="dxa" w:w="2400"/>
            <w:tcMar>
              <w:top w:type="dxa" w:w="90"/>
              <w:left w:type="dxa" w:w="120"/>
              <w:bottom w:type="dxa" w:w="90"/>
              <w:right w:type="dxa" w:w="120"/>
            </w:tcMar>
          </w:tcPr>
          <w:p>
            <w:pPr>
              <w:spacing w:after="0" w:line="260"/>
            </w:pPr>
            <w:r>
              <w:rPr>
                <w:sz w:val="20"/>
                <w:szCs w:val="20"/>
              </w:rPr>
              <w:t xml:space="preserve">Launch reporting, 2026 [S30]</w:t>
            </w:r>
          </w:p>
        </w:tc>
        <w:tc>
          <w:tcPr>
            <w:tcW w:type="dxa" w:w="2260"/>
            <w:tcMar>
              <w:top w:type="dxa" w:w="90"/>
              <w:left w:type="dxa" w:w="120"/>
              <w:bottom w:type="dxa" w:w="90"/>
              <w:right w:type="dxa" w:w="120"/>
            </w:tcMar>
          </w:tcPr>
          <w:p>
            <w:pPr>
              <w:spacing w:after="0" w:line="260"/>
            </w:pPr>
            <w:r>
              <w:rPr>
                <w:sz w:val="20"/>
                <w:szCs w:val="20"/>
              </w:rPr>
              <w:t xml:space="preserve">Low-volume, high-information regime</w:t>
            </w:r>
          </w:p>
        </w:tc>
      </w:tr>
    </w:tbl>
    <w:p>
      <w:pPr>
        <w:spacing w:after="160"/>
      </w:pPr>
    </w:p>
    <w:p>
      <w:pPr>
        <w:spacing w:after="160" w:line="276"/>
      </w:pPr>
      <w:r>
        <w:t xml:space="preserve">Three readings. </w:t>
      </w:r>
      <w:r>
        <w:rPr>
          <w:b/>
          <w:bCs/>
        </w:rPr>
        <w:t xml:space="preserve">First</w:t>
      </w:r>
      <w:r>
        <w:t xml:space="preserve">, the A.2 rows measure different phenomena — energy payback, a design-study estimate, and project execution — and therefore do not establish a system replication time, which remains </w:t>
      </w:r>
      <w:r>
        <w:rPr>
          <w:b/>
          <w:bCs/>
        </w:rPr>
        <w:t xml:space="preserve">unknown</w:t>
      </w:r>
      <w:r>
        <w:t xml:space="preserve">; one year survives only as the optimistic design assumption of the 1980 study (Section 5). </w:t>
      </w:r>
      <w:r>
        <w:rPr>
          <w:b/>
          <w:bCs/>
        </w:rPr>
        <w:t xml:space="preserve">Second</w:t>
      </w:r>
      <w:r>
        <w:t xml:space="preserve">, δ in space is dominated by irreparability and catastrophic loss, not faster wear: measured degradation runs only two to three times terrestrial, while the most advanced terrestrial capital is retired faster through obsolescence than space hardware physically degrades. </w:t>
      </w:r>
      <w:r>
        <w:rPr>
          <w:b/>
          <w:bCs/>
        </w:rPr>
        <w:t xml:space="preserve">Third</w:t>
      </w:r>
      <w:r>
        <w:t xml:space="preserve">, κ shows a wide theory-versus-demonstration gap — ninety-percent closure on paper, twenty-percent single-output yield in demonstration — and closing that gap is precisely what the indicators of Section 14 track.</w:t>
      </w:r>
    </w:p>
    <w:p>
      <w:r>
        <w:br w:type="page"/>
      </w:r>
    </w:p>
    <w:p>
      <w:pPr>
        <w:pStyle w:val="Heading1"/>
      </w:pPr>
      <w:r>
        <w:t xml:space="preserve">Appendix B: Revision History</w:t>
      </w:r>
    </w:p>
    <w:p>
      <w:pPr>
        <w:spacing w:after="160" w:line="276"/>
      </w:pPr>
      <w:r>
        <w:t xml:space="preserve">Recorded for provenance; the body text states corrected positions directly rather than narrating their history.</w:t>
      </w:r>
    </w:p>
    <w:p>
      <w:pPr>
        <w:pStyle w:val="ListParagraph"/>
        <w:numPr>
          <w:ilvl w:val="0"/>
          <w:numId w:val="2"/>
        </w:numPr>
        <w:spacing w:after="100" w:line="276"/>
      </w:pPr>
      <w:r>
        <w:rPr>
          <w:b/>
          <w:bCs/>
        </w:rPr>
        <w:t xml:space="preserve">2.1</w:t>
      </w:r>
      <w:r>
        <w:t xml:space="preserve"> Economics of closure: capital wall, operating wall, threshold-model argument.</w:t>
      </w:r>
    </w:p>
    <w:p>
      <w:pPr>
        <w:pStyle w:val="ListParagraph"/>
        <w:numPr>
          <w:ilvl w:val="0"/>
          <w:numId w:val="2"/>
        </w:numPr>
        <w:spacing w:after="100" w:line="276"/>
      </w:pPr>
      <w:r>
        <w:rPr>
          <w:b/>
          <w:bCs/>
        </w:rPr>
        <w:t xml:space="preserve">2.2</w:t>
      </w:r>
      <w:r>
        <w:t xml:space="preserve"> Architectural convergence and the deployment-limited terminal regime.</w:t>
      </w:r>
    </w:p>
    <w:p>
      <w:pPr>
        <w:pStyle w:val="ListParagraph"/>
        <w:numPr>
          <w:ilvl w:val="0"/>
          <w:numId w:val="2"/>
        </w:numPr>
        <w:spacing w:after="100" w:line="276"/>
      </w:pPr>
      <w:r>
        <w:rPr>
          <w:b/>
          <w:bCs/>
        </w:rPr>
        <w:t xml:space="preserve">2.3</w:t>
      </w:r>
      <w:r>
        <w:t xml:space="preserve"> Paradigm-shift catch-up dynamics and the paradigm-sensitivity split.</w:t>
      </w:r>
    </w:p>
    <w:p>
      <w:pPr>
        <w:pStyle w:val="ListParagraph"/>
        <w:numPr>
          <w:ilvl w:val="0"/>
          <w:numId w:val="2"/>
        </w:numPr>
        <w:spacing w:after="100" w:line="276"/>
      </w:pPr>
      <w:r>
        <w:rPr>
          <w:b/>
          <w:bCs/>
        </w:rPr>
        <w:t xml:space="preserve">2.4</w:t>
      </w:r>
      <w:r>
        <w:t xml:space="preserve"> Physical-process data as the exhaust of the physical loop; data-closure indicator.</w:t>
      </w:r>
    </w:p>
    <w:p>
      <w:pPr>
        <w:pStyle w:val="ListParagraph"/>
        <w:numPr>
          <w:ilvl w:val="0"/>
          <w:numId w:val="2"/>
        </w:numPr>
        <w:spacing w:after="100" w:line="276"/>
      </w:pPr>
      <w:r>
        <w:rPr>
          <w:b/>
          <w:bCs/>
        </w:rPr>
        <w:t xml:space="preserve">2.5</w:t>
      </w:r>
      <w:r>
        <w:t xml:space="preserve"> Unified build record; supplemental-training pattern; two-sided export-control fence.</w:t>
      </w:r>
    </w:p>
    <w:p>
      <w:pPr>
        <w:pStyle w:val="ListParagraph"/>
        <w:numPr>
          <w:ilvl w:val="0"/>
          <w:numId w:val="2"/>
        </w:numPr>
        <w:spacing w:after="100" w:line="276"/>
      </w:pPr>
      <w:r>
        <w:rPr>
          <w:b/>
          <w:bCs/>
        </w:rPr>
        <w:t xml:space="preserve">2.6</w:t>
      </w:r>
      <w:r>
        <w:t xml:space="preserve"> First parameter anchors (Appendix A); measured correction to the space-depreciation claim; primary-source replacement for internal-systems material.</w:t>
      </w:r>
    </w:p>
    <w:p>
      <w:pPr>
        <w:pStyle w:val="ListParagraph"/>
        <w:numPr>
          <w:ilvl w:val="0"/>
          <w:numId w:val="2"/>
        </w:numPr>
        <w:spacing w:after="100" w:line="276"/>
      </w:pPr>
      <w:r>
        <w:rPr>
          <w:b/>
          <w:bCs/>
        </w:rPr>
        <w:t xml:space="preserve">2.7</w:t>
      </w:r>
      <w:r>
        <w:t xml:space="preserve"> Coasean treatment of integration versus modularity; gateway-anchored governance; ceiling distances paired with traversal rates.</w:t>
      </w:r>
    </w:p>
    <w:p>
      <w:pPr>
        <w:pStyle w:val="ListParagraph"/>
        <w:numPr>
          <w:ilvl w:val="0"/>
          <w:numId w:val="2"/>
        </w:numPr>
        <w:spacing w:after="100" w:line="276"/>
      </w:pPr>
      <w:r>
        <w:rPr>
          <w:b/>
          <w:bCs/>
        </w:rPr>
        <w:t xml:space="preserve">2.8</w:t>
      </w:r>
      <w:r>
        <w:t xml:space="preserve"> Terafab status corrected against the S-1; four-propositions ladder; replication time marked unknown; dimensional repairs; δ decomposition; vector closure with minimum cut sets; competing hypotheses H0–H3; modal-drift corrections.</w:t>
      </w:r>
    </w:p>
    <w:p>
      <w:pPr>
        <w:pStyle w:val="ListParagraph"/>
        <w:numPr>
          <w:ilvl w:val="0"/>
          <w:numId w:val="2"/>
        </w:numPr>
        <w:spacing w:after="100" w:line="276"/>
      </w:pPr>
      <w:r>
        <w:rPr>
          <w:b/>
          <w:bCs/>
        </w:rPr>
        <w:t xml:space="preserve">2.9</w:t>
      </w:r>
      <w:r>
        <w:t xml:space="preserve"> Editorial pass: claim-level citation; terminology harmonised (initiative not joint venture; overlapping control not common ownership); Appendix A restructured by measured quantity; softened claims in the Coasean, governance, data-moat, and terminal-scenario arguments; first-party Terafab messaging added as discriminating evidence; revision history moved here.</w:t>
      </w:r>
    </w:p>
    <w:p>
      <w:pPr>
        <w:pStyle w:val="ListParagraph"/>
        <w:numPr>
          <w:ilvl w:val="0"/>
          <w:numId w:val="2"/>
        </w:numPr>
        <w:spacing w:after="100" w:line="276"/>
      </w:pPr>
      <w:r>
        <w:rPr>
          <w:b/>
          <w:bCs/>
        </w:rPr>
        <w:t xml:space="preserve">2.10</w:t>
      </w:r>
      <w:r>
        <w:t xml:space="preserve"> Orbital compute corrected from unquantified to partially quantified against a published design study, including this paper's first external crossover threshold; compute efficiency identified as a mass multiplier off Earth; the no-repair penalty narrowed for short-lived low-orbit hardware; temporal irreproducibility added as a data-moat property; demand-side saturation added as a challenge to the terminal scenario; the protect-the-biosphere telos recorded as an alternative reading; payload cost-performance and launch alternatives added to the competition analysis.</w:t>
      </w:r>
    </w:p>
    <w:p>
      <w:pPr>
        <w:pStyle w:val="ListParagraph"/>
        <w:numPr>
          <w:ilvl w:val="0"/>
          <w:numId w:val="2"/>
        </w:numPr>
        <w:spacing w:after="100" w:line="276"/>
      </w:pPr>
      <w:r>
        <w:rPr>
          <w:b/>
          <w:bCs/>
        </w:rPr>
        <w:t xml:space="preserve">2.11</w:t>
      </w:r>
      <w:r>
        <w:t xml:space="preserve"> Correction pass: the orbital-compute study recharacterised from crossover threshold to launch-cost feasibility marker against its own text; the NASA 1980 anchor recharacterised as a strawman design target with closure figures drawn from nonreplicating applications; depreciation evidence de-overinterpreted and five capacity-loss quantities separated; Terafab sites, executed county agreements, Intel’s fab record, and two withdrawn scale comparisons; P4 split into documented integration (P4a) and inferred closure (P4b) with nested hypotheses; robot-reproduction, clock-setting, and governance-leverage relations reformulated; the Coasean argument made conditional on relative cost movement; the temporal data moat softened to a lead-time barrier; terminal-scenario absolutes bounded; full citation audit and source renumbering.</w:t>
      </w:r>
    </w:p>
    <w:p>
      <w:r>
        <w:br w:type="page"/>
      </w:r>
    </w:p>
    <w:p>
      <w:pPr>
        <w:pStyle w:val="Heading1"/>
      </w:pPr>
      <w:r>
        <w:t xml:space="preserve">Glossary</w:t>
      </w:r>
    </w:p>
    <w:p>
      <w:pPr>
        <w:spacing w:after="120" w:line="276"/>
      </w:pPr>
      <w:r>
        <w:rPr>
          <w:b/>
          <w:bCs/>
        </w:rPr>
        <w:t xml:space="preserve">Recursive self-improvement (RSI): </w:t>
      </w:r>
      <w:r>
        <w:t xml:space="preserve">A process in which an intelligent system contributes to producing a more capable successor.</w:t>
      </w:r>
    </w:p>
    <w:p>
      <w:pPr>
        <w:spacing w:after="120" w:line="276"/>
      </w:pPr>
      <w:r>
        <w:rPr>
          <w:b/>
          <w:bCs/>
        </w:rPr>
        <w:t xml:space="preserve">Industrial closure: </w:t>
      </w:r>
      <w:r>
        <w:t xml:space="preserve">The degree to which a production network can internally supply the critical inputs required for its own operation.</w:t>
      </w:r>
    </w:p>
    <w:p>
      <w:pPr>
        <w:spacing w:after="120" w:line="276"/>
      </w:pPr>
      <w:r>
        <w:rPr>
          <w:b/>
          <w:bCs/>
        </w:rPr>
        <w:t xml:space="preserve">Closure engineering: </w:t>
      </w:r>
      <w:r>
        <w:t xml:space="preserve">The quantitative discipline, originating in NASA's 1980 summer study, of accounting for every input a replicating industrial system must produce or import.</w:t>
      </w:r>
    </w:p>
    <w:p>
      <w:pPr>
        <w:spacing w:after="120" w:line="276"/>
      </w:pPr>
      <w:r>
        <w:rPr>
          <w:b/>
          <w:bCs/>
        </w:rPr>
        <w:t xml:space="preserve">Self-sustaining: </w:t>
      </w:r>
      <w:r>
        <w:t xml:space="preserve">Able to replace consumed and depreciated productive capacity without essential external supply.</w:t>
      </w:r>
    </w:p>
    <w:p>
      <w:pPr>
        <w:spacing w:after="120" w:line="276"/>
      </w:pPr>
      <w:r>
        <w:rPr>
          <w:b/>
          <w:bCs/>
        </w:rPr>
        <w:t xml:space="preserve">Self-expanding: </w:t>
      </w:r>
      <w:r>
        <w:t xml:space="preserve">Able to produce net additional productive capacity after replacement and losses.</w:t>
      </w:r>
    </w:p>
    <w:p>
      <w:pPr>
        <w:spacing w:after="120" w:line="276"/>
      </w:pPr>
      <w:r>
        <w:rPr>
          <w:b/>
          <w:bCs/>
        </w:rPr>
        <w:t xml:space="preserve">Industrial seed: </w:t>
      </w:r>
      <w:r>
        <w:t xml:space="preserve">A compact initial system intended to grow into a broader local production network.</w:t>
      </w:r>
    </w:p>
    <w:p>
      <w:pPr>
        <w:spacing w:after="120" w:line="276"/>
      </w:pPr>
      <w:r>
        <w:rPr>
          <w:b/>
          <w:bCs/>
        </w:rPr>
        <w:t xml:space="preserve">Clock-setting component: </w:t>
      </w:r>
      <w:r>
        <w:t xml:space="preserve">The component with the shortest replacement horizon that cannot yet be produced or stockpiled locally; it bounds the survival time of the whole complex.</w:t>
      </w:r>
    </w:p>
    <w:p>
      <w:pPr>
        <w:spacing w:after="120" w:line="276"/>
      </w:pPr>
      <w:r>
        <w:rPr>
          <w:b/>
          <w:bCs/>
        </w:rPr>
        <w:t xml:space="preserve">Replication time: </w:t>
      </w:r>
      <w:r>
        <w:t xml:space="preserve">The time a production network needs to reproduce a unit of its own productive capacity; viability requires it to be shorter than the time to critical failure.</w:t>
      </w:r>
    </w:p>
    <w:p>
      <w:pPr>
        <w:spacing w:after="120" w:line="276"/>
      </w:pPr>
      <w:r>
        <w:rPr>
          <w:b/>
          <w:bCs/>
        </w:rPr>
        <w:t xml:space="preserve">Bridge economy: </w:t>
      </w:r>
      <w:r>
        <w:t xml:space="preserve">The sequence of independently financeable products and services that carries the system through the capital-intensive stages before closure.</w:t>
      </w:r>
    </w:p>
    <w:p>
      <w:pPr>
        <w:spacing w:after="120" w:line="276"/>
      </w:pPr>
      <w:r>
        <w:rPr>
          <w:b/>
          <w:bCs/>
        </w:rPr>
        <w:t xml:space="preserve">ISRU: </w:t>
      </w:r>
      <w:r>
        <w:t xml:space="preserve">In-situ resource utilization: obtaining and using materials available at the mission destination rather than importing all supplies from Earth.</w:t>
      </w:r>
    </w:p>
    <w:p>
      <w:pPr>
        <w:spacing w:after="120" w:line="276"/>
      </w:pPr>
      <w:r>
        <w:rPr>
          <w:b/>
          <w:bCs/>
        </w:rPr>
        <w:t xml:space="preserve">Productive throughput: </w:t>
      </w:r>
      <w:r>
        <w:t xml:space="preserve">The rate at which a system converts energy, materials, and machine time into useful output.</w:t>
      </w:r>
    </w:p>
    <w:p>
      <w:pPr>
        <w:spacing w:after="120" w:line="276"/>
      </w:pPr>
      <w:r>
        <w:rPr>
          <w:b/>
          <w:bCs/>
        </w:rPr>
        <w:t xml:space="preserve">Distributed industrial ecology: </w:t>
      </w:r>
      <w:r>
        <w:t xml:space="preserve">A network of specialized, mutually dependent production nodes whose combined input-output system is self-sustaining or self-expanding.</w:t>
      </w:r>
    </w:p>
    <w:p>
      <w:pPr>
        <w:spacing w:after="120" w:line="276"/>
      </w:pPr>
      <w:r>
        <w:rPr>
          <w:b/>
          <w:bCs/>
        </w:rPr>
        <w:t xml:space="preserve">Scarcity becomes latency: </w:t>
      </w:r>
      <w:r>
        <w:t xml:space="preserve">The proposition that, after high closure, the principal limitation on many outputs is production allocation and completion time rather than external purchase price.</w:t>
      </w:r>
    </w:p>
    <w:p>
      <w:pPr>
        <w:spacing w:after="120" w:line="276"/>
      </w:pPr>
      <w:r>
        <w:rPr>
          <w:b/>
          <w:bCs/>
        </w:rPr>
        <w:t xml:space="preserve">Von Neumann replicator: </w:t>
      </w:r>
      <w:r>
        <w:t xml:space="preserve">A machine system capable of constructing a functional copy of itself from available materials; the formal category to which a fully closed industrial complex belongs.</w:t>
      </w:r>
    </w:p>
    <w:p>
      <w:pPr>
        <w:spacing w:after="120" w:line="276"/>
      </w:pPr>
      <w:r>
        <w:rPr>
          <w:b/>
          <w:bCs/>
        </w:rPr>
        <w:t xml:space="preserve">Terafab: </w:t>
      </w:r>
      <w:r>
        <w:t xml:space="preserve">The chip fabrication initiative announced in March 2026 by Tesla, SpaceX, and xAI, joined by Intel in April 2026, targeting advanced AI chips including radiation-tolerant silicon for orbital deployment. Not a legally constituted joint venture on the evidence available: the S-1 describes a general framework with unsettled implementation [S27].</w:t>
      </w:r>
    </w:p>
    <w:p>
      <w:pPr>
        <w:spacing w:after="120" w:line="276"/>
      </w:pPr>
      <w:r>
        <w:rPr>
          <w:b/>
          <w:bCs/>
        </w:rPr>
        <w:t xml:space="preserve">Society-priced costs: </w:t>
      </w:r>
      <w:r>
        <w:t xml:space="preserve">Operating inputs whose price is set by human institutions rather than physics — land, permits, interconnection, litigation, political goodwill. They rise with scale on Earth and shrink and relocate off-planet, where permission attaches to the gateway — launch, spectrum, liability, treaty — rather than to the complex.</w:t>
      </w:r>
    </w:p>
    <w:p>
      <w:pPr>
        <w:spacing w:after="120" w:line="276"/>
      </w:pPr>
      <w:r>
        <w:rPr>
          <w:b/>
          <w:bCs/>
        </w:rPr>
        <w:t xml:space="preserve">Threshold-model argument: </w:t>
      </w:r>
      <w:r>
        <w:t xml:space="preserve">The proposition that once a base model crosses the capability needed to run verified improvement loops, a smarter starting model confers only a transient head start of some number of loops, and durable advantage shifts to hardware doubling time and industrial closure.</w:t>
      </w:r>
    </w:p>
    <w:p>
      <w:pPr>
        <w:spacing w:after="120" w:line="276"/>
      </w:pPr>
      <w:r>
        <w:rPr>
          <w:b/>
          <w:bCs/>
        </w:rPr>
        <w:t xml:space="preserve">Architectural convergence: </w:t>
      </w:r>
      <w:r>
        <w:t xml:space="preserve">The point at which the marginal value of a further design improvement falls below the marginal value of another deployed node. Past it, intelligence is produced like a commodity, and growth is deployment-limited — set by energy, physical efficiency, and collector area rather than by discovery.</w:t>
      </w:r>
    </w:p>
    <w:p>
      <w:pPr>
        <w:spacing w:after="120" w:line="276"/>
      </w:pPr>
      <w:r>
        <w:rPr>
          <w:b/>
          <w:bCs/>
        </w:rPr>
        <w:t xml:space="preserve">Paradigm-sensitivity split: </w:t>
      </w:r>
      <w:r>
        <w:t xml:space="preserve">The division of the industrial stack into less paradigm-sensitive layers (energy, labour, transport, materials), substantially reusable across a compute-paradigm shift, and the paradigm-specific fabrication layer, where stranding and leapfrog risk concentrate.</w:t>
      </w:r>
    </w:p>
    <w:p>
      <w:pPr>
        <w:spacing w:after="120" w:line="276"/>
      </w:pPr>
      <w:r>
        <w:rPr>
          <w:b/>
          <w:bCs/>
        </w:rPr>
        <w:t xml:space="preserve">Retooling speed: </w:t>
      </w:r>
      <w:r>
        <w:t xml:space="preserve">The time a manufacturing complex needs to reconfigure for a new technology paradigm; alongside hardware doubling time, a first-class competitive metric, and the hedge that general-purpose robotic construction provides against being leapfrogged.</w:t>
      </w:r>
    </w:p>
    <w:p>
      <w:pPr>
        <w:spacing w:after="120" w:line="276"/>
      </w:pPr>
      <w:r>
        <w:rPr>
          <w:b/>
          <w:bCs/>
        </w:rPr>
        <w:t xml:space="preserve">Physical-process data: </w:t>
      </w:r>
      <w:r>
        <w:t xml:space="preserve">Training-relevant data generated only by operating physical industry — test telemetry, process parameters, failure archives, fleet and manipulation data. Unlike public text, it cannot be scraped, is partly fenced by export control, and constitutes the exhaust of the physical loop.</w:t>
      </w:r>
    </w:p>
    <w:p>
      <w:pPr>
        <w:spacing w:after="120" w:line="276"/>
      </w:pPr>
      <w:r>
        <w:rPr>
          <w:b/>
          <w:bCs/>
        </w:rPr>
        <w:t xml:space="preserve">Data-advantage index (κ_D, retained as shorthand): </w:t>
      </w:r>
      <w:r>
        <w:t xml:space="preserve">Not a ratio: total training-relevant data required is not a measurable denominator. An index over uniqueness, causal linkage, coverage, quality, accessibility, integration, and verification value, used to describe direction of effort rather than to compute a fraction.</w:t>
      </w:r>
    </w:p>
    <w:p>
      <w:pPr>
        <w:spacing w:after="120" w:line="276"/>
      </w:pPr>
      <w:r>
        <w:rPr>
          <w:b/>
          <w:bCs/>
        </w:rPr>
        <w:t xml:space="preserve">Unified build record: </w:t>
      </w:r>
      <w:r>
        <w:t xml:space="preserve">A per-unit data structure linking design intent (as designed), production parameters (as built), and operational telemetry (as deployed). The integration layer that makes physical-process data causally trainable — the quality dimension of κ_D.</w:t>
      </w:r>
    </w:p>
    <w:p>
      <w:pPr>
        <w:spacing w:after="120" w:line="276"/>
      </w:pPr>
      <w:r>
        <w:rPr>
          <w:b/>
          <w:bCs/>
        </w:rPr>
        <w:t xml:space="preserve">Vitamin parts: </w:t>
      </w:r>
      <w:r>
        <w:t xml:space="preserve">The residual few percent of a self-replicating system's inputs — microelectronics, bearings, precision instruments — that resist local production and must be imported. The NASA 1980 term for the closure gap; achieving the last increment of closure requires disproportionate mass throughput.</w:t>
      </w:r>
    </w:p>
    <w:p>
      <w:pPr>
        <w:spacing w:after="120" w:line="276"/>
      </w:pPr>
      <w:r>
        <w:rPr>
          <w:b/>
          <w:bCs/>
        </w:rPr>
        <w:t xml:space="preserve">Coasean boundary: </w:t>
      </w:r>
      <w:r>
        <w:t xml:space="preserve">The organizational size at which internal coordination costs equal market transaction costs, setting the efficient limit of integration. AI-driven coordination lowers the internal term and expands the boundary; capital-bearing market interfaces set the external term.</w:t>
      </w:r>
    </w:p>
    <w:p>
      <w:pPr>
        <w:spacing w:after="120" w:line="276"/>
      </w:pPr>
      <w:r>
        <w:rPr>
          <w:b/>
          <w:bCs/>
        </w:rPr>
        <w:t xml:space="preserve">Gateway leverage: </w:t>
      </w:r>
      <w:r>
        <w:t xml:space="preserve">The enforceable governance authority concentrated at the points a space complex still depends on — launch, spectrum, export control, financing. Its material component scales with (1 − κ) and declines as closure rises; non-material channels (communications, cryptographic authority, personnel, ownership, treaty, trade) persist.</w:t>
      </w:r>
    </w:p>
    <w:p>
      <w:pPr>
        <w:spacing w:after="120" w:line="276"/>
      </w:pPr>
      <w:r>
        <w:rPr>
          <w:b/>
          <w:bCs/>
        </w:rPr>
        <w:t xml:space="preserve">Minimum cut set: </w:t>
      </w:r>
      <w:r>
        <w:t xml:space="preserve">A smallest combination of imported inputs whose loss collapses the industrial network; the vector-closure generalization of the clock-setting component.</w:t>
      </w:r>
    </w:p>
    <w:p>
      <w:pPr>
        <w:spacing w:after="120" w:line="276"/>
      </w:pPr>
      <w:r>
        <w:rPr>
          <w:b/>
          <w:bCs/>
        </w:rPr>
        <w:t xml:space="preserve">Likelihood ratio (of evidence): </w:t>
      </w:r>
      <w:r>
        <w:t xml:space="preserve">How much more probable an observation is under one hypothesis than under its competitors. Evidence supports the space-industrial thesis only to the extent it is better predicted by that thesis than by ordinary vertical integration or supply-chain hedging.</w:t>
      </w:r>
    </w:p>
    <w:p>
      <w:pPr>
        <w:pStyle w:val="Heading1"/>
      </w:pPr>
      <w:r>
        <w:t xml:space="preserve">Sources</w:t>
      </w:r>
    </w:p>
    <w:p>
      <w:pPr>
        <w:pStyle w:val="Heading2"/>
      </w:pPr>
      <w:r>
        <w:t xml:space="preserve">Primary statements</w:t>
      </w:r>
    </w:p>
    <w:p>
      <w:pPr>
        <w:spacing w:after="20"/>
      </w:pPr>
      <w:r>
        <w:t xml:space="preserve">1. SpaceX, “Mars &amp; Beyond: A City on Mars.” https://www.spacex.com/humanspaceflight/mars</w:t>
      </w:r>
    </w:p>
    <w:p>
      <w:pPr>
        <w:spacing w:after="140"/>
        <w:ind w:left="360"/>
      </w:pPr>
      <w:r>
        <w:rPr>
          <w:i/>
          <w:iCs/>
          <w:color w:val="595959"/>
          <w:sz w:val="20"/>
          <w:szCs w:val="20"/>
        </w:rPr>
        <w:t xml:space="preserve">SpaceX states that establishing a self-sufficient city on Mars will require large-scale cargo and population transfer.</w:t>
      </w:r>
    </w:p>
    <w:p>
      <w:pPr>
        <w:spacing w:after="20"/>
      </w:pPr>
      <w:r>
        <w:t xml:space="preserve">2. Tesla, “Master Plan Part 3.” https://www.tesla.com/master-plan-part-3</w:t>
      </w:r>
    </w:p>
    <w:p>
      <w:pPr>
        <w:spacing w:after="140"/>
        <w:ind w:left="360"/>
      </w:pPr>
      <w:r>
        <w:rPr>
          <w:i/>
          <w:iCs/>
          <w:color w:val="595959"/>
          <w:sz w:val="20"/>
          <w:szCs w:val="20"/>
        </w:rPr>
        <w:t xml:space="preserve">Tesla outlines a proposed path to a sustainable global energy economy through electrification, renewable generation, and storage.</w:t>
      </w:r>
    </w:p>
    <w:p>
      <w:pPr>
        <w:spacing w:after="20"/>
      </w:pPr>
      <w:r>
        <w:t xml:space="preserve">3. xAI, “Company: Accelerating Scientific Discovery.” https://x.ai/company</w:t>
      </w:r>
    </w:p>
    <w:p>
      <w:pPr>
        <w:spacing w:after="140"/>
        <w:ind w:left="360"/>
      </w:pPr>
      <w:r>
        <w:rPr>
          <w:i/>
          <w:iCs/>
          <w:color w:val="595959"/>
          <w:sz w:val="20"/>
          <w:szCs w:val="20"/>
        </w:rPr>
        <w:t xml:space="preserve">xAI describes its mission as accelerating scientific discovery and extending what humanity can know and do.</w:t>
      </w:r>
    </w:p>
    <w:p>
      <w:pPr>
        <w:spacing w:after="20"/>
      </w:pPr>
      <w:r>
        <w:t xml:space="preserve">4. NASA, “Overview: In-Situ Resource Utilization.” https://www.nasa.gov/overview-in-situ-resource-utilization/</w:t>
      </w:r>
    </w:p>
    <w:p>
      <w:pPr>
        <w:spacing w:after="140"/>
        <w:ind w:left="360"/>
      </w:pPr>
      <w:r>
        <w:rPr>
          <w:i/>
          <w:iCs/>
          <w:color w:val="595959"/>
          <w:sz w:val="20"/>
          <w:szCs w:val="20"/>
        </w:rPr>
        <w:t xml:space="preserve">NASA describes technologies for using lunar resources to produce water, fuel, supplies, and construction capability.</w:t>
      </w:r>
    </w:p>
    <w:p>
      <w:pPr>
        <w:spacing w:after="20"/>
      </w:pPr>
      <w:r>
        <w:t xml:space="preserve">5. NASA, “Lunar Surface Technology.” https://www.nasa.gov/lunar-surface-technology/</w:t>
      </w:r>
    </w:p>
    <w:p>
      <w:pPr>
        <w:spacing w:after="140"/>
        <w:ind w:left="360"/>
      </w:pPr>
      <w:r>
        <w:rPr>
          <w:i/>
          <w:iCs/>
          <w:color w:val="595959"/>
          <w:sz w:val="20"/>
          <w:szCs w:val="20"/>
        </w:rPr>
        <w:t xml:space="preserve">NASA describes ISRU, excavation, infrastructure construction, power, robotics, and autonomy as key lunar capabilities.</w:t>
      </w:r>
    </w:p>
    <w:p>
      <w:pPr>
        <w:pStyle w:val="Heading2"/>
      </w:pPr>
      <w:r>
        <w:t xml:space="preserve">Reporting on the 2026 developments</w:t>
      </w:r>
    </w:p>
    <w:p>
      <w:pPr>
        <w:spacing w:after="20"/>
      </w:pPr>
      <w:r>
        <w:t xml:space="preserve">6. Reuters (via Yahoo Finance), March 14, 2026: “Musk says Tesla's mega AI chip fab project to launch in seven days.”</w:t>
      </w:r>
    </w:p>
    <w:p>
      <w:pPr>
        <w:spacing w:after="140"/>
        <w:ind w:left="360"/>
      </w:pPr>
      <w:r>
        <w:rPr>
          <w:i/>
          <w:iCs/>
          <w:color w:val="595959"/>
          <w:sz w:val="20"/>
          <w:szCs w:val="20"/>
        </w:rPr>
        <w:t xml:space="preserve">Confirms the Terafab name, the AI5 chip program, existing TSMC and Samsung partnerships, and earlier remarks about a possible Intel collaboration.</w:t>
      </w:r>
    </w:p>
    <w:p>
      <w:pPr>
        <w:spacing w:after="20"/>
      </w:pPr>
      <w:r>
        <w:t xml:space="preserve">7. CBS News, March 23, 2026: “What is Elon Musk's Terafab chip project?”</w:t>
      </w:r>
    </w:p>
    <w:p>
      <w:pPr>
        <w:spacing w:after="140"/>
        <w:ind w:left="360"/>
      </w:pPr>
      <w:r>
        <w:rPr>
          <w:i/>
          <w:iCs/>
          <w:color w:val="595959"/>
          <w:sz w:val="20"/>
          <w:szCs w:val="20"/>
        </w:rPr>
        <w:t xml:space="preserve">Summarizes the Austin announcement and the stated purpose of supplying chips for vehicles, spacecraft, and Optimus robots.</w:t>
      </w:r>
    </w:p>
    <w:p>
      <w:pPr>
        <w:spacing w:after="20"/>
      </w:pPr>
      <w:r>
        <w:t xml:space="preserve">8. Proactive Investors (via Yahoo Finance), March 2026: “Musk says Tesla, SpaceX to build $20B Terafab chip plant in Texas.”</w:t>
      </w:r>
    </w:p>
    <w:p>
      <w:pPr>
        <w:spacing w:after="140"/>
        <w:ind w:left="360"/>
      </w:pPr>
      <w:r>
        <w:rPr>
          <w:i/>
          <w:iCs/>
          <w:color w:val="595959"/>
          <w:sz w:val="20"/>
          <w:szCs w:val="20"/>
        </w:rPr>
        <w:t xml:space="preserve">Reports the 2-nanometer target, dual chip lines for terrestrial and space use, and the 2028 mass-production goal.</w:t>
      </w:r>
    </w:p>
    <w:p>
      <w:pPr>
        <w:spacing w:after="20"/>
      </w:pPr>
      <w:r>
        <w:t xml:space="preserve">9. CNBC, May 6, 2026: “Elon Musk's Terafab chip factory in Texas could cost up to $119 billion, filing shows.”</w:t>
      </w:r>
    </w:p>
    <w:p>
      <w:pPr>
        <w:spacing w:after="140"/>
        <w:ind w:left="360"/>
      </w:pPr>
      <w:r>
        <w:rPr>
          <w:i/>
          <w:iCs/>
          <w:color w:val="595959"/>
          <w:sz w:val="20"/>
          <w:szCs w:val="20"/>
        </w:rPr>
        <w:t xml:space="preserve">Reports the filing-based cost ceiling, the ~$3B research fab, SpaceX's lead role in the scaled phase, and public-offering preparations.</w:t>
      </w:r>
    </w:p>
    <w:p>
      <w:pPr>
        <w:spacing w:after="20"/>
      </w:pPr>
      <w:r>
        <w:t xml:space="preserve">10. Teslarati and Electrek, March 22, 2026: launch coverage and critical commentary.</w:t>
      </w:r>
    </w:p>
    <w:p>
      <w:pPr>
        <w:spacing w:after="140"/>
        <w:ind w:left="360"/>
      </w:pPr>
      <w:r>
        <w:rPr>
          <w:i/>
          <w:iCs/>
          <w:color w:val="595959"/>
          <w:sz w:val="20"/>
          <w:szCs w:val="20"/>
        </w:rPr>
        <w:t xml:space="preserve">Together report the joint-venture structure, the SpaceX–xAI merger, the D3 orbital chip line, wafer-start ambitions, the Optimus construction role, and skeptical assessments of feasibility.</w:t>
      </w:r>
    </w:p>
    <w:p>
      <w:pPr>
        <w:spacing w:after="20"/>
      </w:pPr>
      <w:r>
        <w:t xml:space="preserve">11. SpaceXAI, “Introducing Grok 4.5,” July 2026, with contemporaneous coverage by Axios and others.</w:t>
      </w:r>
    </w:p>
    <w:p>
      <w:pPr>
        <w:spacing w:after="140"/>
        <w:ind w:left="360"/>
      </w:pPr>
      <w:r>
        <w:rPr>
          <w:i/>
          <w:iCs/>
          <w:color w:val="595959"/>
          <w:sz w:val="20"/>
          <w:szCs w:val="20"/>
        </w:rPr>
        <w:t xml:space="preserve">Documents the in-house engineering-focused model trained in SpaceXAI's data centers, its use in internal engineering work, and reports of SpaceX engineering data feeding subsequent training runs.</w:t>
      </w:r>
    </w:p>
    <w:p>
      <w:pPr>
        <w:spacing w:after="20"/>
      </w:pPr>
      <w:r>
        <w:t xml:space="preserve">12. VentureBeat and Northflank, July 2026: coverage of Moonshot AI's Kimi K3 release.</w:t>
      </w:r>
    </w:p>
    <w:p>
      <w:pPr>
        <w:spacing w:after="140"/>
        <w:ind w:left="360"/>
      </w:pPr>
      <w:r>
        <w:rPr>
          <w:i/>
          <w:iCs/>
          <w:color w:val="595959"/>
          <w:sz w:val="20"/>
          <w:szCs w:val="20"/>
        </w:rPr>
        <w:t xml:space="preserve">Report a 2.8-trillion-parameter open-weight model benchmarking near the proprietary frontier on agentic and coding tasks, with full weights scheduled for public release in late July 2026.</w:t>
      </w:r>
    </w:p>
    <w:p>
      <w:pPr>
        <w:spacing w:after="20"/>
      </w:pPr>
      <w:r>
        <w:t xml:space="preserve">13. Public statements and reporting, July 2026: SpaceX engineering data entering the ~2-trillion-parameter supplemental training run (Teslarati; Yahoo Tech; contemporaneous posts on X).</w:t>
      </w:r>
    </w:p>
    <w:p>
      <w:pPr>
        <w:spacing w:after="140"/>
        <w:ind w:left="360"/>
      </w:pPr>
      <w:r>
        <w:rPr>
          <w:i/>
          <w:iCs/>
          <w:color w:val="595959"/>
          <w:sz w:val="20"/>
          <w:szCs w:val="20"/>
        </w:rPr>
        <w:t xml:space="preserve">Musk states SpaceX's engineering corpus, excluding ITAR-restricted material, will enter supplemental training of the next in-house model — the same mechanism used with acquired coding data for the prior model. Reporting notes the exclusion likely covers propulsion and guidance-and-control detail.</w:t>
      </w:r>
    </w:p>
    <w:p>
      <w:pPr>
        <w:spacing w:after="20"/>
      </w:pPr>
      <w:r>
        <w:t xml:space="preserve">14. Connecting The Dots (video commentary), 2026: overview of Tesla's internal engineering systems.</w:t>
      </w:r>
    </w:p>
    <w:p>
      <w:pPr>
        <w:spacing w:after="140"/>
        <w:ind w:left="360"/>
      </w:pPr>
      <w:r>
        <w:rPr>
          <w:i/>
          <w:iCs/>
          <w:color w:val="595959"/>
          <w:sz w:val="20"/>
          <w:szCs w:val="20"/>
        </w:rPr>
        <w:t xml:space="preserve">Commentary-level source. Its integrated-systems core is corroborated by items 15–17; its specific claims of a “Tesla One” branding and an internal manufacturing-CAD AI lack independent confirmation and are excluded from this document's claims.</w:t>
      </w:r>
    </w:p>
    <w:p>
      <w:pPr>
        <w:spacing w:after="20"/>
      </w:pPr>
      <w:r>
        <w:t xml:space="preserve">15. Jay Vijayan, on-record interviews and profiles (The Neon Show podcast; Indiaspora; Forbes India).</w:t>
      </w:r>
    </w:p>
    <w:p>
      <w:pPr>
        <w:spacing w:after="140"/>
        <w:ind w:left="360"/>
      </w:pPr>
      <w:r>
        <w:rPr>
          <w:i/>
          <w:iCs/>
          <w:color w:val="595959"/>
          <w:sz w:val="20"/>
          <w:szCs w:val="20"/>
        </w:rPr>
        <w:t xml:space="preserve">Tesla's first CIO describes building the custom Warp enterprise system in about four months in 2012 after the company rejected off-the-shelf ERP, and its continuous extension thereafter.</w:t>
      </w:r>
    </w:p>
    <w:p>
      <w:pPr>
        <w:spacing w:after="20"/>
      </w:pPr>
      <w:r>
        <w:t xml:space="preserve">16. Stack Overflow engineering blog, “Building the software that helps build SpaceX,” 2021; corroborating former-engineer accounts.</w:t>
      </w:r>
    </w:p>
    <w:p>
      <w:pPr>
        <w:spacing w:after="140"/>
        <w:ind w:left="360"/>
      </w:pPr>
      <w:r>
        <w:rPr>
          <w:i/>
          <w:iCs/>
          <w:color w:val="595959"/>
          <w:sz w:val="20"/>
          <w:szCs w:val="20"/>
        </w:rPr>
        <w:t xml:space="preserve">Documents SpaceX's own internal ERP, also named Warp Drive, and the in-house manufacturing-execution systems built alongside it.</w:t>
      </w:r>
    </w:p>
    <w:p>
      <w:pPr>
        <w:spacing w:after="20"/>
      </w:pPr>
      <w:r>
        <w:t xml:space="preserve">17. Tesla AI Day presentations, 2021–2022.</w:t>
      </w:r>
    </w:p>
    <w:p>
      <w:pPr>
        <w:spacing w:after="140"/>
        <w:ind w:left="360"/>
      </w:pPr>
      <w:r>
        <w:rPr>
          <w:i/>
          <w:iCs/>
          <w:color w:val="595959"/>
          <w:sz w:val="20"/>
          <w:szCs w:val="20"/>
        </w:rPr>
        <w:t xml:space="preserve">First-party documentation of fleet-learning infrastructure: an occupancy network trained on 1.4 billion fleet frames and auto-labeling replacing roughly five million hours of manual annotation.</w:t>
      </w:r>
    </w:p>
    <w:p>
      <w:pPr>
        <w:pStyle w:val="Heading2"/>
      </w:pPr>
      <w:r>
        <w:t xml:space="preserve">Parameter literature</w:t>
      </w:r>
    </w:p>
    <w:p>
      <w:pPr>
        <w:spacing w:after="20"/>
      </w:pPr>
      <w:r>
        <w:t xml:space="preserve">18. D. Jordan et al., “Compendium of Photovoltaic Degradation Rates,” Progress in Photovoltaics 24(7), 2016.</w:t>
      </w:r>
    </w:p>
    <w:p>
      <w:pPr>
        <w:spacing w:after="140"/>
        <w:ind w:left="360"/>
      </w:pPr>
      <w:r>
        <w:rPr>
          <w:i/>
          <w:iCs/>
          <w:color w:val="595959"/>
          <w:sz w:val="20"/>
          <w:szCs w:val="20"/>
        </w:rPr>
        <w:t xml:space="preserve">Meta-study of more than 11,000 measured degradation rates; terrestrial crystalline-silicon median 0.5–0.6% per year.</w:t>
      </w:r>
    </w:p>
    <w:p>
      <w:pPr>
        <w:spacing w:after="20"/>
      </w:pPr>
      <w:r>
        <w:t xml:space="preserve">19. Peer-reviewed GEO telemetry study of solar-array degradation across eleven satellites, Int. J. Space Science and Engineering, 2018.</w:t>
      </w:r>
    </w:p>
    <w:p>
      <w:pPr>
        <w:spacing w:after="140"/>
        <w:ind w:left="360"/>
      </w:pPr>
      <w:r>
        <w:rPr>
          <w:i/>
          <w:iCs/>
          <w:color w:val="595959"/>
          <w:sz w:val="20"/>
          <w:szCs w:val="20"/>
        </w:rPr>
        <w:t xml:space="preserve">Gallium-arsenide arrays 0.44–1.03% per year; silicon arrays 0.71–1.69% per year.</w:t>
      </w:r>
    </w:p>
    <w:p>
      <w:pPr>
        <w:spacing w:after="20"/>
      </w:pPr>
      <w:r>
        <w:t xml:space="preserve">20. Fraunhofer ISE, Photovoltaics Report (2026 update); Bhandari et al., Renewable and Sustainable Energy Reviews 47, 2015.</w:t>
      </w:r>
    </w:p>
    <w:p>
      <w:pPr>
        <w:spacing w:after="140"/>
        <w:ind w:left="360"/>
      </w:pPr>
      <w:r>
        <w:rPr>
          <w:i/>
          <w:iCs/>
          <w:color w:val="595959"/>
          <w:sz w:val="20"/>
          <w:szCs w:val="20"/>
        </w:rPr>
        <w:t xml:space="preserve">Energy payback time roughly 0.9–1.1 years in Europe; harmonized range 1.0–4.1 years across technologies.</w:t>
      </w:r>
    </w:p>
    <w:p>
      <w:pPr>
        <w:spacing w:after="20"/>
      </w:pPr>
      <w:r>
        <w:t xml:space="preserve">21. M. Hecht, J. Hoffman et al., MOXIE results, Science Advances, 2022; NASA NTRS carbothermal ISRU reports, 2024–25.</w:t>
      </w:r>
    </w:p>
    <w:p>
      <w:pPr>
        <w:spacing w:after="140"/>
        <w:ind w:left="360"/>
      </w:pPr>
      <w:r>
        <w:rPr>
          <w:i/>
          <w:iCs/>
          <w:color w:val="595959"/>
          <w:sz w:val="20"/>
          <w:szCs w:val="20"/>
        </w:rPr>
        <w:t xml:space="preserve">Oxygen produced on Mars at gram-per-hour scale at ≥98% purity; lunar oxygen extraction demonstrated at ~20% yield, TRL 5/6.</w:t>
      </w:r>
    </w:p>
    <w:p>
      <w:pPr>
        <w:spacing w:after="20"/>
      </w:pPr>
      <w:r>
        <w:t xml:space="preserve">22. Independent satellite tracking and reporting (J. McDowell, Harvard-Smithsonian CfA), 2020–2026.</w:t>
      </w:r>
    </w:p>
    <w:p>
      <w:pPr>
        <w:spacing w:after="140"/>
        <w:ind w:left="360"/>
      </w:pPr>
      <w:r>
        <w:rPr>
          <w:i/>
          <w:iCs/>
          <w:color w:val="595959"/>
          <w:sz w:val="20"/>
          <w:szCs w:val="20"/>
        </w:rPr>
        <w:t xml:space="preserve">Constellation deorbit and status statistics. Cohort-dependent: reported failure fractions near 3% for early generations fall below 0.5% for later ones, and the tracker separates early deorbit, uncontrolled decay, retirement, and disposal. Cohort, observation interval, and satellite-years are not specified in the aggregate figures, so these are fleet fractions rather than hazard rates.</w:t>
      </w:r>
    </w:p>
    <w:p>
      <w:pPr>
        <w:pStyle w:val="Heading2"/>
      </w:pPr>
      <w:r>
        <w:t xml:space="preserve">Closure-engineering literature</w:t>
      </w:r>
    </w:p>
    <w:p>
      <w:pPr>
        <w:spacing w:after="20"/>
      </w:pPr>
      <w:r>
        <w:t xml:space="preserve">23. NASA, Advanced Automation for Space Missions (NASA CP-2255), 1980 NASA/ASEE summer study.</w:t>
      </w:r>
    </w:p>
    <w:p>
      <w:pPr>
        <w:spacing w:after="140"/>
        <w:ind w:left="360"/>
      </w:pPr>
      <w:r>
        <w:rPr>
          <w:i/>
          <w:iCs/>
          <w:color w:val="595959"/>
          <w:sz w:val="20"/>
          <w:szCs w:val="20"/>
        </w:rPr>
        <w:t xml:space="preserve">Designs a proof-of-principle self-replicating lunar factory from a ~100-ton seed. Adopts a one-year STRAWMAN replication target and describes component values as crude estimates; cites 90–96% closure from earlier studies of specific NONREPLICATING space-production applications; states that rigorous demonstration of complete parts closure was beyond its scope. Design assumptions and plausibility arguments, not demonstrated performance.</w:t>
      </w:r>
    </w:p>
    <w:p>
      <w:pPr>
        <w:spacing w:after="20"/>
      </w:pPr>
      <w:r>
        <w:t xml:space="preserve">24. R. A. Freitas Jr. and R. C. Merkle, Kinematic Self-Replicating Machines, Landes Bioscience, 2004.</w:t>
      </w:r>
    </w:p>
    <w:p>
      <w:pPr>
        <w:spacing w:after="140"/>
        <w:ind w:left="360"/>
      </w:pPr>
      <w:r>
        <w:rPr>
          <w:i/>
          <w:iCs/>
          <w:color w:val="595959"/>
          <w:sz w:val="20"/>
          <w:szCs w:val="20"/>
        </w:rPr>
        <w:t xml:space="preserve">Comprehensive survey of the design space for physical self-replicating systems.</w:t>
      </w:r>
    </w:p>
    <w:p>
      <w:pPr>
        <w:pStyle w:val="Heading2"/>
      </w:pPr>
      <w:r>
        <w:t xml:space="preserve">Economics and progress-rate literature</w:t>
      </w:r>
    </w:p>
    <w:p>
      <w:pPr>
        <w:spacing w:after="20"/>
      </w:pPr>
      <w:r>
        <w:t xml:space="preserve">25. R. H. Coase, “The Nature of the Firm,” Economica 4(16), 1937.</w:t>
      </w:r>
    </w:p>
    <w:p>
      <w:pPr>
        <w:spacing w:after="140"/>
        <w:ind w:left="360"/>
      </w:pPr>
      <w:r>
        <w:rPr>
          <w:i/>
          <w:iCs/>
          <w:color w:val="595959"/>
          <w:sz w:val="20"/>
          <w:szCs w:val="20"/>
        </w:rPr>
        <w:t xml:space="preserve">The transaction-cost account of firm boundaries used in Section 10's integration-versus-modularity analysis.</w:t>
      </w:r>
    </w:p>
    <w:p>
      <w:pPr>
        <w:spacing w:after="20"/>
      </w:pPr>
      <w:r>
        <w:t xml:space="preserve">26. Epoch AI (Ho et al.), “Algorithmic Progress in Language Models,” 2024.</w:t>
      </w:r>
    </w:p>
    <w:p>
      <w:pPr>
        <w:spacing w:after="140"/>
        <w:ind w:left="360"/>
      </w:pPr>
      <w:r>
        <w:rPr>
          <w:i/>
          <w:iCs/>
          <w:color w:val="595959"/>
          <w:sz w:val="20"/>
          <w:szCs w:val="20"/>
        </w:rPr>
        <w:t xml:space="preserve">Estimates that the compute required for fixed performance halves roughly every eight months — the ~3×-per-year efficiency compounding rate cited in Section 16.</w:t>
      </w:r>
    </w:p>
    <w:p>
      <w:pPr>
        <w:pStyle w:val="Heading2"/>
      </w:pPr>
      <w:r>
        <w:t xml:space="preserve">Primary regulatory filings</w:t>
      </w:r>
    </w:p>
    <w:p>
      <w:pPr>
        <w:spacing w:after="20"/>
      </w:pPr>
      <w:r>
        <w:t xml:space="preserve">27. SpaceX, Form S-1 registration statement, filed with the U.S. Securities and Exchange Commission, May 20, 2026, and related offering material (with contemporaneous analysis by Electrek, Tom's Hardware, Forbes, and KBTX).</w:t>
      </w:r>
    </w:p>
    <w:p>
      <w:pPr>
        <w:spacing w:after="140"/>
        <w:ind w:left="360"/>
      </w:pPr>
      <w:r>
        <w:rPr>
          <w:i/>
          <w:iCs/>
          <w:color w:val="595959"/>
          <w:sz w:val="20"/>
          <w:szCs w:val="20"/>
        </w:rPr>
        <w:t xml:space="preserve">This paper's primary corporate source. On Terafab: a general framework with Tesla; timelines, milestones, and capital expenditures not determined; no binding obligation on Tesla or Intel (which joined April 2026); a general warning that some initiatives may not achieve commercial viability; and an acknowledged present shortfall in chip supply for orbital AI. On strategic scope, and supporting P4a: the filing's own initiatives include terrestrial and orbital AI compute with orbital data centers from as early as 2028, internal chip design and manufacture, lunar manufacturing and energy production, in-orbit manufacturing, manufacturing on the Moon and Mars, asteroid mining, and “interplanetary industrialization.” Also reports on the order of a thousand automated collision-avoidance manoeuvres per day across its constellation in 2025.</w:t>
      </w:r>
    </w:p>
    <w:p>
      <w:pPr>
        <w:spacing w:after="20"/>
      </w:pPr>
      <w:r>
        <w:t xml:space="preserve">28. Terafab, official project site (terafab.ai), accessed July 2026.</w:t>
      </w:r>
    </w:p>
    <w:p>
      <w:pPr>
        <w:spacing w:after="140"/>
        <w:ind w:left="360"/>
      </w:pPr>
      <w:r>
        <w:rPr>
          <w:i/>
          <w:iCs/>
          <w:color w:val="595959"/>
          <w:sz w:val="20"/>
          <w:szCs w:val="20"/>
        </w:rPr>
        <w:t xml:space="preserve">First-party messaging: combined logic, memory, and advanced packaging; Kardashev-scale framing; scaling figures (≈1B robots, 10M tons/yr to orbit, &gt;1 TW solar); AI5/AI6/D3 chip lines; an explicit Earth-versus-space cost decomposition; and lunar mass drivers as a stated next step. Marketing and recruiting material — evidence of declared intent, not of commitment.</w:t>
      </w:r>
    </w:p>
    <w:p>
      <w:pPr>
        <w:spacing w:after="20"/>
      </w:pPr>
      <w:r>
        <w:t xml:space="preserve">29. Waymo safety-impact disclosures, 2026.</w:t>
      </w:r>
    </w:p>
    <w:p>
      <w:pPr>
        <w:spacing w:after="140"/>
        <w:ind w:left="360"/>
      </w:pPr>
      <w:r>
        <w:rPr>
          <w:i/>
          <w:iCs/>
          <w:color w:val="595959"/>
          <w:sz w:val="20"/>
          <w:szCs w:val="20"/>
        </w:rPr>
        <w:t xml:space="preserve">Cumulative fully driverless miles used as the comparison point in Section 2 and Appendix A.3.</w:t>
      </w:r>
    </w:p>
    <w:p>
      <w:pPr>
        <w:spacing w:after="20"/>
      </w:pPr>
      <w:r>
        <w:t xml:space="preserve">30. Launch reporting on heavy-lift flight tests, 2026.</w:t>
      </w:r>
    </w:p>
    <w:p>
      <w:pPr>
        <w:spacing w:after="140"/>
        <w:ind w:left="360"/>
      </w:pPr>
      <w:r>
        <w:rPr>
          <w:i/>
          <w:iCs/>
          <w:color w:val="595959"/>
          <w:sz w:val="20"/>
          <w:szCs w:val="20"/>
        </w:rPr>
        <w:t xml:space="preserve">Cumulative flight-test count to mid-2026.</w:t>
      </w:r>
    </w:p>
    <w:p>
      <w:pPr>
        <w:spacing w:after="20"/>
      </w:pPr>
      <w:r>
        <w:t xml:space="preserve">31. B. Agüera y Arcas, T. Beals, M. Biggs, J. V. Bloom, T. Fischbacher, K. Gromov, U. Köster, R. Pravahan, J. Manyika (Google), “Towards a future space-based, highly scalable AI infrastructure system design,” arXiv:2511.19468, 22 November 2025; with the accompanying Google Research blog post (Project Suncatcher).</w:t>
      </w:r>
    </w:p>
    <w:p>
      <w:pPr>
        <w:spacing w:after="140"/>
        <w:ind w:left="360"/>
      </w:pPr>
      <w:r>
        <w:rPr>
          <w:i/>
          <w:iCs/>
          <w:color w:val="595959"/>
          <w:sz w:val="20"/>
          <w:szCs w:val="20"/>
        </w:rPr>
        <w:t xml:space="preserve">Technical design study for satellite-borne accelerator clusters: 67 MeV proton-beam testing of a Trillium TPU v6e (HBM most TID- and SEE-sensitive; irregularities from 2 krad(Si) against a 750 rad(Si) five-year requirement; no hard TID failures to 15 krad(Si); inference error probability ~1 per 10⁷, training impact reserved for further study); an 81-satellite, 1 km-radius planar cluster at ~650 km mean altitude in dawn-dusk sun-synchronous orbit; free-space optical inter-satellite links with an 800 Gbps unidirectional (1.6 Tbps bidirectional) bench demonstration against a ~10 Tbps per-link requirement; and a launch-cost analysis the authors twice state is NOT a full economic analysis, comparing amortised LAUNCH cost per kilowatt-year ($810 for a Starlink-v2-class ratio, $810–7,500 across satellite classes at $200/kg) with terrestrial data-centre POWER SPEND ($570–3,000/kW/y), explicitly excluding infrastructure, building, and chip costs. Reaching ≲$200/kg by ~2035 on a ~20% learning rate requires ~370,000 t additional cumulative mass (~1,800 Starship-class flights, ~180/yr). Thermal management, high-bandwidth ground communications, and on-orbit reliability and repair are named unsolved; orbital repair is called impracticable with redundant provisioning proposed instead.</w:t>
      </w:r>
    </w:p>
    <w:p>
      <w:pPr>
        <w:spacing w:after="20"/>
      </w:pPr>
      <w:r>
        <w:t xml:space="preserve">32. SpaceNews, Via Satellite, and Data Center Dynamics coverage of orbital-compute programmes, 2025–2026.</w:t>
      </w:r>
    </w:p>
    <w:p>
      <w:pPr>
        <w:spacing w:after="140"/>
        <w:ind w:left="360"/>
      </w:pPr>
      <w:r>
        <w:rPr>
          <w:i/>
          <w:iCs/>
          <w:color w:val="595959"/>
          <w:sz w:val="20"/>
          <w:szCs w:val="20"/>
        </w:rPr>
        <w:t xml:space="preserve">Reports the Google–Planet partnership and two prototype satellites slated for launch by early 2027, the research-phase status of the effort, and at least one further entrant flying an accelerator demonstrator.</w:t>
      </w:r>
    </w:p>
    <w:p>
      <w:pPr>
        <w:spacing w:after="20"/>
      </w:pPr>
      <w:r>
        <w:t xml:space="preserve">33. Will Marshall (co-founder and CEO, Planet Labs), interviewed on the Moonshots podcast (P. Diamandis and colleagues), July 2026; episode timestamps not available.</w:t>
      </w:r>
    </w:p>
    <w:p>
      <w:pPr>
        <w:spacing w:after="140"/>
        <w:ind w:left="360"/>
      </w:pPr>
      <w:r>
        <w:rPr>
          <w:i/>
          <w:iCs/>
          <w:color w:val="595959"/>
          <w:sz w:val="20"/>
          <w:szCs w:val="20"/>
        </w:rPr>
        <w:t xml:space="preserve">Industry commentary, cited for mechanisms rather than measurements: compute efficiency as a mass multiplier in orbit (“launch tax” versus “compute tax”); matching orbital decay life to hardware obsolescence at low altitude; payload cost-performance outpacing launch cost-performance; non-reproducibility of historical archives; the possibility that useful computational demand is finite; and the protect-the-biosphere rationale for off-planet industry. Recollections and projections in this source are unverified.</w:t>
      </w:r>
    </w:p>
    <w:p>
      <w:pPr>
        <w:spacing w:after="20"/>
      </w:pPr>
      <w:r>
        <w:t xml:space="preserve">34. Assorted company disclosures, industry reporting, and agency guidance used in Appendix A and Section 4.</w:t>
      </w:r>
    </w:p>
    <w:p>
      <w:pPr>
        <w:spacing w:after="140"/>
        <w:ind w:left="360"/>
      </w:pPr>
      <w:r>
        <w:rPr>
          <w:i/>
          <w:iCs/>
          <w:color w:val="595959"/>
          <w:sz w:val="20"/>
          <w:szCs w:val="20"/>
        </w:rPr>
        <w:t xml:space="preserve">Covers rows and statements not carried by items 18–23: foundry annual-report equipment depreciation schedules (2–5 years); operator practice on data-centre accelerator retirement (3–6 years); a large-training-run disclosure reporting roughly 419 interruptions over 54 days across some 16,000 accelerators (a cluster interruption frequency, not a component hazard rate); contemporaneous 2019 reporting on gigafactory construction duration; 2026 company statements of humanoid-robot production targets; and NASA small-spacecraft guidance on natural orbital decay, which is altitude-, ballistic-coefficient-, and solar-activity-dependent (decay within five years is typical near 400 km but not assured beyond 500 km). Cited collectively because no single permanent identifier applies; each row names its own class.</w:t>
      </w:r>
    </w:p>
    <w:p>
      <w:pPr>
        <w:pStyle w:val="Heading2"/>
      </w:pPr>
      <w:r>
        <w:t xml:space="preserve">Planned analysis (not evidence)</w:t>
      </w:r>
    </w:p>
    <w:p>
      <w:pPr>
        <w:spacing w:after="20"/>
      </w:pPr>
      <w:r>
        <w:t xml:space="preserve">35. Companion simulation programme, third edition (in development).</w:t>
      </w:r>
    </w:p>
    <w:p>
      <w:pPr>
        <w:spacing w:after="140"/>
        <w:ind w:left="360"/>
      </w:pPr>
      <w:r>
        <w:rPr>
          <w:i/>
          <w:iCs/>
          <w:color w:val="595959"/>
          <w:sz w:val="20"/>
          <w:szCs w:val="20"/>
        </w:rPr>
        <w:t xml:space="preserve">Multisector industrial-reproduction model and dynamic Earth–space cost-crossover model. Listed for reference only: this is work the paper identifies as missing, not a source supporting any claim.</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Recursive Industrial Intelligence · Second Edition ·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6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352"/>
      <w:sz w:val="30"/>
      <w:szCs w:val="30"/>
    </w:rPr>
  </w:style>
  <w:style w:type="paragraph" w:styleId="Heading2">
    <w:name w:val="Heading 2"/>
    <w:basedOn w:val="Normal"/>
    <w:next w:val="Normal"/>
    <w:qFormat/>
    <w:pPr>
      <w:spacing w:after="120" w:before="260"/>
      <w:outlineLvl w:val="1"/>
    </w:pPr>
    <w:rPr>
      <w:rFonts w:ascii="Calibri" w:cs="Calibri" w:eastAsia="Calibri" w:hAnsi="Calibri"/>
      <w:b/>
      <w:bCs/>
      <w:color w:val="1F335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2026-07-27T03:49:55.937Z</dcterms:created>
  <dcterms:modified xsi:type="dcterms:W3CDTF">2026-07-27T03:49:55.937Z</dcterms:modified>
</cp:coreProperties>
</file>

<file path=docProps/custom.xml><?xml version="1.0" encoding="utf-8"?>
<Properties xmlns="http://schemas.openxmlformats.org/officeDocument/2006/custom-properties" xmlns:vt="http://schemas.openxmlformats.org/officeDocument/2006/docPropsVTypes"/>
</file>