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352"/>
          <w:sz w:val="52"/>
          <w:szCs w:val="52"/>
        </w:rPr>
        <w:t xml:space="preserve">RECURSIVE INDUSTRIAL INTELLIGENCE</w:t>
      </w:r>
    </w:p>
    <w:p>
      <w:pPr>
        <w:spacing w:after="60"/>
        <w:jc w:val="center"/>
      </w:pPr>
      <w:r>
        <w:rPr>
          <w:i/>
          <w:iCs/>
          <w:sz w:val="26"/>
          <w:szCs w:val="26"/>
        </w:rPr>
        <w:t xml:space="preserve">A refined hypothesis for a self-sustaining and self-expanding space industrial complex</w:t>
      </w:r>
    </w:p>
    <w:p>
      <w:pPr>
        <w:spacing w:after="400"/>
        <w:jc w:val="center"/>
      </w:pPr>
      <w:r>
        <w:rPr>
          <w:color w:val="595959"/>
          <w:sz w:val="22"/>
          <w:szCs w:val="22"/>
        </w:rPr>
        <w:t xml:space="preserve">Second Edition, revision 2.8 (final) · July 2026</w:t>
      </w:r>
    </w:p>
    <w:p>
      <w:pPr>
        <w:spacing w:after="300"/>
        <w:jc w:val="center"/>
      </w:pPr>
      <w:r>
        <w:rPr>
          <w:i/>
          <w:iCs/>
          <w:color w:val="595959"/>
          <w:sz w:val="19"/>
          <w:szCs w:val="19"/>
        </w:rPr>
        <w:t xml:space="preserve">This document presents a strategic interpretation. It does not claim that Elon Musk or his companies have publicly adopted this complete framework as a single formal plan. Statements about 2026 events are drawn from the public reporting listed in the Sources section.</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What changed in this edition</w:t>
            </w:r>
          </w:p>
          <w:p>
            <w:pPr>
              <w:spacing w:after="40"/>
            </w:pPr>
            <w:r>
              <w:rPr>
                <w:b/>
                <w:bCs/>
              </w:rPr>
              <w:t xml:space="preserve">1. Terafab.</w:t>
            </w:r>
            <w:r>
              <w:t xml:space="preserve"> The March 2026 announcement of a joint Tesla–SpaceX–xAI chip fabrication venture is incorporated throughout. It moves the fabrication layer from a missing term to an attempted term, and shifts part of the argument from inference to documented program (Sections 2, 8, 13). </w:t>
            </w:r>
            <w:r>
              <w:rPr>
                <w:b/>
                <w:bCs/>
              </w:rPr>
              <w:t xml:space="preserve">2. Depreciation.</w:t>
            </w:r>
            <w:r>
              <w:t xml:space="preserve"> The growth inequality r &gt; δ receives a dedicated treatment for the space environment (Section 4). </w:t>
            </w:r>
            <w:r>
              <w:rPr>
                <w:b/>
                <w:bCs/>
              </w:rPr>
              <w:t xml:space="preserve">3. Lineage.</w:t>
            </w:r>
            <w:r>
              <w:t xml:space="preserve"> The closure-engineering literature, beginning with NASA's 1980 self-replicating lunar factory study, is acknowledged and used (Section 5). </w:t>
            </w:r>
            <w:r>
              <w:rPr>
                <w:b/>
                <w:bCs/>
              </w:rPr>
              <w:t xml:space="preserve">4. Bridge economy.</w:t>
            </w:r>
            <w:r>
              <w:t xml:space="preserve"> The capital-intensive transition is analyzed as a staircase of independently financeable stages, including orbital compute services (Section 9). </w:t>
            </w:r>
            <w:r>
              <w:rPr>
                <w:b/>
                <w:bCs/>
              </w:rPr>
              <w:t xml:space="preserve">5. Competition and takeoff speed.</w:t>
            </w:r>
            <w:r>
              <w:t xml:space="preserve"> The thesis's dependence on a slow-to-medium AI takeoff is made explicit and rival implementations are assessed (Section 10). </w:t>
            </w:r>
            <w:r>
              <w:rPr>
                <w:b/>
                <w:bCs/>
              </w:rPr>
              <w:t xml:space="preserve">6. Governance.</w:t>
            </w:r>
            <w:r>
              <w:t xml:space="preserve"> Control of a self-expanding industrial system is treated as a first-order design requirement rather than a residual bullet (Section 11). </w:t>
            </w:r>
            <w:r>
              <w:rPr>
                <w:b/>
                <w:bCs/>
              </w:rPr>
              <w:t xml:space="preserve">7. Economics of closure (revision 2.1).</w:t>
            </w:r>
            <w:r>
              <w:t xml:space="preserve"> The capital wall, the operating wall, and the threshold-model argument, with a concluding synthesis (Sections 10 and 16). </w:t>
            </w:r>
            <w:r>
              <w:rPr>
                <w:b/>
                <w:bCs/>
              </w:rPr>
              <w:t xml:space="preserve">8. Terminal regime (revision 2.2).</w:t>
            </w:r>
            <w:r>
              <w:t xml:space="preserve"> Architectural convergence and deployment-limited growth close the economic arc (Section 16). </w:t>
            </w:r>
            <w:r>
              <w:rPr>
                <w:b/>
                <w:bCs/>
              </w:rPr>
              <w:t xml:space="preserve">9. Paradigm shifts (revision 2.3).</w:t>
            </w:r>
            <w:r>
              <w:t xml:space="preserve"> Catch-up dynamics, the paradigm-sensitivity split of the stack, and leapfrog risk at the fabrication layer (Sections 13 and 16). </w:t>
            </w:r>
            <w:r>
              <w:rPr>
                <w:b/>
                <w:bCs/>
              </w:rPr>
              <w:t xml:space="preserve">10. Proprietary physical data (revision 2.4).</w:t>
            </w:r>
            <w:r>
              <w:t xml:space="preserve"> Physical-process data as the exhaust of the physical loop, the data-closure ratio, and its role as counterweight to model commoditization (Sections 2 and 10). </w:t>
            </w:r>
            <w:r>
              <w:rPr>
                <w:b/>
                <w:bCs/>
              </w:rPr>
              <w:t xml:space="preserve">11. Data integration and coordination (revision 2.5).</w:t>
            </w:r>
            <w:r>
              <w:t xml:space="preserve"> The unified build record as the quality dimension of κ_D, the repeatable supplemental-training pipeline, the two-sided export-control fence, and an existence proof for coordination-as-computation (Sections 2, 6, 10, 14). </w:t>
            </w:r>
            <w:r>
              <w:rPr>
                <w:b/>
                <w:bCs/>
              </w:rPr>
              <w:t xml:space="preserve">12. Quantification (revision 2.6).</w:t>
            </w:r>
            <w:r>
              <w:t xml:space="preserve"> First numerical anchors for δ, r, κ, and κ_D with a parameter table (Appendix A), a measured correction to the space-depreciation claim, the closure theory-versus-demonstration gap, and primary-source replacement for the internal-systems material (Sections 2, 4, 5, 6, 14). </w:t>
            </w:r>
            <w:r>
              <w:rPr>
                <w:b/>
                <w:bCs/>
              </w:rPr>
              <w:t xml:space="preserve">13. Rebuttals and rate arguments (revision 2.7).</w:t>
            </w:r>
            <w:r>
              <w:t xml:space="preserve"> The Coasean resolution of integration versus modularity, gateway-anchored governance with (1 − κ) as the leverage variable, and ceiling distances paired with compounding traversal rates (Sections 10, 11, 16). </w:t>
            </w:r>
            <w:r>
              <w:rPr>
                <w:b/>
                <w:bCs/>
              </w:rPr>
              <w:t xml:space="preserve">14. External review response (revision 2.8, final).</w:t>
            </w:r>
            <w:r>
              <w:t xml:space="preserve"> Terafab corrected against the S-1 primary source, the four-propositions ladder, replication time marked unknown, dimensional repairs to the formal apparatus, δ decomposition, vector closure with minimum cut sets, competing-hypotheses framing, and modal-drift corrections throughout.</w:t>
            </w:r>
          </w:p>
        </w:tc>
      </w:tr>
    </w:tbl>
    <w:p>
      <w:r>
        <w:br w:type="page"/>
      </w:r>
    </w:p>
    <w:p>
      <w:pPr>
        <w:pStyle w:val="Heading1"/>
      </w:pPr>
      <w:r>
        <w:t xml:space="preserve">Executive Summary</w:t>
      </w:r>
    </w:p>
    <w:p>
      <w:pPr>
        <w:spacing w:after="160" w:line="276"/>
      </w:pPr>
      <w:r>
        <w:t xml:space="preserve">This paper develops a unified hypothesis: the deepest strategic value of advanced artificial intelligence, reusable launch, energy systems, robotics, and automated manufacturing may lie in combining them into a recursively improving industrial system beyond Earth. The end state is not merely a fleet of rockets, a Mars settlement, a humanoid robot, or a frontier AI model. It is a distributed industrial ecology capable of sustaining itself, expanding its own productive capacity, and progressively reducing dependence on Earth.</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central proposition</w:t>
            </w:r>
          </w:p>
          <w:p>
            <w:pPr>
              <w:spacing w:after="40"/>
            </w:pPr>
            <w:r>
              <w:t xml:space="preserve">Once a space-based industrial system can obtain local energy and materials, maintain its machinery, manufacture additional productive equipment, and coordinate itself through AI, the primary constraint shifts from acquiring terrestrial inputs to allocating productive throughput over time.</w:t>
            </w:r>
          </w:p>
        </w:tc>
      </w:tr>
    </w:tbl>
    <w:p>
      <w:pPr>
        <w:spacing w:after="160"/>
      </w:pPr>
    </w:p>
    <w:p>
      <w:pPr>
        <w:spacing w:after="160" w:line="276"/>
      </w:pPr>
      <w:r>
        <w:t xml:space="preserve">The framework contains two coupled recursive loops. In the </w:t>
      </w:r>
      <w:r>
        <w:rPr>
          <w:b/>
          <w:bCs/>
        </w:rPr>
        <w:t xml:space="preserve">digital loop</w:t>
      </w:r>
      <w:r>
        <w:t xml:space="preserve">, AI improves software, research, engineering, evaluation, and coordination. In the </w:t>
      </w:r>
      <w:r>
        <w:rPr>
          <w:b/>
          <w:bCs/>
        </w:rPr>
        <w:t xml:space="preserve">physical loop</w:t>
      </w:r>
      <w:r>
        <w:t xml:space="preserve">, AI and robots improve mining, refining, energy generation, manufacturing, construction, transport, and the production of additional compute. Each loop strengthens the other.</w:t>
      </w:r>
    </w:p>
    <w:p>
      <w:pPr>
        <w:shd w:fill="F5F4F1" w:val="clear"/>
        <w:spacing w:after="160" w:before="120"/>
        <w:jc w:val="center"/>
      </w:pPr>
      <w:r>
        <w:rPr>
          <w:i/>
          <w:iCs/>
          <w:sz w:val="22"/>
          <w:szCs w:val="22"/>
        </w:rPr>
        <w:t xml:space="preserve">Better intelligence → better automation → more productive capacity → more compute → better intelligence</w:t>
      </w:r>
    </w:p>
    <w:p>
      <w:pPr>
        <w:spacing w:after="160" w:line="276"/>
      </w:pPr>
      <w:r>
        <w:t xml:space="preserve">Since the first edition, one major component has moved from inference to public initiative. In March 2026, Tesla, SpaceX, and xAI announced </w:t>
      </w:r>
      <w:r>
        <w:rPr>
          <w:b/>
          <w:bCs/>
        </w:rPr>
        <w:t xml:space="preserve">Terafab</w:t>
      </w:r>
      <w:r>
        <w:t xml:space="preserve">, a semiconductor fabrication initiative intended to produce advanced AI chips at very large scale — including a chip line designed for orbital deployment — and Intel joined in April 2026. SpaceX's subsequent S-1 filing shows the initiative at framework stage: timelines, milestones, and capital commitments are not yet determined, and no party is bound. What the announcement establishes is narrower but still material: the fabrication layer, previously the largest missing term in this framework, is now an explicit target of the same corporate ecosystem, and space-based compute is a stated product direction rather than an analytical extrapolation.</w:t>
      </w:r>
    </w:p>
    <w:p>
      <w:pPr>
        <w:spacing w:after="160" w:line="276"/>
      </w:pPr>
      <w:r>
        <w:t xml:space="preserve">The hypothesis remains partly grounded and partly inferential. SpaceX describes the goal of a self-sufficient city on Mars. Tesla presents a path toward a sustainable energy economy built on integrated generation, storage, and manufacturing. xAI states that it builds AI to accelerate scientific discovery. NASA work on in-situ resource utilization, autonomous excavation, and lunar construction shows the enabling concepts are recognized engineering pathways. The claim that these components comprise one overarching self-expanding space-industrial strategy remains an interpretation — though a considerably thinner inference than it was a year ago.</w:t>
      </w:r>
    </w:p>
    <w:p>
      <w:pPr>
        <w:spacing w:after="160" w:line="276"/>
      </w:pPr>
      <w:r>
        <w:t xml:space="preserve">The thesis is also explicitly conditional. It is decision-relevant chiefly under a slow-to-medium AI takeoff measured in years to decades; it requires industrial replication to outpace the harsh depreciation of the space environment; and it requires the eventual closure of, or substitution for, lithography-class fabrication equipment. These conditions are examined in this edition rather than assumed.</w:t>
      </w:r>
    </w:p>
    <w:p>
      <w:pPr>
        <w:spacing w:after="160" w:line="276"/>
      </w:pPr>
      <w:r>
        <w:t xml:space="preserve">Four distinct propositions run through this paper, and they carry different evidence: </w:t>
      </w:r>
      <w:r>
        <w:rPr>
          <w:b/>
          <w:bCs/>
        </w:rPr>
        <w:t xml:space="preserve">(P1)</w:t>
      </w:r>
      <w:r>
        <w:t xml:space="preserve"> a recursively expanding industrial system is conceptually possible — a respectable case is made; </w:t>
      </w:r>
      <w:r>
        <w:rPr>
          <w:b/>
          <w:bCs/>
        </w:rPr>
        <w:t xml:space="preserve">(P2)</w:t>
      </w:r>
      <w:r>
        <w:t xml:space="preserve"> such a system might eventually be technically feasible — a conditional case; </w:t>
      </w:r>
      <w:r>
        <w:rPr>
          <w:b/>
          <w:bCs/>
        </w:rPr>
        <w:t xml:space="preserve">(P3)</w:t>
      </w:r>
      <w:r>
        <w:t xml:space="preserve"> space would eventually be economically superior to Earth for it — a weakly quantified case, pending the crossover modeling of the third edition; </w:t>
      </w:r>
      <w:r>
        <w:rPr>
          <w:b/>
          <w:bCs/>
        </w:rPr>
        <w:t xml:space="preserve">(P4)</w:t>
      </w:r>
      <w:r>
        <w:t xml:space="preserve"> the Musk-associated companies are deliberately assembling that system — circumstantial evidence only, assessed against competing explanations in Section 7. Conclusions in this paper are licensed by the strongest proposition they rest on, not by the conjunction of all four.</w:t>
      </w:r>
    </w:p>
    <w:p>
      <w:pPr>
        <w:pStyle w:val="Heading1"/>
      </w:pPr>
      <w:r>
        <w:t xml:space="preserve">Analytical Status: Evidence Versus Inference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1750"/>
        <w:gridCol w:w="5550"/>
        <w:gridCol w:w="2060"/>
      </w:tblGrid>
      <w:tr>
        <w:trPr>
          <w:tblHeader/>
        </w:trPr>
        <w:tc>
          <w:tcPr>
            <w:tcW w:type="dxa" w:w="1750"/>
            <w:shd w:fill="E8EBF1" w:val="clear"/>
            <w:tcMar>
              <w:top w:type="dxa" w:w="90"/>
              <w:left w:type="dxa" w:w="120"/>
              <w:bottom w:type="dxa" w:w="90"/>
              <w:right w:type="dxa" w:w="120"/>
            </w:tcMar>
          </w:tcPr>
          <w:p>
            <w:pPr>
              <w:spacing w:after="0" w:line="260"/>
            </w:pPr>
            <w:r>
              <w:rPr>
                <w:b/>
                <w:bCs/>
                <w:color w:val="1F3352"/>
                <w:sz w:val="20"/>
                <w:szCs w:val="20"/>
              </w:rPr>
              <w:t xml:space="preserve">Category</w:t>
            </w:r>
          </w:p>
        </w:tc>
        <w:tc>
          <w:tcPr>
            <w:tcW w:type="dxa" w:w="5550"/>
            <w:shd w:fill="E8EBF1" w:val="clear"/>
            <w:tcMar>
              <w:top w:type="dxa" w:w="90"/>
              <w:left w:type="dxa" w:w="120"/>
              <w:bottom w:type="dxa" w:w="90"/>
              <w:right w:type="dxa" w:w="120"/>
            </w:tcMar>
          </w:tcPr>
          <w:p>
            <w:pPr>
              <w:spacing w:after="0" w:line="260"/>
            </w:pPr>
            <w:r>
              <w:rPr>
                <w:b/>
                <w:bCs/>
                <w:color w:val="1F3352"/>
                <w:sz w:val="20"/>
                <w:szCs w:val="20"/>
              </w:rPr>
              <w:t xml:space="preserve">Proposition</w:t>
            </w:r>
          </w:p>
        </w:tc>
        <w:tc>
          <w:tcPr>
            <w:tcW w:type="dxa" w:w="2060"/>
            <w:shd w:fill="E8EBF1" w:val="clear"/>
            <w:tcMar>
              <w:top w:type="dxa" w:w="90"/>
              <w:left w:type="dxa" w:w="120"/>
              <w:bottom w:type="dxa" w:w="90"/>
              <w:right w:type="dxa" w:w="120"/>
            </w:tcMar>
          </w:tcPr>
          <w:p>
            <w:pPr>
              <w:spacing w:after="0" w:line="260"/>
            </w:pPr>
            <w:r>
              <w:rPr>
                <w:b/>
                <w:bCs/>
                <w:color w:val="1F3352"/>
                <w:sz w:val="20"/>
                <w:szCs w:val="20"/>
              </w:rPr>
              <w:t xml:space="preserve">Status</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SpaceX publicly presents a self-sufficient city on Mars as a long-term objective.</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Tesla publicly presents large-scale electrification, renewable generation, storage, and sustainable manufacturing as an integrated system.</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xAI publicly describes its mission as accelerating scientific discovery and extending human knowledge and capability.</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Announced (2026)</w:t>
            </w:r>
          </w:p>
        </w:tc>
        <w:tc>
          <w:tcPr>
            <w:tcW w:type="dxa" w:w="5550"/>
            <w:tcMar>
              <w:top w:type="dxa" w:w="90"/>
              <w:left w:type="dxa" w:w="120"/>
              <w:bottom w:type="dxa" w:w="90"/>
              <w:right w:type="dxa" w:w="120"/>
            </w:tcMar>
          </w:tcPr>
          <w:p>
            <w:pPr>
              <w:spacing w:after="0" w:line="260"/>
            </w:pPr>
            <w:r>
              <w:rPr>
                <w:sz w:val="20"/>
                <w:szCs w:val="20"/>
              </w:rPr>
              <w:t xml:space="preserve">Terafab: a publicly announced Tesla–SpaceX chip-fabrication initiative, joined by Intel in April 2026, targeting advanced AI chips including radiation-tolerant silicon for orbital deployment. SpaceX's S-1 describes only a general framework — timelines, milestones, and capital expenditures not yet determined, no binding obligations on Tesla or Intel. (The SpaceX absorption of xAI is separately documented as a completed corporate action.)</w:t>
            </w:r>
          </w:p>
        </w:tc>
        <w:tc>
          <w:tcPr>
            <w:tcW w:type="dxa" w:w="2060"/>
            <w:tcMar>
              <w:top w:type="dxa" w:w="90"/>
              <w:left w:type="dxa" w:w="120"/>
              <w:bottom w:type="dxa" w:w="90"/>
              <w:right w:type="dxa" w:w="120"/>
            </w:tcMar>
          </w:tcPr>
          <w:p>
            <w:pPr>
              <w:spacing w:after="0" w:line="260"/>
            </w:pPr>
            <w:r>
              <w:rPr>
                <w:sz w:val="20"/>
                <w:szCs w:val="20"/>
              </w:rPr>
              <w:t xml:space="preserve">Documented initiative and strategic framework; implementation scope unsettled</w:t>
            </w:r>
          </w:p>
        </w:tc>
      </w:tr>
      <w:tr>
        <w:tc>
          <w:tcPr>
            <w:tcW w:type="dxa" w:w="1750"/>
            <w:tcMar>
              <w:top w:type="dxa" w:w="90"/>
              <w:left w:type="dxa" w:w="120"/>
              <w:bottom w:type="dxa" w:w="90"/>
              <w:right w:type="dxa" w:w="120"/>
            </w:tcMar>
          </w:tcPr>
          <w:p>
            <w:pPr>
              <w:spacing w:after="0" w:line="260"/>
            </w:pPr>
            <w:r>
              <w:rPr>
                <w:sz w:val="20"/>
                <w:szCs w:val="20"/>
              </w:rPr>
              <w:t xml:space="preserve">Technically grounded</w:t>
            </w:r>
          </w:p>
        </w:tc>
        <w:tc>
          <w:tcPr>
            <w:tcW w:type="dxa" w:w="5550"/>
            <w:tcMar>
              <w:top w:type="dxa" w:w="90"/>
              <w:left w:type="dxa" w:w="120"/>
              <w:bottom w:type="dxa" w:w="90"/>
              <w:right w:type="dxa" w:w="120"/>
            </w:tcMar>
          </w:tcPr>
          <w:p>
            <w:pPr>
              <w:spacing w:after="0" w:line="260"/>
            </w:pPr>
            <w:r>
              <w:rPr>
                <w:sz w:val="20"/>
                <w:szCs w:val="20"/>
              </w:rPr>
              <w:t xml:space="preserve">ISRU, autonomous excavation, robotic construction, and local production are active development areas; self-replicating space factories have been studied quantitatively since NASA's 1980 summer study.</w:t>
            </w:r>
          </w:p>
        </w:tc>
        <w:tc>
          <w:tcPr>
            <w:tcW w:type="dxa" w:w="2060"/>
            <w:tcMar>
              <w:top w:type="dxa" w:w="90"/>
              <w:left w:type="dxa" w:w="120"/>
              <w:bottom w:type="dxa" w:w="90"/>
              <w:right w:type="dxa" w:w="120"/>
            </w:tcMar>
          </w:tcPr>
          <w:p>
            <w:pPr>
              <w:spacing w:after="0" w:line="260"/>
            </w:pPr>
            <w:r>
              <w:rPr>
                <w:sz w:val="20"/>
                <w:szCs w:val="20"/>
              </w:rPr>
              <w:t xml:space="preserve">Engineering pathway and literature</w:t>
            </w:r>
          </w:p>
        </w:tc>
      </w:tr>
      <w:tr>
        <w:tc>
          <w:tcPr>
            <w:tcW w:type="dxa" w:w="1750"/>
            <w:tcMar>
              <w:top w:type="dxa" w:w="90"/>
              <w:left w:type="dxa" w:w="120"/>
              <w:bottom w:type="dxa" w:w="90"/>
              <w:right w:type="dxa" w:w="120"/>
            </w:tcMar>
          </w:tcPr>
          <w:p>
            <w:pPr>
              <w:spacing w:after="0" w:line="260"/>
            </w:pPr>
            <w:r>
              <w:rPr>
                <w:sz w:val="20"/>
                <w:szCs w:val="20"/>
              </w:rPr>
              <w:t xml:space="preserve">Inferred</w:t>
            </w:r>
          </w:p>
        </w:tc>
        <w:tc>
          <w:tcPr>
            <w:tcW w:type="dxa" w:w="5550"/>
            <w:tcMar>
              <w:top w:type="dxa" w:w="90"/>
              <w:left w:type="dxa" w:w="120"/>
              <w:bottom w:type="dxa" w:w="90"/>
              <w:right w:type="dxa" w:w="120"/>
            </w:tcMar>
          </w:tcPr>
          <w:p>
            <w:pPr>
              <w:spacing w:after="0" w:line="260"/>
            </w:pPr>
            <w:r>
              <w:rPr>
                <w:sz w:val="20"/>
                <w:szCs w:val="20"/>
              </w:rPr>
              <w:t xml:space="preserve">The companies and technologies are components of one coordinated, self-expanding space industrial complex.</w:t>
            </w:r>
          </w:p>
        </w:tc>
        <w:tc>
          <w:tcPr>
            <w:tcW w:type="dxa" w:w="2060"/>
            <w:tcMar>
              <w:top w:type="dxa" w:w="90"/>
              <w:left w:type="dxa" w:w="120"/>
              <w:bottom w:type="dxa" w:w="90"/>
              <w:right w:type="dxa" w:w="120"/>
            </w:tcMar>
          </w:tcPr>
          <w:p>
            <w:pPr>
              <w:spacing w:after="0" w:line="260"/>
            </w:pPr>
            <w:r>
              <w:rPr>
                <w:sz w:val="20"/>
                <w:szCs w:val="20"/>
              </w:rPr>
              <w:t xml:space="preserve">Strategic synthesis; partially documented since March 2026</w:t>
            </w:r>
          </w:p>
        </w:tc>
      </w:tr>
      <w:tr>
        <w:tc>
          <w:tcPr>
            <w:tcW w:type="dxa" w:w="1750"/>
            <w:tcMar>
              <w:top w:type="dxa" w:w="90"/>
              <w:left w:type="dxa" w:w="120"/>
              <w:bottom w:type="dxa" w:w="90"/>
              <w:right w:type="dxa" w:w="120"/>
            </w:tcMar>
          </w:tcPr>
          <w:p>
            <w:pPr>
              <w:spacing w:after="0" w:line="260"/>
            </w:pPr>
            <w:r>
              <w:rPr>
                <w:sz w:val="20"/>
                <w:szCs w:val="20"/>
              </w:rPr>
              <w:t xml:space="preserve">Speculative</w:t>
            </w:r>
          </w:p>
        </w:tc>
        <w:tc>
          <w:tcPr>
            <w:tcW w:type="dxa" w:w="5550"/>
            <w:tcMar>
              <w:top w:type="dxa" w:w="90"/>
              <w:left w:type="dxa" w:w="120"/>
              <w:bottom w:type="dxa" w:w="90"/>
              <w:right w:type="dxa" w:w="120"/>
            </w:tcMar>
          </w:tcPr>
          <w:p>
            <w:pPr>
              <w:spacing w:after="0" w:line="260"/>
            </w:pPr>
            <w:r>
              <w:rPr>
                <w:sz w:val="20"/>
                <w:szCs w:val="20"/>
              </w:rPr>
              <w:t xml:space="preserve">The complex eventually achieves near-complete industrial closure, reproduces advanced compute, and expands recursively without essential Earth inputs.</w:t>
            </w:r>
          </w:p>
        </w:tc>
        <w:tc>
          <w:tcPr>
            <w:tcW w:type="dxa" w:w="2060"/>
            <w:tcMar>
              <w:top w:type="dxa" w:w="90"/>
              <w:left w:type="dxa" w:w="120"/>
              <w:bottom w:type="dxa" w:w="90"/>
              <w:right w:type="dxa" w:w="120"/>
            </w:tcMar>
          </w:tcPr>
          <w:p>
            <w:pPr>
              <w:spacing w:after="0" w:line="260"/>
            </w:pPr>
            <w:r>
              <w:rPr>
                <w:sz w:val="20"/>
                <w:szCs w:val="20"/>
              </w:rPr>
              <w:t xml:space="preserve">Long-term hypothesis</w:t>
            </w:r>
          </w:p>
        </w:tc>
      </w:tr>
    </w:tbl>
    <w:p>
      <w:pPr>
        <w:spacing w:after="160"/>
      </w:pPr>
    </w:p>
    <w:p>
      <w:pPr>
        <w:pStyle w:val="Heading1"/>
      </w:pPr>
      <w:r>
        <w:t xml:space="preserve">1. Recursive Self-Improvement: The Digital Loop</w:t>
      </w:r>
    </w:p>
    <w:p>
      <w:pPr>
        <w:spacing w:after="160" w:line="276"/>
      </w:pPr>
      <w:r>
        <w:t xml:space="preserve">Recursive self-improvement (RSI) occurs when an intelligent system contributes to the process that produces a more capable successor. The useful unit is not a public model release but a verified improvement loop: identify a weakness, propose a change, run an experiment, evaluate the result, deploy the improvement, and use the improved system to accelerate the next cycle.</w:t>
      </w:r>
    </w:p>
    <w:p>
      <w:pPr>
        <w:shd w:fill="F5F4F1" w:val="clear"/>
        <w:spacing w:after="40" w:before="120"/>
        <w:jc w:val="center"/>
      </w:pPr>
      <w:r>
        <w:rPr>
          <w:i/>
          <w:iCs/>
          <w:sz w:val="22"/>
          <w:szCs w:val="22"/>
        </w:rPr>
        <w:t xml:space="preserve">I(t+1) = I(t) + ΔI(t)</w:t>
      </w:r>
    </w:p>
    <w:p>
      <w:pPr>
        <w:spacing w:after="160"/>
        <w:jc w:val="center"/>
      </w:pPr>
      <w:r>
        <w:rPr>
          <w:i/>
          <w:iCs/>
          <w:color w:val="595959"/>
          <w:sz w:val="18"/>
          <w:szCs w:val="18"/>
        </w:rPr>
        <w:t xml:space="preserve">I is effective intelligence; ΔI is the verified capability gain during the next cycle.</w:t>
      </w:r>
    </w:p>
    <w:p>
      <w:pPr>
        <w:spacing w:after="160" w:line="276"/>
      </w:pPr>
      <w:r>
        <w:t xml:space="preserve">A practical decomposition separates iteration volume from iteration quality:</w:t>
      </w:r>
    </w:p>
    <w:p>
      <w:pPr>
        <w:shd w:fill="F5F4F1" w:val="clear"/>
        <w:spacing w:after="40" w:before="120"/>
        <w:jc w:val="center"/>
      </w:pPr>
      <w:r>
        <w:rPr>
          <w:i/>
          <w:iCs/>
          <w:sz w:val="22"/>
          <w:szCs w:val="22"/>
        </w:rPr>
        <w:t xml:space="preserve">ΔI = L × G</w:t>
      </w:r>
    </w:p>
    <w:p>
      <w:pPr>
        <w:spacing w:after="160"/>
        <w:jc w:val="center"/>
      </w:pPr>
      <w:r>
        <w:rPr>
          <w:i/>
          <w:iCs/>
          <w:color w:val="595959"/>
          <w:sz w:val="18"/>
          <w:szCs w:val="18"/>
        </w:rPr>
        <w:t xml:space="preserve">L is the number of useful loops completed; G is the average gain per successful loop.</w:t>
      </w:r>
    </w:p>
    <w:p>
      <w:pPr>
        <w:spacing w:after="160" w:line="276"/>
      </w:pPr>
      <w:r>
        <w:t xml:space="preserve">This distinction matters because raw compute does not translate mechanically into intelligence. The loop rate is constrained by the least scalable part of the development system:</w:t>
      </w:r>
    </w:p>
    <w:p>
      <w:pPr>
        <w:shd w:fill="F5F4F1" w:val="clear"/>
        <w:spacing w:after="40" w:before="120"/>
        <w:jc w:val="center"/>
      </w:pPr>
      <w:r>
        <w:rPr>
          <w:i/>
          <w:iCs/>
          <w:sz w:val="22"/>
          <w:szCs w:val="22"/>
        </w:rPr>
        <w:t xml:space="preserve">L = min{ L_C(C), L_D(D), L_X(X), L_V(V), L_R(R) }</w:t>
      </w:r>
    </w:p>
    <w:p>
      <w:pPr>
        <w:spacing w:after="160"/>
        <w:jc w:val="center"/>
      </w:pPr>
      <w:r>
        <w:rPr>
          <w:i/>
          <w:iCs/>
          <w:color w:val="595959"/>
          <w:sz w:val="18"/>
          <w:szCs w:val="18"/>
        </w:rPr>
        <w:t xml:space="preserve">Each L_z converts its resource — compute, data, experimental throughput, verification capacity, deployment reliability — into a common unit: verified improvement loops per unit time. (An earlier shorthand, min(C, D, X, V, R) × E, was a causal diagram, not a dimensionally valid equation; efficiency now lives inside each conversion function.)</w:t>
      </w:r>
    </w:p>
    <w:p>
      <w:pPr>
        <w:pStyle w:val="Heading2"/>
      </w:pPr>
      <w:r>
        <w:t xml:space="preserve">Intelligence as an efficiency multiplier</w:t>
      </w:r>
    </w:p>
    <w:p>
      <w:pPr>
        <w:spacing w:after="160" w:line="276"/>
      </w:pPr>
      <w:r>
        <w:t xml:space="preserve">More capable AI may improve coding, architecture search, synthetic data generation, hardware design, factory scheduling, scientific modeling, and evaluation design. Efficiency is therefore partly a function of intelligence:</w:t>
      </w:r>
    </w:p>
    <w:p>
      <w:pPr>
        <w:shd w:fill="F5F4F1" w:val="clear"/>
        <w:spacing w:after="160" w:before="120"/>
        <w:jc w:val="center"/>
      </w:pPr>
      <w:r>
        <w:rPr>
          <w:i/>
          <w:iCs/>
          <w:sz w:val="22"/>
          <w:szCs w:val="22"/>
        </w:rPr>
        <w:t xml:space="preserve">E(t) = f(I(t))</w:t>
      </w:r>
    </w:p>
    <w:p>
      <w:pPr>
        <w:spacing w:after="160" w:line="276"/>
      </w:pPr>
      <w:r>
        <w:t xml:space="preserve">The form of f is unknown. A logarithmic model represents diminishing returns; a linear model represents proportional research productivity; a superlinear model represents a regime in which better systems unlock qualitatively new automation; a saturating model represents eventual physical or epistemic ceilings. A rigorous analysis should not assume exponential takeoff; it should identify which regime is supported by observed loop completion and verified gains.</w:t>
      </w:r>
    </w:p>
    <w:p>
      <w:pPr>
        <w:pStyle w:val="Heading2"/>
      </w:pPr>
      <w:r>
        <w:t xml:space="preserve">Release cadence versus internal iteration</w:t>
      </w:r>
    </w:p>
    <w:p>
      <w:pPr>
        <w:spacing w:after="160" w:line="276"/>
      </w:pPr>
      <w:r>
        <w:t xml:space="preserve">Public releases are lagging indicators. A company can execute many thousands of internal training runs, evaluations, simulations, and engineering changes between releases. The strategically relevant measure is therefore:</w:t>
      </w:r>
    </w:p>
    <w:p>
      <w:pPr>
        <w:shd w:fill="F5F4F1" w:val="clear"/>
        <w:spacing w:after="160" w:before="120"/>
        <w:jc w:val="center"/>
      </w:pPr>
      <w:r>
        <w:rPr>
          <w:i/>
          <w:iCs/>
          <w:sz w:val="22"/>
          <w:szCs w:val="22"/>
        </w:rPr>
        <w:t xml:space="preserve">Development advantage = verified improvement loops / calendar time</w:t>
      </w:r>
    </w:p>
    <w:p>
      <w:pPr>
        <w:spacing w:after="160" w:line="276"/>
      </w:pPr>
      <w:r>
        <w:t xml:space="preserve">Time-spaced releases remain useful because they generate real-world feedback, revenue, reliability data, and operational learning. The release is part of the loop, but it is not the loop. Note finally that the verification term V recurs later in this paper in a second role: it is also the governing constraint on the safety of the whole system (Section 11).</w:t>
      </w:r>
    </w:p>
    <w:p>
      <w:pPr>
        <w:pStyle w:val="Heading1"/>
      </w:pPr>
      <w:r>
        <w:t xml:space="preserve">2. Recursive Industrial Improvement: The Physical Loop</w:t>
      </w:r>
    </w:p>
    <w:p>
      <w:pPr>
        <w:spacing w:after="160" w:line="276"/>
      </w:pPr>
      <w:r>
        <w:t xml:space="preserve">Digital intelligence ultimately depends on a physical substrate: chips, data centers, electricity, cooling, networks, factories, labor, materials, logistics, and maintenance. A software-only RSI model omits the industrial system that creates and operates compute.</w:t>
      </w:r>
    </w:p>
    <w:p>
      <w:pPr>
        <w:shd w:fill="F5F4F1" w:val="clear"/>
        <w:spacing w:after="40" w:before="120"/>
        <w:jc w:val="center"/>
      </w:pPr>
      <w:r>
        <w:rPr>
          <w:i/>
          <w:iCs/>
          <w:sz w:val="22"/>
          <w:szCs w:val="22"/>
        </w:rPr>
        <w:t xml:space="preserve">AI capacity ← { chips, data centers, energy, cooling, networks, materials, labor, logistics }</w:t>
      </w:r>
    </w:p>
    <w:p>
      <w:pPr>
        <w:spacing w:after="160"/>
        <w:jc w:val="center"/>
      </w:pPr>
      <w:r>
        <w:rPr>
          <w:i/>
          <w:iCs/>
          <w:color w:val="595959"/>
          <w:sz w:val="18"/>
          <w:szCs w:val="18"/>
        </w:rPr>
        <w:t xml:space="preserve">A dependency inventory, not a sum: the terms lack common units and combine through a production function. Any of them can be the binding constraint.</w:t>
      </w:r>
    </w:p>
    <w:p>
      <w:pPr>
        <w:spacing w:after="160" w:line="276"/>
      </w:pPr>
      <w:r>
        <w:t xml:space="preserve">The physical recursive loop begins when AI and robotics improve the production of those inputs. Better intelligence designs and operates better machines; better machines expand energy and manufacturing; expanded industry produces more compute; more compute supports better intelligence.</w:t>
      </w:r>
    </w:p>
    <w:p>
      <w:pPr>
        <w:pStyle w:val="Heading2"/>
      </w:pPr>
      <w:r>
        <w:t xml:space="preserve">Energy does not become hardware, but hardware can reproduce energy capacity</w:t>
      </w:r>
    </w:p>
    <w:p>
      <w:pPr>
        <w:spacing w:after="160" w:line="276"/>
      </w:pPr>
      <w:r>
        <w:t xml:space="preserve">The shorthand “with solar, energy equals hardware” expresses a recursive relationship, not an accounting identity. Solar arrays, storage, transmission, thermal control, and maintenance equipment are physical capital. Once installed, they generate energy that supports production of additional equipment:</w:t>
      </w:r>
    </w:p>
    <w:p>
      <w:pPr>
        <w:shd w:fill="F5F4F1" w:val="clear"/>
        <w:spacing w:after="160" w:before="120"/>
        <w:jc w:val="center"/>
      </w:pPr>
      <w:r>
        <w:rPr>
          <w:i/>
          <w:iCs/>
          <w:sz w:val="22"/>
          <w:szCs w:val="22"/>
        </w:rPr>
        <w:t xml:space="preserve">Energy hardware → usable power → industrial production → additional energy hardware</w:t>
      </w:r>
    </w:p>
    <w:p>
      <w:pPr>
        <w:spacing w:after="160" w:line="276"/>
      </w:pPr>
      <w:r>
        <w:t xml:space="preserve">The strategic effect is declining dependence on imported energy and a potential reduction in marginal energy cost. The system still pays in materials, machine-hours, maintenance, conversion losses, and opportunity cost.</w:t>
      </w:r>
    </w:p>
    <w:p>
      <w:pPr>
        <w:pStyle w:val="Heading2"/>
      </w:pPr>
      <w:r>
        <w:t xml:space="preserve">Robotic labor as manufactured productive capacity</w:t>
      </w:r>
    </w:p>
    <w:p>
      <w:pPr>
        <w:spacing w:after="160" w:line="276"/>
      </w:pPr>
      <w:r>
        <w:t xml:space="preserve">The shorthand “with Optimus, labor equals hardware” is similarly directional. A capable robot converts manufactured capital into repeatable physical work. If robots participate in producing factories, energy systems, transport vehicles, mining equipment, and additional robots, labor capacity becomes partially reproducible through industrial output:</w:t>
      </w:r>
    </w:p>
    <w:p>
      <w:pPr>
        <w:shd w:fill="F5F4F1" w:val="clear"/>
        <w:spacing w:after="160" w:before="120"/>
        <w:jc w:val="center"/>
      </w:pPr>
      <w:r>
        <w:rPr>
          <w:i/>
          <w:iCs/>
          <w:sz w:val="22"/>
          <w:szCs w:val="22"/>
        </w:rPr>
        <w:t xml:space="preserve">Robots → automated production → additional robots and factories</w:t>
      </w:r>
    </w:p>
    <w:p>
      <w:pPr>
        <w:spacing w:after="160" w:line="276"/>
      </w:pPr>
      <w:r>
        <w:t xml:space="preserve">A useful indicator is the robot reproduction ratio:</w:t>
      </w:r>
    </w:p>
    <w:p>
      <w:pPr>
        <w:shd w:fill="F5F4F1" w:val="clear"/>
        <w:spacing w:after="160" w:before="120"/>
        <w:jc w:val="center"/>
      </w:pPr>
      <w:r>
        <w:rPr>
          <w:i/>
          <w:iCs/>
          <w:sz w:val="22"/>
          <w:szCs w:val="22"/>
        </w:rPr>
        <w:t xml:space="preserve">R_robot = robot-production capacity created / capacity consumed to create it</w:t>
      </w:r>
    </w:p>
    <w:p>
      <w:pPr>
        <w:spacing w:after="160" w:line="276"/>
      </w:pPr>
      <w:r>
        <w:t xml:space="preserve">Recursive expansion becomes possible when this ratio exceeds one after accounting for depreciation, maintenance, failed production, energy, materials, and the equipment required to manufacture high-complexity components. In the long run, the decisive competitive variable is not model quality but the </w:t>
      </w:r>
      <w:r>
        <w:rPr>
          <w:b/>
          <w:bCs/>
        </w:rPr>
        <w:t xml:space="preserve">doubling time of productive hardware</w:t>
      </w:r>
      <w:r>
        <w:t xml:space="preserve">: an actor with slightly weaker models and a faster-replicating industrial base eventually dominates on volume. Section 4 examines what that replication must outrun.</w:t>
      </w:r>
    </w:p>
    <w:p>
      <w:pPr>
        <w:pStyle w:val="Heading2"/>
      </w:pPr>
      <w:r>
        <w:t xml:space="preserve">Data: the exhaust of the physical loop</w:t>
      </w:r>
    </w:p>
    <w:p>
      <w:pPr>
        <w:spacing w:after="160" w:line="276"/>
      </w:pPr>
      <w:r>
        <w:t xml:space="preserve">The coupling between the two loops has a second channel besides compute. Operating physical industry generates data that exists nowhere else, because it is produced by </w:t>
      </w:r>
      <w:r>
        <w:rPr>
          <w:i/>
          <w:iCs/>
        </w:rPr>
        <w:t xml:space="preserve">doing</w:t>
      </w:r>
      <w:r>
        <w:t xml:space="preserve"> rather than by writing: engine test telemetry, weld and process parameters, failed alloys and abandoned designs, fleet driving data, robot manipulation traces, factory yield histories. Public text is commoditized — every lab trains on roughly the same internet, which is precisely why open-weight models have converged on it (Section 10). Physical-process data cannot commoditize the same way; there is no corpus to scrape, only instruments to own.</w:t>
      </w:r>
    </w:p>
    <w:p>
      <w:pPr>
        <w:spacing w:after="160" w:line="276"/>
      </w:pPr>
      <w:r>
        <w:t xml:space="preserve">Three properties make this a distinct moat class. </w:t>
      </w:r>
      <w:r>
        <w:rPr>
          <w:b/>
          <w:bCs/>
        </w:rPr>
        <w:t xml:space="preserve">Negative results</w:t>
      </w:r>
      <w:r>
        <w:t xml:space="preserve">: the map of what does not work — the failures paid for in scrapped hardware — is the most valuable engineering knowledge and the least published; it survives only in the archives of whoever funded the failures. </w:t>
      </w:r>
      <w:r>
        <w:rPr>
          <w:b/>
          <w:bCs/>
        </w:rPr>
        <w:t xml:space="preserve">Sim-to-real ground truth</w:t>
      </w:r>
      <w:r>
        <w:t xml:space="preserve">: simulation is weakest exactly where the frontier lies (combustion dynamics, materials under extreme conditions), so real telemetry is the verification fuel for any AI that proposes physical designs — and the test infrastructure that generates it is the experimental-throughput term X of Section 1, extended to the physical world. </w:t>
      </w:r>
      <w:r>
        <w:rPr>
          <w:b/>
          <w:bCs/>
        </w:rPr>
        <w:t xml:space="preserve">Legal fencing</w:t>
      </w:r>
      <w:r>
        <w:t xml:space="preserve">: export-controlled rocketry data cannot lawfully enter open corpora at all — a state-enforced moat stronger than trade secrecy.</w:t>
      </w:r>
    </w:p>
    <w:p>
      <w:pPr>
        <w:spacing w:after="160" w:line="276"/>
      </w:pPr>
      <w:r>
        <w:t xml:space="preserve">As with fabrication, this channel has moved from inference to documented program — twice, through the same mechanism. In July 2026, days after shipping a model whose supplemental training drew on the coding data of an acquired developer-tools company, Musk announced that SpaceX's engineering corpus (excluding export-controlled material) would enter the supplemental training of the next, roughly two-trillion-parameter model. Two applications of one pipeline — base run, then supplemental passes over owned proprietary corpora — make this a repeatable mechanism rather than a one-off. A closure ratio parallel to κ applies:</w:t>
      </w:r>
    </w:p>
    <w:p>
      <w:pPr>
        <w:shd w:fill="F5F4F1" w:val="clear"/>
        <w:spacing w:after="160" w:before="120"/>
        <w:jc w:val="center"/>
      </w:pPr>
      <w:r>
        <w:rPr>
          <w:i/>
          <w:iCs/>
          <w:sz w:val="22"/>
          <w:szCs w:val="22"/>
        </w:rPr>
        <w:t xml:space="preserve">κ_D = training-relevant data generated internally / total training-relevant data required</w:t>
      </w:r>
    </w:p>
    <w:p>
      <w:pPr>
        <w:spacing w:after="160" w:line="276"/>
      </w:pPr>
      <w:r>
        <w:t xml:space="preserve">(A measurement honesty note, adopted from external review: the denominator — total training-relevant data required — is not operationally measurable, and data value depends on quality, diversity, novelty, and causal linkage, not on origin alone. κ_D is therefore a direction-of-effort indicator, proxied by owned-data scale and integration, not a computable ratio.)</w:t>
      </w:r>
    </w:p>
    <w:p>
      <w:pPr>
        <w:spacing w:after="160" w:line="276"/>
      </w:pPr>
      <w:r>
        <w:t xml:space="preserve">The legal fencing described above cuts both ways, however. Export control walls the most sensitive material — reportedly propulsion specifics and guidance-and-control detail — away from rivals </w:t>
      </w:r>
      <w:r>
        <w:rPr>
          <w:i/>
          <w:iCs/>
        </w:rPr>
        <w:t xml:space="preserve">and</w:t>
      </w:r>
      <w:r>
        <w:t xml:space="preserve"> away from any publicly served model, since deploying a model trained on controlled technical data to foreign users would itself constitute export. The strongest-moat data is therefore harvestable only in an internal, access-controlled model variant restricted to cleared personnel; whether such a variant appears is a clean falsifiable indicator (Section 14). The publicly served model trains on the unrestricted majority of the corpus, not its crown jewels.</w:t>
      </w:r>
    </w:p>
    <w:p>
      <w:pPr>
        <w:spacing w:after="160" w:line="276"/>
      </w:pPr>
      <w:r>
        <w:t xml:space="preserve">Generation alone is also not sufficient: the data must be </w:t>
      </w:r>
      <w:r>
        <w:rPr>
          <w:b/>
          <w:bCs/>
        </w:rPr>
        <w:t xml:space="preserve">integrated</w:t>
      </w:r>
      <w:r>
        <w:t xml:space="preserve"> to be trainable. The foundation of this integration is now documented on the record. Tesla's first chief information officer, Jay Vijayan, has described building the company's custom enterprise system, Warp, in about four months in 2012 after Musk rejected off-the-shelf ERP — scrappy and buggy at first, then continuously extended — precisely so the company could change its operations in days rather than adapt itself to vendor software. Independently, SpaceX runs its own internal system, also named Warp Drive, confirmed by former engineers. The two companies converged on the same build-don't-buy pattern separately, which is itself evidence that the pattern follows from the iteration-speed requirement rather than from one executive's taste.</w:t>
      </w:r>
    </w:p>
    <w:p>
      <w:pPr>
        <w:spacing w:after="160" w:line="276"/>
      </w:pPr>
      <w:r>
        <w:t xml:space="preserve">On top of this base, commentary describes a unified data fabric maintaining, for every vehicle produced, a linked record across three phases: </w:t>
      </w:r>
      <w:r>
        <w:rPr>
          <w:b/>
          <w:bCs/>
        </w:rPr>
        <w:t xml:space="preserve">as designed</w:t>
      </w:r>
      <w:r>
        <w:t xml:space="preserve"> (models and simulations), </w:t>
      </w:r>
      <w:r>
        <w:rPr>
          <w:b/>
          <w:bCs/>
        </w:rPr>
        <w:t xml:space="preserve">as built</w:t>
      </w:r>
      <w:r>
        <w:t xml:space="preserve"> (supplier batches, machine settings, torques, and factory test results), and </w:t>
      </w:r>
      <w:r>
        <w:rPr>
          <w:b/>
          <w:bCs/>
        </w:rPr>
        <w:t xml:space="preserve">as deployed</w:t>
      </w:r>
      <w:r>
        <w:t xml:space="preserve"> (operational fleet telemetry). The integrated cross-functional data foundation and the over-the-air infrastructure are independently confirmed; the specific tri-phase record schema is only partially confirmed and treated as indicative. The value of such a record, if accurate, is causal structure: it connects design intent to production parameters to field behavior per individual unit — exactly the linkage an AI needs to learn cause and effect in manufacturing, and exactly what rivals with siloed design, factory, and service databases cannot reconstruct from equal volumes of unlinked data. κ_D therefore has a quality dimension: data closure means generating training-relevant data not just internally but </w:t>
      </w:r>
      <w:r>
        <w:rPr>
          <w:i/>
          <w:iCs/>
        </w:rPr>
        <w:t xml:space="preserve">connected</w:t>
      </w:r>
      <w:r>
        <w:t xml:space="preserve">.</w:t>
      </w:r>
    </w:p>
    <w:p>
      <w:pPr>
        <w:spacing w:after="160" w:line="276"/>
      </w:pPr>
      <w:r>
        <w:t xml:space="preserve">Scale proxies for κ_D now exist. As of mid-2026, the vehicle fleet has accumulated more than ten billion miles under supervised autonomy software — roughly forty-five times the ~220 million fully driverless miles disclosed by the leading robotaxi rival — with the essential caveat that supervised and driverless miles are not equivalent in decision-relevant information per mile. First-party engineering disclosures give texture: an occupancy network trained on 1.4 billion fleet video frames, and an auto-labeling system replacing roughly five million hours of manual annotation. On the aerospace side, thirteen heavy-lift test flights by mid-2026 embody the complementary regime: few data points, each carrying enormous information content.</w:t>
      </w:r>
    </w:p>
    <w:p>
      <w:pPr>
        <w:spacing w:after="160" w:line="276"/>
      </w:pPr>
      <w:r>
        <w:t xml:space="preserve">The honest caveat matches the rest of this framework: proprietary physical data is lead time, not permanence. Any actor operating comparable fleets, factories, and test programs generates comparable exhaust — China's vehicle fleets and robotics sector do so at national scale — so the data moat obeys the same convergence logic as every other layer.</w:t>
      </w:r>
    </w:p>
    <w:p>
      <w:pPr>
        <w:pStyle w:val="Heading1"/>
      </w:pPr>
      <w:r>
        <w:t xml:space="preserve">3. Why Space Changes the Cost Structure</w:t>
      </w:r>
    </w:p>
    <w:p>
      <w:pPr>
        <w:spacing w:after="160" w:line="276"/>
      </w:pPr>
      <w:r>
        <w:t xml:space="preserve">On Earth, land is economically scarce because useful locations compete with existing communities, ecosystems, infrastructure, political jurisdictions, and alternative land uses. In orbit or on extraterrestrial bodies, the monetary price of unused area can approach zero. This can remove a major terrestrial constraint for very large energy arrays, factories, shipyards, telescopes, storage systems, and compute infrastructure.</w:t>
      </w:r>
    </w:p>
    <w:p>
      <w:pPr>
        <w:shd w:fill="F5F4F1" w:val="clear"/>
        <w:spacing w:after="160" w:before="120"/>
        <w:jc w:val="center"/>
      </w:pPr>
      <w:r>
        <w:rPr>
          <w:i/>
          <w:iCs/>
          <w:sz w:val="22"/>
          <w:szCs w:val="22"/>
        </w:rPr>
        <w:t xml:space="preserve">Earth infrastructure cost = land + permits + construction + energy + materials + labor + coordination</w:t>
      </w:r>
    </w:p>
    <w:p>
      <w:pPr>
        <w:shd w:fill="F5F4F1" w:val="clear"/>
        <w:spacing w:after="160" w:before="120"/>
        <w:jc w:val="center"/>
      </w:pPr>
      <w:r>
        <w:rPr>
          <w:i/>
          <w:iCs/>
          <w:sz w:val="22"/>
          <w:szCs w:val="22"/>
        </w:rPr>
        <w:t xml:space="preserve">Space infrastructure cost = transport + energy + extraction + refining + manufacturing + maintenance + coordination</w:t>
      </w:r>
    </w:p>
    <w:p>
      <w:pPr>
        <w:spacing w:after="160" w:line="276"/>
      </w:pPr>
      <w:r>
        <w:t xml:space="preserve">The land term declines sharply, but infrastructure does not become free. The initial system must reach its destination, survive the environment, obtain or import matter, reject heat, maintain orbital or surface operations, and replace failed equipment. Valuable positions may remain scarce because of illumination, thermal conditions, communication geometry, orbital stability, resource proximity, and transport energy.</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Refined claim</w:t>
            </w:r>
          </w:p>
          <w:p>
            <w:pPr>
              <w:spacing w:after="40"/>
            </w:pPr>
            <w:r>
              <w:t xml:space="preserve">Space does not eliminate cost. It changes cost from purchasing scarce terrestrial sites and coordinating human institutions toward transporting, converting, and maintaining matter through an automated production network.</w:t>
            </w:r>
          </w:p>
        </w:tc>
      </w:tr>
    </w:tbl>
    <w:p>
      <w:pPr>
        <w:spacing w:after="160"/>
      </w:pPr>
    </w:p>
    <w:p>
      <w:pPr>
        <w:pStyle w:val="Heading2"/>
      </w:pPr>
      <w:r>
        <w:t xml:space="preserve">Constraints become internal product categories</w:t>
      </w:r>
    </w:p>
    <w:p>
      <w:pPr>
        <w:spacing w:after="160" w:line="276"/>
      </w:pPr>
      <w:r>
        <w:t xml:space="preserve">Station-keeping, collision avoidance, communications, maintenance, and transportation do not remain permanent external objections once the industrial complex can manufacture the required systems. They become production lines inside the larger ecology:</w:t>
      </w:r>
    </w:p>
    <w:p>
      <w:pPr>
        <w:pStyle w:val="ListParagraph"/>
        <w:numPr>
          <w:ilvl w:val="0"/>
          <w:numId w:val="2"/>
        </w:numPr>
        <w:spacing w:after="100" w:line="276"/>
      </w:pPr>
      <w:r>
        <w:t xml:space="preserve">Station-keeping becomes demand for propellant, thrusters, tanks, navigation, and orbital-transfer vehicles.</w:t>
      </w:r>
    </w:p>
    <w:p>
      <w:pPr>
        <w:pStyle w:val="ListParagraph"/>
        <w:numPr>
          <w:ilvl w:val="0"/>
          <w:numId w:val="2"/>
        </w:numPr>
        <w:spacing w:after="100" w:line="276"/>
      </w:pPr>
      <w:r>
        <w:t xml:space="preserve">Collision management becomes demand for tracking sensors, predictive software, maneuver capability, and debris-removal systems.</w:t>
      </w:r>
    </w:p>
    <w:p>
      <w:pPr>
        <w:pStyle w:val="ListParagraph"/>
        <w:numPr>
          <w:ilvl w:val="0"/>
          <w:numId w:val="2"/>
        </w:numPr>
        <w:spacing w:after="100" w:line="276"/>
      </w:pPr>
      <w:r>
        <w:t xml:space="preserve">Imported mass is displaced by local extraction, refining, recycling, and manufacturing.</w:t>
      </w:r>
    </w:p>
    <w:p>
      <w:pPr>
        <w:pStyle w:val="ListParagraph"/>
        <w:numPr>
          <w:ilvl w:val="0"/>
          <w:numId w:val="2"/>
        </w:numPr>
        <w:spacing w:after="100" w:line="276"/>
      </w:pPr>
      <w:r>
        <w:t xml:space="preserve">Maintenance becomes demand for inspection robots, modular replacement parts, diagnostics, and redundant capacity.</w:t>
      </w:r>
    </w:p>
    <w:p>
      <w:pPr>
        <w:pStyle w:val="ListParagraph"/>
        <w:numPr>
          <w:ilvl w:val="0"/>
          <w:numId w:val="2"/>
        </w:numPr>
        <w:spacing w:after="100" w:line="276"/>
      </w:pPr>
      <w:r>
        <w:t xml:space="preserve">Coordination becomes demand for compute, communications, local autonomy, and system-level planning intelligence.</w:t>
      </w:r>
    </w:p>
    <w:p>
      <w:pPr>
        <w:spacing w:after="160" w:line="276"/>
      </w:pPr>
      <w:r>
        <w:t xml:space="preserve">The crucial issue is therefore not whether these requirements exist, but whether the complex can reproduce the industries needed to satisfy them faster than the system depreciates.</w:t>
      </w:r>
    </w:p>
    <w:p>
      <w:pPr>
        <w:pStyle w:val="Heading2"/>
      </w:pPr>
      <w:r>
        <w:t xml:space="preserve">The distributed industrial ecology</w:t>
      </w:r>
    </w:p>
    <w:p>
      <w:pPr>
        <w:spacing w:after="160" w:line="276"/>
      </w:pPr>
      <w:r>
        <w:t xml:space="preserve">The complex need not be a single self-contained factory. It can be a distributed network of specialized nodes whose combined input-output graph is closed: lunar mines, asteroid extraction sites, orbital refineries, propellant depots, solar power arrays, shipyards, robot factories, compute centers, habitats, and communications relays.</w:t>
      </w:r>
    </w:p>
    <w:p>
      <w:pPr>
        <w:shd w:fill="F5F4F1" w:val="clear"/>
        <w:spacing w:after="160" w:before="120"/>
        <w:jc w:val="center"/>
      </w:pPr>
      <w:r>
        <w:rPr>
          <w:i/>
          <w:iCs/>
          <w:sz w:val="22"/>
          <w:szCs w:val="22"/>
        </w:rPr>
        <w:t xml:space="preserve">Local specialization + network coordination = system-level self-sufficiency</w:t>
      </w:r>
    </w:p>
    <w:p>
      <w:pPr>
        <w:spacing w:after="160" w:line="276"/>
      </w:pPr>
      <w:r>
        <w:t xml:space="preserve">A lunar node might supply bulk materials and volatiles; orbital facilities might exploit vacuum, continuous solar access, and microgravity assembly; Mars might support settlement and local industry; asteroids might provide selected metals and volatiles. No single node must produce everything. The network as a whole must be able to replace its critical inputs.</w:t>
      </w:r>
    </w:p>
    <w:p>
      <w:pPr>
        <w:pStyle w:val="Heading1"/>
      </w:pPr>
      <w:r>
        <w:t xml:space="preserve">4. Depreciation: The Harsh Term in the Growth Equation</w:t>
      </w:r>
    </w:p>
    <w:p>
      <w:pPr>
        <w:shd w:fill="F5F4F1" w:val="clear"/>
        <w:spacing w:after="40" w:before="120"/>
        <w:jc w:val="center"/>
      </w:pPr>
      <w:r>
        <w:rPr>
          <w:i/>
          <w:iCs/>
          <w:sz w:val="22"/>
          <w:szCs w:val="22"/>
        </w:rPr>
        <w:t xml:space="preserve">dH/dt = [r − δ] H</w:t>
      </w:r>
    </w:p>
    <w:p>
      <w:pPr>
        <w:spacing w:after="160"/>
        <w:jc w:val="center"/>
      </w:pPr>
      <w:r>
        <w:rPr>
          <w:i/>
          <w:iCs/>
          <w:color w:val="595959"/>
          <w:sz w:val="18"/>
          <w:szCs w:val="18"/>
        </w:rPr>
        <w:t xml:space="preserve">H is productive infrastructure; r is gross replication productivity; δ is depreciation and failure.</w:t>
      </w:r>
    </w:p>
    <w:p>
      <w:pPr>
        <w:spacing w:after="160" w:line="276"/>
      </w:pPr>
      <w:r>
        <w:t xml:space="preserve">Every claim in this framework ultimately reduces to whether gross replication r exceeds depreciation δ. Terrestrial industry operates inside an ambient repair economy — spare parts, service firms, substitute machines, and human technicians are purchasable everywhere. Space assets have none of that: a communications satellite is typically designed for a fifteen-year life with no repair at all, and it is retired when consumables or components fail.</w:t>
      </w:r>
    </w:p>
    <w:p>
      <w:pPr>
        <w:spacing w:after="160" w:line="276"/>
      </w:pPr>
      <w:r>
        <w:t xml:space="preserve">Published measurements now bound the problem, and they refine the earlier editions' intuition in a direction worth stating honestly. Continuous degradation in space is worse than on Earth, but only by a factor of two to three: telemetry from eleven GEO satellites puts solar-array degradation at roughly 0.4–1.7% per year depending on cell type, against a terrestrial median of 0.5–0.6% per year from a meta-study of more than eleven thousand measured rates. Discrete failure is likewise unremarkable per unit: independent tracking puts observed failure in the largest LEO constellation near 2.5–3%. The space penalty in δ is therefore </w:t>
      </w:r>
      <w:r>
        <w:rPr>
          <w:b/>
          <w:bCs/>
        </w:rPr>
        <w:t xml:space="preserve">not primarily faster wear</w:t>
      </w:r>
      <w:r>
        <w:t xml:space="preserve"> — it is the five-to-fifteen-year no-repair design envelope, the internality of every repair chain, and discrete loss without salvage. Meanwhile, a paradox on the terrestrial side: the most advanced productive capital on Earth — fab tools on two-to-five-year depreciation schedules, data-center accelerators failing at a measured rate of roughly one per two thousand GPU-days and retired within three to six years — is written off </w:t>
      </w:r>
      <w:r>
        <w:rPr>
          <w:i/>
          <w:iCs/>
        </w:rPr>
        <w:t xml:space="preserve">faster</w:t>
      </w:r>
      <w:r>
        <w:t xml:space="preserve"> than a space solar array physically degrades, because obsolescence, not wear, sets the terrestrial replacement clock. (Section 16's upgrade asymmetry partially dissolves that obsolescence term after architectural convergence.)</w:t>
      </w:r>
    </w:p>
    <w:p>
      <w:pPr>
        <w:shd w:fill="F5F4F1" w:val="clear"/>
        <w:spacing w:after="40" w:before="120"/>
        <w:jc w:val="center"/>
      </w:pPr>
      <w:r>
        <w:rPr>
          <w:i/>
          <w:iCs/>
          <w:sz w:val="22"/>
          <w:szCs w:val="22"/>
        </w:rPr>
        <w:t xml:space="preserve">δ_total = δ_wear + δ_catastrophic + δ_obsolescence + δ_logistics</w:t>
      </w:r>
    </w:p>
    <w:p>
      <w:pPr>
        <w:spacing w:after="160"/>
        <w:jc w:val="center"/>
      </w:pPr>
      <w:r>
        <w:rPr>
          <w:i/>
          <w:iCs/>
          <w:color w:val="595959"/>
          <w:sz w:val="18"/>
          <w:szCs w:val="18"/>
        </w:rPr>
        <w:t xml:space="preserve">Space raises the catastrophic and logistics terms; Earth raises the obsolescence term; wear differs by only a factor of two to three. Compressing these into one scalar was a source of internal inconsistency in earlier revisions, corrected here.</w:t>
      </w:r>
    </w:p>
    <w:p>
      <w:pPr>
        <w:spacing w:after="160" w:line="276"/>
      </w:pPr>
      <w:r>
        <w:t xml:space="preserve">The space environment drives δ upward through several independent channels:</w:t>
      </w:r>
    </w:p>
    <w:p>
      <w:pPr>
        <w:pStyle w:val="ListParagraph"/>
        <w:numPr>
          <w:ilvl w:val="0"/>
          <w:numId w:val="2"/>
        </w:numPr>
        <w:spacing w:after="100" w:line="276"/>
      </w:pPr>
      <w:r>
        <w:rPr>
          <w:b/>
          <w:bCs/>
        </w:rPr>
        <w:t xml:space="preserve">Radiation:</w:t>
      </w:r>
      <w:r>
        <w:t xml:space="preserve"> cumulative ionizing dose degrades electronics and materials, while single-event upsets corrupt computation — the reason space-qualified chips are a distinct engineering category.</w:t>
      </w:r>
    </w:p>
    <w:p>
      <w:pPr>
        <w:pStyle w:val="ListParagraph"/>
        <w:numPr>
          <w:ilvl w:val="0"/>
          <w:numId w:val="2"/>
        </w:numPr>
        <w:spacing w:after="100" w:line="276"/>
      </w:pPr>
      <w:r>
        <w:rPr>
          <w:b/>
          <w:bCs/>
        </w:rPr>
        <w:t xml:space="preserve">Thermal cycling:</w:t>
      </w:r>
      <w:r>
        <w:t xml:space="preserve"> repeated extreme temperature swings fatigue joints, coatings, and structures.</w:t>
      </w:r>
    </w:p>
    <w:p>
      <w:pPr>
        <w:pStyle w:val="ListParagraph"/>
        <w:numPr>
          <w:ilvl w:val="0"/>
          <w:numId w:val="2"/>
        </w:numPr>
        <w:spacing w:after="100" w:line="276"/>
      </w:pPr>
      <w:r>
        <w:rPr>
          <w:b/>
          <w:bCs/>
        </w:rPr>
        <w:t xml:space="preserve">Micrometeoroids and debris:</w:t>
      </w:r>
      <w:r>
        <w:t xml:space="preserve"> a continuous erosive flux plus a low-probability, high-consequence impact risk.</w:t>
      </w:r>
    </w:p>
    <w:p>
      <w:pPr>
        <w:pStyle w:val="ListParagraph"/>
        <w:numPr>
          <w:ilvl w:val="0"/>
          <w:numId w:val="2"/>
        </w:numPr>
        <w:spacing w:after="100" w:line="276"/>
      </w:pPr>
      <w:r>
        <w:rPr>
          <w:b/>
          <w:bCs/>
        </w:rPr>
        <w:t xml:space="preserve">Vacuum effects:</w:t>
      </w:r>
      <w:r>
        <w:t xml:space="preserve"> lubricant outgassing and cold-welding of metal surfaces degrade mechanisms.</w:t>
      </w:r>
    </w:p>
    <w:p>
      <w:pPr>
        <w:pStyle w:val="ListParagraph"/>
        <w:numPr>
          <w:ilvl w:val="0"/>
          <w:numId w:val="2"/>
        </w:numPr>
        <w:spacing w:after="100" w:line="276"/>
      </w:pPr>
      <w:r>
        <w:rPr>
          <w:b/>
          <w:bCs/>
        </w:rPr>
        <w:t xml:space="preserve">Regolith dust:</w:t>
      </w:r>
      <w:r>
        <w:t xml:space="preserve"> on the Moon and Mars, abrasive, electrostatically clinging dust attacks seals, optics, radiators, and joints.</w:t>
      </w:r>
    </w:p>
    <w:p>
      <w:pPr>
        <w:pStyle w:val="ListParagraph"/>
        <w:numPr>
          <w:ilvl w:val="0"/>
          <w:numId w:val="2"/>
        </w:numPr>
        <w:spacing w:after="100" w:line="276"/>
      </w:pPr>
      <w:r>
        <w:rPr>
          <w:b/>
          <w:bCs/>
        </w:rPr>
        <w:t xml:space="preserve">No ambient repair economy:</w:t>
      </w:r>
      <w:r>
        <w:t xml:space="preserve"> every repair chain is internal to the complex or does not exist.</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clock-setting component</w:t>
            </w:r>
          </w:p>
          <w:p>
            <w:pPr>
              <w:spacing w:after="40"/>
            </w:pPr>
            <w:r>
              <w:t xml:space="preserve">In any partially closed system, the component with the shortest replacement horizon that cannot yet be produced or stockpiled locally sets a hard clock on the entire complex. Closure priority should therefore be ordered by failure rate × non-replaceability, not by mass fraction. The first industries to close are not the largest but the ones that keep everything else alive.</w:t>
            </w:r>
          </w:p>
        </w:tc>
      </w:tr>
    </w:tbl>
    <w:p>
      <w:pPr>
        <w:spacing w:after="160"/>
      </w:pPr>
    </w:p>
    <w:p>
      <w:pPr>
        <w:shd w:fill="F5F4F1" w:val="clear"/>
        <w:spacing w:after="160" w:before="120"/>
        <w:jc w:val="center"/>
      </w:pPr>
      <w:r>
        <w:rPr>
          <w:i/>
          <w:iCs/>
          <w:sz w:val="22"/>
          <w:szCs w:val="22"/>
        </w:rPr>
        <w:t xml:space="preserve">Viability condition: T_replicate &lt; T_critical failure, for every irreplaceable component class</w:t>
      </w:r>
    </w:p>
    <w:p>
      <w:pPr>
        <w:spacing w:after="160" w:line="276"/>
      </w:pPr>
      <w:r>
        <w:t xml:space="preserve">A credible roadmap should publish estimates of both r and δ per component class, and should treat maintenance, inspection, and recycling capacity as first-class industrial outputs rather than overhead. Appendix A collects the currently published anchors.</w:t>
      </w:r>
    </w:p>
    <w:p>
      <w:pPr>
        <w:pStyle w:val="Heading1"/>
      </w:pPr>
      <w:r>
        <w:t xml:space="preserve">5. Industrial Closure: The Decisive Threshold</w:t>
      </w:r>
    </w:p>
    <w:p>
      <w:pPr>
        <w:spacing w:after="160" w:line="276"/>
      </w:pPr>
      <w:r>
        <w:t xml:space="preserve">Self-sustaining and self-expanding are different milestones. A self-sustaining system replaces what it consumes or loses. A self-expanding system creates net additional productive capacity after replacement, maintenance, and losses.</w:t>
      </w:r>
    </w:p>
    <w:p>
      <w:pPr>
        <w:shd w:fill="F5F4F1" w:val="clear"/>
        <w:spacing w:after="40" w:before="120"/>
        <w:jc w:val="center"/>
      </w:pPr>
      <w:r>
        <w:rPr>
          <w:i/>
          <w:iCs/>
          <w:sz w:val="22"/>
          <w:szCs w:val="22"/>
        </w:rPr>
        <w:t xml:space="preserve">Self-sustaining: P ≥ D    |    Self-expanding: P &gt; D</w:t>
      </w:r>
    </w:p>
    <w:p>
      <w:pPr>
        <w:spacing w:after="160"/>
        <w:jc w:val="center"/>
      </w:pPr>
      <w:r>
        <w:rPr>
          <w:i/>
          <w:iCs/>
          <w:color w:val="595959"/>
          <w:sz w:val="18"/>
          <w:szCs w:val="18"/>
        </w:rPr>
        <w:t xml:space="preserve">P is productive capacity manufactured during a period; D is productive capacity lost or consumed.</w:t>
      </w:r>
    </w:p>
    <w:p>
      <w:pPr>
        <w:shd w:fill="F5F4F1" w:val="clear"/>
        <w:spacing w:after="40" w:before="120"/>
        <w:jc w:val="center"/>
      </w:pPr>
      <w:r>
        <w:rPr>
          <w:i/>
          <w:iCs/>
          <w:sz w:val="22"/>
          <w:szCs w:val="22"/>
        </w:rPr>
        <w:t xml:space="preserve">g_H = (P − D) / H</w:t>
      </w:r>
    </w:p>
    <w:p>
      <w:pPr>
        <w:spacing w:after="160"/>
        <w:jc w:val="center"/>
      </w:pPr>
      <w:r>
        <w:rPr>
          <w:i/>
          <w:iCs/>
          <w:color w:val="595959"/>
          <w:sz w:val="18"/>
          <w:szCs w:val="18"/>
        </w:rPr>
        <w:t xml:space="preserve">g_H is the net growth rate of productive infrastructure H.</w:t>
      </w:r>
    </w:p>
    <w:p>
      <w:pPr>
        <w:pStyle w:val="Heading2"/>
      </w:pPr>
      <w:r>
        <w:t xml:space="preserve">Closure ratio</w:t>
      </w:r>
    </w:p>
    <w:p>
      <w:pPr>
        <w:spacing w:after="160" w:line="276"/>
      </w:pPr>
      <w:r>
        <w:t xml:space="preserve">Industrial closure measures how much of the system's critical input set is produced inside the space-industrial network rather than imported from Earth:</w:t>
      </w:r>
    </w:p>
    <w:p>
      <w:pPr>
        <w:shd w:fill="F5F4F1" w:val="clear"/>
        <w:spacing w:after="160" w:before="120"/>
        <w:jc w:val="center"/>
      </w:pPr>
      <w:r>
        <w:rPr>
          <w:i/>
          <w:iCs/>
          <w:sz w:val="22"/>
          <w:szCs w:val="22"/>
        </w:rPr>
        <w:t xml:space="preserve">κ = critical inputs produced internally / total critical inputs required</w:t>
      </w:r>
    </w:p>
    <w:p>
      <w:pPr>
        <w:spacing w:after="160" w:line="276"/>
      </w:pPr>
      <w:r>
        <w:t xml:space="preserve">At low closure, nearly all equipment arrives from Earth. At intermediate closure, local industry supplies propellant, shielding, structural materials, tanks, roads, landing pads, and simple machines. At high closure, the network also produces motors, sensors, precision tools, computers, robots, spacecraft, factory machinery, high-purity chemicals, and semiconductor equipment.</w:t>
      </w:r>
    </w:p>
    <w:p>
      <w:pPr>
        <w:spacing w:after="160" w:line="276"/>
      </w:pPr>
      <w:r>
        <w:t xml:space="preserve">External review also corrects the scalar form: κ is vocabulary, not yet a valid measure. A system supplying 99.9% of its required mass locally can possess effectively zero autonomous closure if the remaining 0.1% contains irreplaceable electronics or catalysts. The proper object is a vector — κ = (κ_power, κ_mining, κ_refining, κ_robotics, κ_machine-tools, κ_electronics, κ_thermal, κ_transport) — with criticality and substitutability assessed per component, and the analysis should identify </w:t>
      </w:r>
      <w:r>
        <w:rPr>
          <w:b/>
          <w:bCs/>
        </w:rPr>
        <w:t xml:space="preserve">minimum cut sets</w:t>
      </w:r>
      <w:r>
        <w:t xml:space="preserve">: the smallest combinations of imported inputs whose loss collapses the network. The clock-setting component of Section 4 is the scalar shadow of this vector structure.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hardest closure problem</w:t>
            </w:r>
          </w:p>
          <w:p>
            <w:pPr>
              <w:spacing w:after="40"/>
            </w:pPr>
            <w:r>
              <w:t xml:space="preserve">Bulk structures are comparatively easy. The binding challenge is reproducing the deep technological stack: precision metrology, advanced electronics, semiconductor fabrication, optics, high-purity processing, specialized alloys, software verification, and the machines that manufacture those machines. Section 8 examines the first announced attempt on this problem's terrestrial face.</w:t>
            </w:r>
          </w:p>
        </w:tc>
      </w:tr>
    </w:tbl>
    <w:p>
      <w:pPr>
        <w:spacing w:after="160"/>
      </w:pPr>
    </w:p>
    <w:p>
      <w:pPr>
        <w:pStyle w:val="Heading2"/>
      </w:pPr>
      <w:r>
        <w:t xml:space="preserve">A fifty-year-old engineering question</w:t>
      </w:r>
    </w:p>
    <w:p>
      <w:pPr>
        <w:spacing w:after="160" w:line="276"/>
      </w:pPr>
      <w:r>
        <w:t xml:space="preserve">This vocabulary has a lineage. The 1980 NASA/ASEE summer study, published as </w:t>
      </w:r>
      <w:r>
        <w:rPr>
          <w:i/>
          <w:iCs/>
        </w:rPr>
        <w:t xml:space="preserve">Advanced Automation for Space Missions</w:t>
      </w:r>
      <w:r>
        <w:t xml:space="preserve">, designed a self-replicating lunar factory that would grow from a seed of roughly one hundred tons, and introduced quantitative closure analysis — the discipline of accounting for every input a replicating factory must produce or import. Later work, notably Freitas and Merkle's </w:t>
      </w:r>
      <w:r>
        <w:rPr>
          <w:i/>
          <w:iCs/>
        </w:rPr>
        <w:t xml:space="preserve">Kinematic Self-Replicating Machines</w:t>
      </w:r>
      <w:r>
        <w:t xml:space="preserve"> (2004), catalogued the design space in depth. The present thesis is that lineage plus three ingredients the 1980 study lacked: general-purpose AI able to coordinate, diagnose, and redesign the system; a reusable heavy-lift transport economy that makes seed delivery affordable; and mass-manufactured robotics. The question has not changed. The feasibility inputs have.</w:t>
      </w:r>
    </w:p>
    <w:p>
      <w:pPr>
        <w:pStyle w:val="Heading2"/>
      </w:pPr>
      <w:r>
        <w:t xml:space="preserve">First numbers for r and κ</w:t>
      </w:r>
    </w:p>
    <w:p>
      <w:pPr>
        <w:spacing w:after="160" w:line="276"/>
      </w:pPr>
      <w:r>
        <w:t xml:space="preserve">The parameters now have published anchors, collected in Appendix A — but external review has corrected how the replication anchors may be used, and the correction is adopted here. Three quantities were previously presented as converging near one year: solar energy payback time (~0.9–1.1 years in Europe, 1–4 years across technologies), the NASA 1980 study's estimate that its lunar factory replicates its own mass in about a year, and Gigafactory Shanghai's ten-month buildout. These are </w:t>
      </w:r>
      <w:r>
        <w:rPr>
          <w:b/>
          <w:bCs/>
        </w:rPr>
        <w:t xml:space="preserve">not commensurable</w:t>
      </w:r>
      <w:r>
        <w:t xml:space="preserve">. Energy payback measures when an installation has generated its embodied energy — not whether it can reproduce the mines, refineries, machine tools, and production lines behind it. The NASA figure is a design-study output, not empirical confirmation of itself. And Shanghai measures project execution embedded in a mature terrestrial economy, not recursive reproduction. The honest statement: the replication time of a full industrial ecosystem is </w:t>
      </w:r>
      <w:r>
        <w:rPr>
          <w:b/>
          <w:bCs/>
        </w:rPr>
        <w:t xml:space="preserve">unknown</w:t>
      </w:r>
      <w:r>
        <w:t xml:space="preserve">; roughly one year survives only as an optimistic design assumption inherited from the 1980 study, and the three published numbers bound sub-problems — energy self-financing and construction speed — rather than the system.</w:t>
      </w:r>
    </w:p>
    <w:p>
      <w:pPr>
        <w:spacing w:after="160" w:line="276"/>
      </w:pPr>
      <w:r>
        <w:t xml:space="preserve">What would produce a real number is a multisector model: for each critical sector, a capacity, a sector-specific depreciation, a requirement matrix stating how much of each sector's output is needed to expand every other, and import terms — with self-expansion defined as feasible positive net growth in </w:t>
      </w:r>
      <w:r>
        <w:rPr>
          <w:i/>
          <w:iCs/>
        </w:rPr>
        <w:t xml:space="preserve">every indispensable sector</w:t>
      </w:r>
      <w:r>
        <w:t xml:space="preserve">, not aggregate growth. Building and running that model is the core task of the third edition.</w:t>
      </w:r>
    </w:p>
    <w:p>
      <w:pPr>
        <w:spacing w:after="160" w:line="276"/>
      </w:pPr>
      <w:r>
        <w:t xml:space="preserve">For closure κ, the honest headline is a </w:t>
      </w:r>
      <w:r>
        <w:rPr>
          <w:b/>
          <w:bCs/>
        </w:rPr>
        <w:t xml:space="preserve">theory-versus-demonstration gap</w:t>
      </w:r>
      <w:r>
        <w:t xml:space="preserve">. The NASA 1980 study put attainable materials closure at 90–96%, with the residual “vitamin parts” — microelectronics, bearings, precision instruments — imported. What has actually been demonstrated is far below that: MOXIE produced oxygen on Mars at six to twelve grams per hour (a genuine milestone, and a toaster-sized one), and the best lunar oxygen-extraction demonstration reaches roughly a 20% yield at mid technology-readiness under simulated conditions. Full-system closure — a facility producing a meaningful fraction of its own machinery — has not been demonstrated at any scale. Stating the gap plainly strengthens the thesis rather than weakening it: it converts the indicators of Section 14 from rhetoric into a measurable distance.</w:t>
      </w:r>
    </w:p>
    <w:p>
      <w:pPr>
        <w:pStyle w:val="Heading2"/>
      </w:pPr>
      <w:r>
        <w:t xml:space="preserve">The seed-factory transition</w:t>
      </w:r>
    </w:p>
    <w:p>
      <w:pPr>
        <w:spacing w:after="160" w:line="276"/>
      </w:pPr>
      <w:r>
        <w:t xml:space="preserve">The economic transition occurs when Earth stops transporting finished infrastructure and instead transports a compact industrial seed containing power generation, extraction equipment, refining and manufacturing tools, robots, compute, communications, repair capability, and enough initial spares to grow before failure:</w:t>
      </w:r>
    </w:p>
    <w:p>
      <w:pPr>
        <w:shd w:fill="F5F4F1" w:val="clear"/>
        <w:spacing w:after="160" w:before="120"/>
        <w:jc w:val="center"/>
      </w:pPr>
      <w:r>
        <w:rPr>
          <w:i/>
          <w:iCs/>
          <w:sz w:val="22"/>
          <w:szCs w:val="22"/>
        </w:rPr>
        <w:t xml:space="preserve">Seed → extract → refine → manufacture → repair → replicate → expand</w:t>
      </w:r>
    </w:p>
    <w:p>
      <w:pPr>
        <w:spacing w:after="160" w:line="276"/>
      </w:pPr>
      <w:r>
        <w:t xml:space="preserve">The seed is viable only if it can grow its productive base before critical imported components fail — the clock-setting condition of Section 4. A credible design therefore requires redundancy, modularity, recycling, error correction, inventory buffers, and an explicit path for every nonlocal dependency.</w:t>
      </w:r>
    </w:p>
    <w:p>
      <w:pPr>
        <w:pStyle w:val="Heading1"/>
      </w:pPr>
      <w:r>
        <w:t xml:space="preserve">6. Intelligence, Coordination, and Time</w:t>
      </w:r>
    </w:p>
    <w:p>
      <w:pPr>
        <w:spacing w:after="160" w:line="276"/>
      </w:pPr>
      <w:r>
        <w:t xml:space="preserve">A sufficiently capable AI can convert much of organizational coordination from a human-management problem into a computational service. It can schedule machines, allocate energy, route materials, diagnose failures, redesign components, balance inventories, plan construction, and select which bottleneck to expand next.</w:t>
      </w:r>
    </w:p>
    <w:p>
      <w:pPr>
        <w:shd w:fill="F5F4F1" w:val="clear"/>
        <w:spacing w:after="160" w:before="120"/>
        <w:jc w:val="center"/>
      </w:pPr>
      <w:r>
        <w:rPr>
          <w:i/>
          <w:iCs/>
          <w:sz w:val="22"/>
          <w:szCs w:val="22"/>
        </w:rPr>
        <w:t xml:space="preserve">Coordination burden = f(number of agents, complexity, uncertainty, intelligence)</w:t>
      </w:r>
    </w:p>
    <w:p>
      <w:pPr>
        <w:spacing w:after="160" w:line="276"/>
      </w:pPr>
      <w:r>
        <w:t xml:space="preserve">As intelligence and local autonomy improve, the human management required per unit of infrastructure can decline. The architecture is likely hierarchical rather than perfectly centralized: local controllers manage fast operations; facility-level agents coordinate production; higher-level planners allocate resources across the network.</w:t>
      </w:r>
    </w:p>
    <w:p>
      <w:pPr>
        <w:spacing w:after="160" w:line="276"/>
      </w:pPr>
      <w:r>
        <w:t xml:space="preserve">An early terrestrial version is documented inside the same corporate complex, though it is weaker than sometimes claimed. Academic case studies of Tesla's manufacturing-execution systems confirm real-time monitoring, production scheduling, and quality management operating as decision support at factory scale; commentary goes further, describing performance indicators replacing layers of managerial assignment outright. The confirmed portion suffices for this section's claim: coordination functions traditionally mediated by human management are already being converted into data infrastructure at industrial scale, years before any of it is exported off-planet. The stronger management-replacement framing remains single-source and is treated as indicative only.</w:t>
      </w:r>
    </w:p>
    <w:p>
      <w:pPr>
        <w:pStyle w:val="Heading2"/>
      </w:pPr>
      <w:r>
        <w:t xml:space="preserve">Why coordination is still not literally zero</w:t>
      </w:r>
    </w:p>
    <w:p>
      <w:pPr>
        <w:spacing w:after="160" w:line="276"/>
      </w:pPr>
      <w:r>
        <w:t xml:space="preserve">Intelligence can reduce cognitive and organizational friction, but it cannot abolish physical information constraints. A machine must sense its environment; signals require propagation time; actions require fabrication and motion; uncertain results require verification; and two projects cannot simultaneously consume the same indivisible machine or stored resource.</w:t>
      </w:r>
    </w:p>
    <w:p>
      <w:pPr>
        <w:shd w:fill="F5F4F1" w:val="clear"/>
        <w:spacing w:after="160" w:before="120"/>
        <w:jc w:val="center"/>
      </w:pPr>
      <w:r>
        <w:rPr>
          <w:i/>
          <w:iCs/>
          <w:sz w:val="22"/>
          <w:szCs w:val="22"/>
        </w:rPr>
        <w:t xml:space="preserve">Minimum coordination cost = sensing + communication latency + verification + contention</w:t>
      </w:r>
    </w:p>
    <w:p>
      <w:pPr>
        <w:spacing w:after="160" w:line="276"/>
      </w:pPr>
      <w:r>
        <w:t xml:space="preserve">The strongest version of the argument is therefore that coordination approaches a physical information limit, not zero. Intelligence compresses planning and management overhead until observation, propagation, actuation, and verification dominate.</w:t>
      </w:r>
    </w:p>
    <w:p>
      <w:pPr>
        <w:pStyle w:val="Heading2"/>
      </w:pPr>
      <w:r>
        <w:t xml:space="preserve">When infrastructure becomes primarily a function of time</w:t>
      </w:r>
    </w:p>
    <w:p>
      <w:pPr>
        <w:spacing w:after="160" w:line="276"/>
      </w:pPr>
      <w:r>
        <w:t xml:space="preserve">After high industrial closure, the central allocation question changes from “Can the system obtain land, permits, workers, and imported components?” to “How much productive throughput should be assigned, and when will the output be complete?”</w:t>
      </w:r>
    </w:p>
    <w:p>
      <w:pPr>
        <w:shd w:fill="F5F4F1" w:val="clear"/>
        <w:spacing w:after="160" w:before="120"/>
        <w:jc w:val="center"/>
      </w:pPr>
      <w:r>
        <w:rPr>
          <w:i/>
          <w:iCs/>
          <w:sz w:val="22"/>
          <w:szCs w:val="22"/>
        </w:rPr>
        <w:t xml:space="preserve">Infrastructure created by time t = ∫ productive throughput(τ) dτ</w:t>
      </w:r>
    </w:p>
    <w:p>
      <w:pPr>
        <w:shd w:fill="F5F4F1" w:val="clear"/>
        <w:spacing w:after="40" w:before="120"/>
        <w:jc w:val="center"/>
      </w:pPr>
      <w:r>
        <w:rPr>
          <w:i/>
          <w:iCs/>
          <w:sz w:val="22"/>
          <w:szCs w:val="22"/>
        </w:rPr>
        <w:t xml:space="preserve">dH/dt = [r(I, E, M) − δ] H</w:t>
      </w:r>
    </w:p>
    <w:p>
      <w:pPr>
        <w:spacing w:after="160"/>
        <w:jc w:val="center"/>
      </w:pPr>
      <w:r>
        <w:rPr>
          <w:i/>
          <w:iCs/>
          <w:color w:val="595959"/>
          <w:sz w:val="18"/>
          <w:szCs w:val="18"/>
        </w:rPr>
        <w:t xml:space="preserve">r is gross replication productivity; δ is depreciation and failure; I, E, M are intelligence, energy, and accessible material.</w:t>
      </w:r>
    </w:p>
    <w:p>
      <w:pPr>
        <w:spacing w:after="160" w:line="276"/>
      </w:pPr>
      <w:r>
        <w:t xml:space="preserve">When r exceeds δ, the idealized solution is exponential growth. Real systems move through bottleneck-limited phases: extraction, refining, power, thermal control, transportation, precision manufacturing, compute, or maintenance may become the slowest stage. Intelligence accelerates growth by detecting and expanding the active bottleneck.</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Scarcity becomes latency</w:t>
            </w:r>
          </w:p>
          <w:p>
            <w:pPr>
              <w:spacing w:after="40"/>
            </w:pPr>
            <w:r>
              <w:t xml:space="preserve">In the mature regime, many outputs are no longer scarce because their raw inputs must be purchased from an external economy. They remain scarce because machines, energy, compute, transport capacity, and time have alternative uses. The accounting unit shifts toward joules, kilograms processed, machine-hours, compute-hours, delta-v, and completion time.</w:t>
            </w:r>
          </w:p>
        </w:tc>
      </w:tr>
    </w:tbl>
    <w:p>
      <w:pPr>
        <w:spacing w:after="160"/>
      </w:pPr>
    </w:p>
    <w:p>
      <w:pPr>
        <w:pStyle w:val="Heading1"/>
      </w:pPr>
      <w:r>
        <w:t xml:space="preserve">7. A Musk-Associated Technology Stack</w:t>
      </w:r>
    </w:p>
    <w:p>
      <w:pPr>
        <w:spacing w:after="160" w:line="276"/>
      </w:pPr>
      <w:r>
        <w:t xml:space="preserve">The following mapping is an analytical interpretation of how existing companies could supply layers of the proposed system. It should not be read as proof that the companies are managed as one formal program — although the March 2026 developments (the Terafab joint venture and SpaceX's absorption of xAI) mean that the transport, communications, intelligence, and fabrication layers are now, in substantial part, under common ownership.</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1350"/>
        <w:gridCol w:w="1900"/>
        <w:gridCol w:w="3110"/>
        <w:gridCol w:w="3000"/>
      </w:tblGrid>
      <w:tr>
        <w:trPr>
          <w:tblHeader/>
        </w:trPr>
        <w:tc>
          <w:tcPr>
            <w:tcW w:type="dxa" w:w="1350"/>
            <w:shd w:fill="E8EBF1" w:val="clear"/>
            <w:tcMar>
              <w:top w:type="dxa" w:w="90"/>
              <w:left w:type="dxa" w:w="120"/>
              <w:bottom w:type="dxa" w:w="90"/>
              <w:right w:type="dxa" w:w="120"/>
            </w:tcMar>
          </w:tcPr>
          <w:p>
            <w:pPr>
              <w:spacing w:after="0" w:line="260"/>
            </w:pPr>
            <w:r>
              <w:rPr>
                <w:b/>
                <w:bCs/>
                <w:color w:val="1F3352"/>
                <w:sz w:val="20"/>
                <w:szCs w:val="20"/>
              </w:rPr>
              <w:t xml:space="preserve">Layer</w:t>
            </w:r>
          </w:p>
        </w:tc>
        <w:tc>
          <w:tcPr>
            <w:tcW w:type="dxa" w:w="1900"/>
            <w:shd w:fill="E8EBF1" w:val="clear"/>
            <w:tcMar>
              <w:top w:type="dxa" w:w="90"/>
              <w:left w:type="dxa" w:w="120"/>
              <w:bottom w:type="dxa" w:w="90"/>
              <w:right w:type="dxa" w:w="120"/>
            </w:tcMar>
          </w:tcPr>
          <w:p>
            <w:pPr>
              <w:spacing w:after="0" w:line="260"/>
            </w:pPr>
            <w:r>
              <w:rPr>
                <w:b/>
                <w:bCs/>
                <w:color w:val="1F3352"/>
                <w:sz w:val="20"/>
                <w:szCs w:val="20"/>
              </w:rPr>
              <w:t xml:space="preserve">Contributor</w:t>
            </w:r>
          </w:p>
        </w:tc>
        <w:tc>
          <w:tcPr>
            <w:tcW w:type="dxa" w:w="3110"/>
            <w:shd w:fill="E8EBF1" w:val="clear"/>
            <w:tcMar>
              <w:top w:type="dxa" w:w="90"/>
              <w:left w:type="dxa" w:w="120"/>
              <w:bottom w:type="dxa" w:w="90"/>
              <w:right w:type="dxa" w:w="120"/>
            </w:tcMar>
          </w:tcPr>
          <w:p>
            <w:pPr>
              <w:spacing w:after="0" w:line="260"/>
            </w:pPr>
            <w:r>
              <w:rPr>
                <w:b/>
                <w:bCs/>
                <w:color w:val="1F3352"/>
                <w:sz w:val="20"/>
                <w:szCs w:val="20"/>
              </w:rPr>
              <w:t xml:space="preserve">Relevant capability</w:t>
            </w:r>
          </w:p>
        </w:tc>
        <w:tc>
          <w:tcPr>
            <w:tcW w:type="dxa" w:w="3000"/>
            <w:shd w:fill="E8EBF1" w:val="clear"/>
            <w:tcMar>
              <w:top w:type="dxa" w:w="90"/>
              <w:left w:type="dxa" w:w="120"/>
              <w:bottom w:type="dxa" w:w="90"/>
              <w:right w:type="dxa" w:w="120"/>
            </w:tcMar>
          </w:tcPr>
          <w:p>
            <w:pPr>
              <w:spacing w:after="0" w:line="260"/>
            </w:pPr>
            <w:r>
              <w:rPr>
                <w:b/>
                <w:bCs/>
                <w:color w:val="1F3352"/>
                <w:sz w:val="20"/>
                <w:szCs w:val="20"/>
              </w:rPr>
              <w:t xml:space="preserve">Role in recursion</w:t>
            </w:r>
          </w:p>
        </w:tc>
      </w:tr>
      <w:tr>
        <w:tc>
          <w:tcPr>
            <w:tcW w:type="dxa" w:w="1350"/>
            <w:tcMar>
              <w:top w:type="dxa" w:w="90"/>
              <w:left w:type="dxa" w:w="120"/>
              <w:bottom w:type="dxa" w:w="90"/>
              <w:right w:type="dxa" w:w="120"/>
            </w:tcMar>
          </w:tcPr>
          <w:p>
            <w:pPr>
              <w:spacing w:after="0" w:line="260"/>
            </w:pPr>
            <w:r>
              <w:rPr>
                <w:sz w:val="20"/>
                <w:szCs w:val="20"/>
              </w:rPr>
              <w:t xml:space="preserve">Intelligence</w:t>
            </w:r>
          </w:p>
        </w:tc>
        <w:tc>
          <w:tcPr>
            <w:tcW w:type="dxa" w:w="1900"/>
            <w:tcMar>
              <w:top w:type="dxa" w:w="90"/>
              <w:left w:type="dxa" w:w="120"/>
              <w:bottom w:type="dxa" w:w="90"/>
              <w:right w:type="dxa" w:w="120"/>
            </w:tcMar>
          </w:tcPr>
          <w:p>
            <w:pPr>
              <w:spacing w:after="0" w:line="260"/>
            </w:pPr>
            <w:r>
              <w:rPr>
                <w:sz w:val="20"/>
                <w:szCs w:val="20"/>
              </w:rPr>
              <w:t xml:space="preserve">xAI (within SpaceX post-merger)</w:t>
            </w:r>
          </w:p>
        </w:tc>
        <w:tc>
          <w:tcPr>
            <w:tcW w:type="dxa" w:w="3110"/>
            <w:tcMar>
              <w:top w:type="dxa" w:w="90"/>
              <w:left w:type="dxa" w:w="120"/>
              <w:bottom w:type="dxa" w:w="90"/>
              <w:right w:type="dxa" w:w="120"/>
            </w:tcMar>
          </w:tcPr>
          <w:p>
            <w:pPr>
              <w:spacing w:after="0" w:line="260"/>
            </w:pPr>
            <w:r>
              <w:rPr>
                <w:sz w:val="20"/>
                <w:szCs w:val="20"/>
              </w:rPr>
              <w:t xml:space="preserve">AI research, reasoning, software, large-scale compute</w:t>
            </w:r>
          </w:p>
        </w:tc>
        <w:tc>
          <w:tcPr>
            <w:tcW w:type="dxa" w:w="3000"/>
            <w:tcMar>
              <w:top w:type="dxa" w:w="90"/>
              <w:left w:type="dxa" w:w="120"/>
              <w:bottom w:type="dxa" w:w="90"/>
              <w:right w:type="dxa" w:w="120"/>
            </w:tcMar>
          </w:tcPr>
          <w:p>
            <w:pPr>
              <w:spacing w:after="0" w:line="260"/>
            </w:pPr>
            <w:r>
              <w:rPr>
                <w:sz w:val="20"/>
                <w:szCs w:val="20"/>
              </w:rPr>
              <w:t xml:space="preserve">Design, coordination, optimization, recursive digital improvement</w:t>
            </w:r>
          </w:p>
        </w:tc>
      </w:tr>
      <w:tr>
        <w:tc>
          <w:tcPr>
            <w:tcW w:type="dxa" w:w="1350"/>
            <w:tcMar>
              <w:top w:type="dxa" w:w="90"/>
              <w:left w:type="dxa" w:w="120"/>
              <w:bottom w:type="dxa" w:w="90"/>
              <w:right w:type="dxa" w:w="120"/>
            </w:tcMar>
          </w:tcPr>
          <w:p>
            <w:pPr>
              <w:spacing w:after="0" w:line="260"/>
            </w:pPr>
            <w:r>
              <w:rPr>
                <w:sz w:val="20"/>
                <w:szCs w:val="20"/>
              </w:rPr>
              <w:t xml:space="preserve">Energy</w:t>
            </w:r>
          </w:p>
        </w:tc>
        <w:tc>
          <w:tcPr>
            <w:tcW w:type="dxa" w:w="1900"/>
            <w:tcMar>
              <w:top w:type="dxa" w:w="90"/>
              <w:left w:type="dxa" w:w="120"/>
              <w:bottom w:type="dxa" w:w="90"/>
              <w:right w:type="dxa" w:w="120"/>
            </w:tcMar>
          </w:tcPr>
          <w:p>
            <w:pPr>
              <w:spacing w:after="0" w:line="260"/>
            </w:pPr>
            <w:r>
              <w:rPr>
                <w:sz w:val="20"/>
                <w:szCs w:val="20"/>
              </w:rPr>
              <w:t xml:space="preserve">Tesla Energy</w:t>
            </w:r>
          </w:p>
        </w:tc>
        <w:tc>
          <w:tcPr>
            <w:tcW w:type="dxa" w:w="3110"/>
            <w:tcMar>
              <w:top w:type="dxa" w:w="90"/>
              <w:left w:type="dxa" w:w="120"/>
              <w:bottom w:type="dxa" w:w="90"/>
              <w:right w:type="dxa" w:w="120"/>
            </w:tcMar>
          </w:tcPr>
          <w:p>
            <w:pPr>
              <w:spacing w:after="0" w:line="260"/>
            </w:pPr>
            <w:r>
              <w:rPr>
                <w:sz w:val="20"/>
                <w:szCs w:val="20"/>
              </w:rPr>
              <w:t xml:space="preserve">Generation, storage, power electronics; a reported push toward large domestic solar manufacturing</w:t>
            </w:r>
          </w:p>
        </w:tc>
        <w:tc>
          <w:tcPr>
            <w:tcW w:type="dxa" w:w="3000"/>
            <w:tcMar>
              <w:top w:type="dxa" w:w="90"/>
              <w:left w:type="dxa" w:w="120"/>
              <w:bottom w:type="dxa" w:w="90"/>
              <w:right w:type="dxa" w:w="120"/>
            </w:tcMar>
          </w:tcPr>
          <w:p>
            <w:pPr>
              <w:spacing w:after="0" w:line="260"/>
            </w:pPr>
            <w:r>
              <w:rPr>
                <w:sz w:val="20"/>
                <w:szCs w:val="20"/>
              </w:rPr>
              <w:t xml:space="preserve">Power for compute, factories, robots, mining, transport</w:t>
            </w:r>
          </w:p>
        </w:tc>
      </w:tr>
      <w:tr>
        <w:tc>
          <w:tcPr>
            <w:tcW w:type="dxa" w:w="1350"/>
            <w:tcMar>
              <w:top w:type="dxa" w:w="90"/>
              <w:left w:type="dxa" w:w="120"/>
              <w:bottom w:type="dxa" w:w="90"/>
              <w:right w:type="dxa" w:w="120"/>
            </w:tcMar>
          </w:tcPr>
          <w:p>
            <w:pPr>
              <w:spacing w:after="0" w:line="260"/>
            </w:pPr>
            <w:r>
              <w:rPr>
                <w:sz w:val="20"/>
                <w:szCs w:val="20"/>
              </w:rPr>
              <w:t xml:space="preserve">Robotic labor</w:t>
            </w:r>
          </w:p>
        </w:tc>
        <w:tc>
          <w:tcPr>
            <w:tcW w:type="dxa" w:w="1900"/>
            <w:tcMar>
              <w:top w:type="dxa" w:w="90"/>
              <w:left w:type="dxa" w:w="120"/>
              <w:bottom w:type="dxa" w:w="90"/>
              <w:right w:type="dxa" w:w="120"/>
            </w:tcMar>
          </w:tcPr>
          <w:p>
            <w:pPr>
              <w:spacing w:after="0" w:line="260"/>
            </w:pPr>
            <w:r>
              <w:rPr>
                <w:sz w:val="20"/>
                <w:szCs w:val="20"/>
              </w:rPr>
              <w:t xml:space="preserve">Optimus</w:t>
            </w:r>
          </w:p>
        </w:tc>
        <w:tc>
          <w:tcPr>
            <w:tcW w:type="dxa" w:w="3110"/>
            <w:tcMar>
              <w:top w:type="dxa" w:w="90"/>
              <w:left w:type="dxa" w:w="120"/>
              <w:bottom w:type="dxa" w:w="90"/>
              <w:right w:type="dxa" w:w="120"/>
            </w:tcMar>
          </w:tcPr>
          <w:p>
            <w:pPr>
              <w:spacing w:after="0" w:line="260"/>
            </w:pPr>
            <w:r>
              <w:rPr>
                <w:sz w:val="20"/>
                <w:szCs w:val="20"/>
              </w:rPr>
              <w:t xml:space="preserve">Embodied manipulation, inspection, maintenance, repetitive work; a stated role in building and operating Terafab</w:t>
            </w:r>
          </w:p>
        </w:tc>
        <w:tc>
          <w:tcPr>
            <w:tcW w:type="dxa" w:w="3000"/>
            <w:tcMar>
              <w:top w:type="dxa" w:w="90"/>
              <w:left w:type="dxa" w:w="120"/>
              <w:bottom w:type="dxa" w:w="90"/>
              <w:right w:type="dxa" w:w="120"/>
            </w:tcMar>
          </w:tcPr>
          <w:p>
            <w:pPr>
              <w:spacing w:after="0" w:line="260"/>
            </w:pPr>
            <w:r>
              <w:rPr>
                <w:sz w:val="20"/>
                <w:szCs w:val="20"/>
              </w:rPr>
              <w:t xml:space="preserve">Manufactured labor capacity and physical automation</w:t>
            </w:r>
          </w:p>
        </w:tc>
      </w:tr>
      <w:tr>
        <w:tc>
          <w:tcPr>
            <w:tcW w:type="dxa" w:w="1350"/>
            <w:tcMar>
              <w:top w:type="dxa" w:w="90"/>
              <w:left w:type="dxa" w:w="120"/>
              <w:bottom w:type="dxa" w:w="90"/>
              <w:right w:type="dxa" w:w="120"/>
            </w:tcMar>
          </w:tcPr>
          <w:p>
            <w:pPr>
              <w:spacing w:after="0" w:line="260"/>
            </w:pPr>
            <w:r>
              <w:rPr>
                <w:sz w:val="20"/>
                <w:szCs w:val="20"/>
              </w:rPr>
              <w:t xml:space="preserve">Manufacturing</w:t>
            </w:r>
          </w:p>
        </w:tc>
        <w:tc>
          <w:tcPr>
            <w:tcW w:type="dxa" w:w="1900"/>
            <w:tcMar>
              <w:top w:type="dxa" w:w="90"/>
              <w:left w:type="dxa" w:w="120"/>
              <w:bottom w:type="dxa" w:w="90"/>
              <w:right w:type="dxa" w:w="120"/>
            </w:tcMar>
          </w:tcPr>
          <w:p>
            <w:pPr>
              <w:spacing w:after="0" w:line="260"/>
            </w:pPr>
            <w:r>
              <w:rPr>
                <w:sz w:val="20"/>
                <w:szCs w:val="20"/>
              </w:rPr>
              <w:t xml:space="preserve">Tesla</w:t>
            </w:r>
          </w:p>
        </w:tc>
        <w:tc>
          <w:tcPr>
            <w:tcW w:type="dxa" w:w="3110"/>
            <w:tcMar>
              <w:top w:type="dxa" w:w="90"/>
              <w:left w:type="dxa" w:w="120"/>
              <w:bottom w:type="dxa" w:w="90"/>
              <w:right w:type="dxa" w:w="120"/>
            </w:tcMar>
          </w:tcPr>
          <w:p>
            <w:pPr>
              <w:spacing w:after="0" w:line="260"/>
            </w:pPr>
            <w:r>
              <w:rPr>
                <w:sz w:val="20"/>
                <w:szCs w:val="20"/>
              </w:rPr>
              <w:t xml:space="preserve">High-volume factories, batteries, motors, controls, integrated production</w:t>
            </w:r>
          </w:p>
        </w:tc>
        <w:tc>
          <w:tcPr>
            <w:tcW w:type="dxa" w:w="3000"/>
            <w:tcMar>
              <w:top w:type="dxa" w:w="90"/>
              <w:left w:type="dxa" w:w="120"/>
              <w:bottom w:type="dxa" w:w="90"/>
              <w:right w:type="dxa" w:w="120"/>
            </w:tcMar>
          </w:tcPr>
          <w:p>
            <w:pPr>
              <w:spacing w:after="0" w:line="260"/>
            </w:pPr>
            <w:r>
              <w:rPr>
                <w:sz w:val="20"/>
                <w:szCs w:val="20"/>
              </w:rPr>
              <w:t xml:space="preserve">Factory design and machine production at scale</w:t>
            </w:r>
          </w:p>
        </w:tc>
      </w:tr>
      <w:tr>
        <w:tc>
          <w:tcPr>
            <w:tcW w:type="dxa" w:w="1350"/>
            <w:tcMar>
              <w:top w:type="dxa" w:w="90"/>
              <w:left w:type="dxa" w:w="120"/>
              <w:bottom w:type="dxa" w:w="90"/>
              <w:right w:type="dxa" w:w="120"/>
            </w:tcMar>
          </w:tcPr>
          <w:p>
            <w:pPr>
              <w:spacing w:after="0" w:line="260"/>
            </w:pPr>
            <w:r>
              <w:rPr>
                <w:sz w:val="20"/>
                <w:szCs w:val="20"/>
              </w:rPr>
              <w:t xml:space="preserve">Fabrication</w:t>
            </w:r>
          </w:p>
        </w:tc>
        <w:tc>
          <w:tcPr>
            <w:tcW w:type="dxa" w:w="1900"/>
            <w:tcMar>
              <w:top w:type="dxa" w:w="90"/>
              <w:left w:type="dxa" w:w="120"/>
              <w:bottom w:type="dxa" w:w="90"/>
              <w:right w:type="dxa" w:w="120"/>
            </w:tcMar>
          </w:tcPr>
          <w:p>
            <w:pPr>
              <w:spacing w:after="0" w:line="260"/>
            </w:pPr>
            <w:r>
              <w:rPr>
                <w:sz w:val="20"/>
                <w:szCs w:val="20"/>
              </w:rPr>
              <w:t xml:space="preserve">Terafab (Tesla–SpaceX–xAI JV)</w:t>
            </w:r>
          </w:p>
        </w:tc>
        <w:tc>
          <w:tcPr>
            <w:tcW w:type="dxa" w:w="3110"/>
            <w:tcMar>
              <w:top w:type="dxa" w:w="90"/>
              <w:left w:type="dxa" w:w="120"/>
              <w:bottom w:type="dxa" w:w="90"/>
              <w:right w:type="dxa" w:w="120"/>
            </w:tcMar>
          </w:tcPr>
          <w:p>
            <w:pPr>
              <w:spacing w:after="0" w:line="260"/>
            </w:pPr>
            <w:r>
              <w:rPr>
                <w:sz w:val="20"/>
                <w:szCs w:val="20"/>
              </w:rPr>
              <w:t xml:space="preserve">Announced program: chip design, lithography operation, fabrication, memory, packaging, and testing under one roof</w:t>
            </w:r>
          </w:p>
        </w:tc>
        <w:tc>
          <w:tcPr>
            <w:tcW w:type="dxa" w:w="3000"/>
            <w:tcMar>
              <w:top w:type="dxa" w:w="90"/>
              <w:left w:type="dxa" w:w="120"/>
              <w:bottom w:type="dxa" w:w="90"/>
              <w:right w:type="dxa" w:w="120"/>
            </w:tcMar>
          </w:tcPr>
          <w:p>
            <w:pPr>
              <w:spacing w:after="0" w:line="260"/>
            </w:pPr>
            <w:r>
              <w:rPr>
                <w:sz w:val="20"/>
                <w:szCs w:val="20"/>
              </w:rPr>
              <w:t xml:space="preserve">Attempted closure of the compute-substrate layer</w:t>
            </w:r>
          </w:p>
        </w:tc>
      </w:tr>
      <w:tr>
        <w:tc>
          <w:tcPr>
            <w:tcW w:type="dxa" w:w="1350"/>
            <w:tcMar>
              <w:top w:type="dxa" w:w="90"/>
              <w:left w:type="dxa" w:w="120"/>
              <w:bottom w:type="dxa" w:w="90"/>
              <w:right w:type="dxa" w:w="120"/>
            </w:tcMar>
          </w:tcPr>
          <w:p>
            <w:pPr>
              <w:spacing w:after="0" w:line="260"/>
            </w:pPr>
            <w:r>
              <w:rPr>
                <w:sz w:val="20"/>
                <w:szCs w:val="20"/>
              </w:rPr>
              <w:t xml:space="preserve">Transport</w:t>
            </w:r>
          </w:p>
        </w:tc>
        <w:tc>
          <w:tcPr>
            <w:tcW w:type="dxa" w:w="1900"/>
            <w:tcMar>
              <w:top w:type="dxa" w:w="90"/>
              <w:left w:type="dxa" w:w="120"/>
              <w:bottom w:type="dxa" w:w="90"/>
              <w:right w:type="dxa" w:w="120"/>
            </w:tcMar>
          </w:tcPr>
          <w:p>
            <w:pPr>
              <w:spacing w:after="0" w:line="260"/>
            </w:pPr>
            <w:r>
              <w:rPr>
                <w:sz w:val="20"/>
                <w:szCs w:val="20"/>
              </w:rPr>
              <w:t xml:space="preserve">SpaceX / Starship</w:t>
            </w:r>
          </w:p>
        </w:tc>
        <w:tc>
          <w:tcPr>
            <w:tcW w:type="dxa" w:w="3110"/>
            <w:tcMar>
              <w:top w:type="dxa" w:w="90"/>
              <w:left w:type="dxa" w:w="120"/>
              <w:bottom w:type="dxa" w:w="90"/>
              <w:right w:type="dxa" w:w="120"/>
            </w:tcMar>
          </w:tcPr>
          <w:p>
            <w:pPr>
              <w:spacing w:after="0" w:line="260"/>
            </w:pPr>
            <w:r>
              <w:rPr>
                <w:sz w:val="20"/>
                <w:szCs w:val="20"/>
              </w:rPr>
              <w:t xml:space="preserve">Reusable launch, heavy cargo, spacecraft manufacturing, interplanetary transport</w:t>
            </w:r>
          </w:p>
        </w:tc>
        <w:tc>
          <w:tcPr>
            <w:tcW w:type="dxa" w:w="3000"/>
            <w:tcMar>
              <w:top w:type="dxa" w:w="90"/>
              <w:left w:type="dxa" w:w="120"/>
              <w:bottom w:type="dxa" w:w="90"/>
              <w:right w:type="dxa" w:w="120"/>
            </w:tcMar>
          </w:tcPr>
          <w:p>
            <w:pPr>
              <w:spacing w:after="0" w:line="260"/>
            </w:pPr>
            <w:r>
              <w:rPr>
                <w:sz w:val="20"/>
                <w:szCs w:val="20"/>
              </w:rPr>
              <w:t xml:space="preserve">Deployment of seed industry; movement of equipment and materials</w:t>
            </w:r>
          </w:p>
        </w:tc>
      </w:tr>
      <w:tr>
        <w:tc>
          <w:tcPr>
            <w:tcW w:type="dxa" w:w="1350"/>
            <w:tcMar>
              <w:top w:type="dxa" w:w="90"/>
              <w:left w:type="dxa" w:w="120"/>
              <w:bottom w:type="dxa" w:w="90"/>
              <w:right w:type="dxa" w:w="120"/>
            </w:tcMar>
          </w:tcPr>
          <w:p>
            <w:pPr>
              <w:spacing w:after="0" w:line="260"/>
            </w:pPr>
            <w:r>
              <w:rPr>
                <w:sz w:val="20"/>
                <w:szCs w:val="20"/>
              </w:rPr>
              <w:t xml:space="preserve">Communications</w:t>
            </w:r>
          </w:p>
        </w:tc>
        <w:tc>
          <w:tcPr>
            <w:tcW w:type="dxa" w:w="1900"/>
            <w:tcMar>
              <w:top w:type="dxa" w:w="90"/>
              <w:left w:type="dxa" w:w="120"/>
              <w:bottom w:type="dxa" w:w="90"/>
              <w:right w:type="dxa" w:w="120"/>
            </w:tcMar>
          </w:tcPr>
          <w:p>
            <w:pPr>
              <w:spacing w:after="0" w:line="260"/>
            </w:pPr>
            <w:r>
              <w:rPr>
                <w:sz w:val="20"/>
                <w:szCs w:val="20"/>
              </w:rPr>
              <w:t xml:space="preserve">Starlink and successors</w:t>
            </w:r>
          </w:p>
        </w:tc>
        <w:tc>
          <w:tcPr>
            <w:tcW w:type="dxa" w:w="3110"/>
            <w:tcMar>
              <w:top w:type="dxa" w:w="90"/>
              <w:left w:type="dxa" w:w="120"/>
              <w:bottom w:type="dxa" w:w="90"/>
              <w:right w:type="dxa" w:w="120"/>
            </w:tcMar>
          </w:tcPr>
          <w:p>
            <w:pPr>
              <w:spacing w:after="0" w:line="260"/>
            </w:pPr>
            <w:r>
              <w:rPr>
                <w:sz w:val="20"/>
                <w:szCs w:val="20"/>
              </w:rPr>
              <w:t xml:space="preserve">Distributed connectivity, data transfer, network operations</w:t>
            </w:r>
          </w:p>
        </w:tc>
        <w:tc>
          <w:tcPr>
            <w:tcW w:type="dxa" w:w="3000"/>
            <w:tcMar>
              <w:top w:type="dxa" w:w="90"/>
              <w:left w:type="dxa" w:w="120"/>
              <w:bottom w:type="dxa" w:w="90"/>
              <w:right w:type="dxa" w:w="120"/>
            </w:tcMar>
          </w:tcPr>
          <w:p>
            <w:pPr>
              <w:spacing w:after="0" w:line="260"/>
            </w:pPr>
            <w:r>
              <w:rPr>
                <w:sz w:val="20"/>
                <w:szCs w:val="20"/>
              </w:rPr>
              <w:t xml:space="preserve">Coordination across remote industrial nodes</w:t>
            </w:r>
          </w:p>
        </w:tc>
      </w:tr>
      <w:tr>
        <w:tc>
          <w:tcPr>
            <w:tcW w:type="dxa" w:w="1350"/>
            <w:tcMar>
              <w:top w:type="dxa" w:w="90"/>
              <w:left w:type="dxa" w:w="120"/>
              <w:bottom w:type="dxa" w:w="90"/>
              <w:right w:type="dxa" w:w="120"/>
            </w:tcMar>
          </w:tcPr>
          <w:p>
            <w:pPr>
              <w:spacing w:after="0" w:line="260"/>
            </w:pPr>
            <w:r>
              <w:rPr>
                <w:sz w:val="20"/>
                <w:szCs w:val="20"/>
              </w:rPr>
              <w:t xml:space="preserve">Compute deployment</w:t>
            </w:r>
          </w:p>
        </w:tc>
        <w:tc>
          <w:tcPr>
            <w:tcW w:type="dxa" w:w="1900"/>
            <w:tcMar>
              <w:top w:type="dxa" w:w="90"/>
              <w:left w:type="dxa" w:w="120"/>
              <w:bottom w:type="dxa" w:w="90"/>
              <w:right w:type="dxa" w:w="120"/>
            </w:tcMar>
          </w:tcPr>
          <w:p>
            <w:pPr>
              <w:spacing w:after="0" w:line="260"/>
            </w:pPr>
            <w:r>
              <w:rPr>
                <w:sz w:val="20"/>
                <w:szCs w:val="20"/>
              </w:rPr>
              <w:t xml:space="preserve">Orbital constellation (planned D3 chips)</w:t>
            </w:r>
          </w:p>
        </w:tc>
        <w:tc>
          <w:tcPr>
            <w:tcW w:type="dxa" w:w="3110"/>
            <w:tcMar>
              <w:top w:type="dxa" w:w="90"/>
              <w:left w:type="dxa" w:w="120"/>
              <w:bottom w:type="dxa" w:w="90"/>
              <w:right w:type="dxa" w:w="120"/>
            </w:tcMar>
          </w:tcPr>
          <w:p>
            <w:pPr>
              <w:spacing w:after="0" w:line="260"/>
            </w:pPr>
            <w:r>
              <w:rPr>
                <w:sz w:val="20"/>
                <w:szCs w:val="20"/>
              </w:rPr>
              <w:t xml:space="preserve">Radiation-tolerant silicon designed for space operation</w:t>
            </w:r>
          </w:p>
        </w:tc>
        <w:tc>
          <w:tcPr>
            <w:tcW w:type="dxa" w:w="3000"/>
            <w:tcMar>
              <w:top w:type="dxa" w:w="90"/>
              <w:left w:type="dxa" w:w="120"/>
              <w:bottom w:type="dxa" w:w="90"/>
              <w:right w:type="dxa" w:w="120"/>
            </w:tcMar>
          </w:tcPr>
          <w:p>
            <w:pPr>
              <w:spacing w:after="0" w:line="260"/>
            </w:pPr>
            <w:r>
              <w:rPr>
                <w:sz w:val="20"/>
                <w:szCs w:val="20"/>
              </w:rPr>
              <w:t xml:space="preserve">Space-based compute as a stated product direction</w:t>
            </w:r>
          </w:p>
        </w:tc>
      </w:tr>
      <w:tr>
        <w:tc>
          <w:tcPr>
            <w:tcW w:type="dxa" w:w="1350"/>
            <w:tcMar>
              <w:top w:type="dxa" w:w="90"/>
              <w:left w:type="dxa" w:w="120"/>
              <w:bottom w:type="dxa" w:w="90"/>
              <w:right w:type="dxa" w:w="120"/>
            </w:tcMar>
          </w:tcPr>
          <w:p>
            <w:pPr>
              <w:spacing w:after="0" w:line="260"/>
            </w:pPr>
            <w:r>
              <w:rPr>
                <w:sz w:val="20"/>
                <w:szCs w:val="20"/>
              </w:rPr>
              <w:t xml:space="preserve">Data</w:t>
            </w:r>
          </w:p>
        </w:tc>
        <w:tc>
          <w:tcPr>
            <w:tcW w:type="dxa" w:w="1900"/>
            <w:tcMar>
              <w:top w:type="dxa" w:w="90"/>
              <w:left w:type="dxa" w:w="120"/>
              <w:bottom w:type="dxa" w:w="90"/>
              <w:right w:type="dxa" w:w="120"/>
            </w:tcMar>
          </w:tcPr>
          <w:p>
            <w:pPr>
              <w:spacing w:after="0" w:line="260"/>
            </w:pPr>
            <w:r>
              <w:rPr>
                <w:sz w:val="20"/>
                <w:szCs w:val="20"/>
              </w:rPr>
              <w:t xml:space="preserve">Tesla fleet, factories, test programs, Optimus, X</w:t>
            </w:r>
          </w:p>
        </w:tc>
        <w:tc>
          <w:tcPr>
            <w:tcW w:type="dxa" w:w="3110"/>
            <w:tcMar>
              <w:top w:type="dxa" w:w="90"/>
              <w:left w:type="dxa" w:w="120"/>
              <w:bottom w:type="dxa" w:w="90"/>
              <w:right w:type="dxa" w:w="120"/>
            </w:tcMar>
          </w:tcPr>
          <w:p>
            <w:pPr>
              <w:spacing w:after="0" w:line="260"/>
            </w:pPr>
            <w:r>
              <w:rPr>
                <w:sz w:val="20"/>
                <w:szCs w:val="20"/>
              </w:rPr>
              <w:t xml:space="preserve">Engine telemetry, process parameters, failure archives, driving and manipulation data; engineering corpus reported feeding in-house model training</w:t>
            </w:r>
          </w:p>
        </w:tc>
        <w:tc>
          <w:tcPr>
            <w:tcW w:type="dxa" w:w="3000"/>
            <w:tcMar>
              <w:top w:type="dxa" w:w="90"/>
              <w:left w:type="dxa" w:w="120"/>
              <w:bottom w:type="dxa" w:w="90"/>
              <w:right w:type="dxa" w:w="120"/>
            </w:tcMar>
          </w:tcPr>
          <w:p>
            <w:pPr>
              <w:spacing w:after="0" w:line="260"/>
            </w:pPr>
            <w:r>
              <w:rPr>
                <w:sz w:val="20"/>
                <w:szCs w:val="20"/>
              </w:rPr>
              <w:t xml:space="preserve">Proprietary physical-process data as the exhaust of the physical loop (Section 2)</w:t>
            </w:r>
          </w:p>
        </w:tc>
      </w:tr>
      <w:tr>
        <w:tc>
          <w:tcPr>
            <w:tcW w:type="dxa" w:w="1350"/>
            <w:tcMar>
              <w:top w:type="dxa" w:w="90"/>
              <w:left w:type="dxa" w:w="120"/>
              <w:bottom w:type="dxa" w:w="90"/>
              <w:right w:type="dxa" w:w="120"/>
            </w:tcMar>
          </w:tcPr>
          <w:p>
            <w:pPr>
              <w:spacing w:after="0" w:line="260"/>
            </w:pPr>
            <w:r>
              <w:rPr>
                <w:sz w:val="20"/>
                <w:szCs w:val="20"/>
              </w:rPr>
              <w:t xml:space="preserve">Settlement</w:t>
            </w:r>
          </w:p>
        </w:tc>
        <w:tc>
          <w:tcPr>
            <w:tcW w:type="dxa" w:w="1900"/>
            <w:tcMar>
              <w:top w:type="dxa" w:w="90"/>
              <w:left w:type="dxa" w:w="120"/>
              <w:bottom w:type="dxa" w:w="90"/>
              <w:right w:type="dxa" w:w="120"/>
            </w:tcMar>
          </w:tcPr>
          <w:p>
            <w:pPr>
              <w:spacing w:after="0" w:line="260"/>
            </w:pPr>
            <w:r>
              <w:rPr>
                <w:sz w:val="20"/>
                <w:szCs w:val="20"/>
              </w:rPr>
              <w:t xml:space="preserve">SpaceX Mars objective</w:t>
            </w:r>
          </w:p>
        </w:tc>
        <w:tc>
          <w:tcPr>
            <w:tcW w:type="dxa" w:w="3110"/>
            <w:tcMar>
              <w:top w:type="dxa" w:w="90"/>
              <w:left w:type="dxa" w:w="120"/>
              <w:bottom w:type="dxa" w:w="90"/>
              <w:right w:type="dxa" w:w="120"/>
            </w:tcMar>
          </w:tcPr>
          <w:p>
            <w:pPr>
              <w:spacing w:after="0" w:line="260"/>
            </w:pPr>
            <w:r>
              <w:rPr>
                <w:sz w:val="20"/>
                <w:szCs w:val="20"/>
              </w:rPr>
              <w:t xml:space="preserve">Long-term goal of a self-sufficient city on Mars</w:t>
            </w:r>
          </w:p>
        </w:tc>
        <w:tc>
          <w:tcPr>
            <w:tcW w:type="dxa" w:w="3000"/>
            <w:tcMar>
              <w:top w:type="dxa" w:w="90"/>
              <w:left w:type="dxa" w:w="120"/>
              <w:bottom w:type="dxa" w:w="90"/>
              <w:right w:type="dxa" w:w="120"/>
            </w:tcMar>
          </w:tcPr>
          <w:p>
            <w:pPr>
              <w:spacing w:after="0" w:line="260"/>
            </w:pPr>
            <w:r>
              <w:rPr>
                <w:sz w:val="20"/>
                <w:szCs w:val="20"/>
              </w:rPr>
              <w:t xml:space="preserve">Demand center and proof of survival independent of Earth supply</w:t>
            </w:r>
          </w:p>
        </w:tc>
      </w:tr>
    </w:tbl>
    <w:p>
      <w:pPr>
        <w:spacing w:after="160"/>
      </w:pPr>
    </w:p>
    <w:p>
      <w:pPr>
        <w:pStyle w:val="Heading2"/>
      </w:pPr>
      <w:r>
        <w:t xml:space="preserve">The integrated loop</w:t>
      </w:r>
    </w:p>
    <w:p>
      <w:pPr>
        <w:shd w:fill="F5F4F1" w:val="clear"/>
        <w:spacing w:after="160" w:before="120"/>
        <w:jc w:val="center"/>
      </w:pPr>
      <w:r>
        <w:rPr>
          <w:i/>
          <w:iCs/>
          <w:sz w:val="22"/>
          <w:szCs w:val="22"/>
        </w:rPr>
        <w:t xml:space="preserve">xAI improves intelligence → AI improves robots and factories → factories expand energy and hardware → Terafab expands chips → hardware expands compute, on Earth and in orbit → compute improves AI</w:t>
      </w:r>
    </w:p>
    <w:p>
      <w:pPr>
        <w:spacing w:after="160" w:line="276"/>
      </w:pPr>
      <w:r>
        <w:t xml:space="preserve">The theoretical advantage is not mere ownership of complementary companies. It is the ability to integrate feedback, capital allocation, engineering, deployment environments, and industrial production into a shorter end-to-end loop than competitors can achieve. Reported preparations for a SpaceX public offering would, if completed, add a major financing event to fund the capital-intensive middle of that loop (Section 9).</w:t>
      </w:r>
    </w:p>
    <w:p>
      <w:pPr>
        <w:pStyle w:val="Heading2"/>
      </w:pPr>
      <w:r>
        <w:t xml:space="preserve">Competing explanations and discriminating evidence</w:t>
      </w:r>
    </w:p>
    <w:p>
      <w:pPr>
        <w:spacing w:after="160" w:line="276"/>
      </w:pPr>
      <w:r>
        <w:t xml:space="preserve">External review supplies the right evidential test: good evidence for a hypothesis must be more likely under it than under credible alternatives. Four hypotheses compete to explain the observed portfolio: </w:t>
      </w:r>
      <w:r>
        <w:rPr>
          <w:b/>
          <w:bCs/>
        </w:rPr>
        <w:t xml:space="preserve">H1</w:t>
      </w:r>
      <w:r>
        <w:t xml:space="preserve">, a deliberate long-run recursive space-industrial strategy; </w:t>
      </w:r>
      <w:r>
        <w:rPr>
          <w:b/>
          <w:bCs/>
        </w:rPr>
        <w:t xml:space="preserve">H0</w:t>
      </w:r>
      <w:r>
        <w:t xml:space="preserve">, ordinary terrestrial AI and manufacturing vertical integration; </w:t>
      </w:r>
      <w:r>
        <w:rPr>
          <w:b/>
          <w:bCs/>
        </w:rPr>
        <w:t xml:space="preserve">H2</w:t>
      </w:r>
      <w:r>
        <w:t xml:space="preserve">, supply-chain resilience and geopolitical hedging; </w:t>
      </w:r>
      <w:r>
        <w:rPr>
          <w:b/>
          <w:bCs/>
        </w:rPr>
        <w:t xml:space="preserve">H3</w:t>
      </w:r>
      <w:r>
        <w:t xml:space="preserve">, a collection of partly related businesses shaped by common ownership. Most observed actions — Terafab included — are predicted about equally well by H0 and H2, and therefore carry </w:t>
      </w:r>
      <w:r>
        <w:rPr>
          <w:b/>
          <w:bCs/>
        </w:rPr>
        <w:t xml:space="preserve">low likelihood ratios</w:t>
      </w:r>
      <w:r>
        <w:t xml:space="preserve"> for H1. Reusable launch and Mars rhetoric predate the thesis and cannot discriminate either.</w:t>
      </w:r>
    </w:p>
    <w:p>
      <w:pPr>
        <w:spacing w:after="160" w:line="276"/>
      </w:pPr>
      <w:r>
        <w:t xml:space="preserve">What </w:t>
      </w:r>
      <w:r>
        <w:rPr>
          <w:i/>
          <w:iCs/>
        </w:rPr>
        <w:t xml:space="preserve">would</w:t>
      </w:r>
      <w:r>
        <w:t xml:space="preserve"> discriminate, in rising order of strength: an internal export-control-scoped model variant (moderate — better predicted by H1 than H0); a dedicated cross-company closure program with published metrics; production or fabrication equipment explicitly designed for local extraterrestrial reproduction; and a published bill of materials for an off-world industrial seed. The indicators of Section 14 are now read through this lens: they weigh in proportion to their likelihood ratio, not their mere consistency with the thesis.</w:t>
      </w:r>
    </w:p>
    <w:p>
      <w:pPr>
        <w:pStyle w:val="Heading1"/>
      </w:pPr>
      <w:r>
        <w:t xml:space="preserve">8. Terafab and the Fabrication Frontier</w:t>
      </w:r>
    </w:p>
    <w:p>
      <w:pPr>
        <w:pStyle w:val="Heading2"/>
      </w:pPr>
      <w:r>
        <w:t xml:space="preserve">What was announced</w:t>
      </w:r>
    </w:p>
    <w:p>
      <w:pPr>
        <w:spacing w:after="160" w:line="276"/>
      </w:pPr>
      <w:r>
        <w:t xml:space="preserve">On March 21, 2026, at an event in Austin, the venture publicly launched as a joint project of Tesla, SpaceX, and xAI, with initial cost estimates around 20–25 billion dollars and a later regulatory filing indicating a full buildout of up to roughly 119 billion dollars. The facility is planned for the North Campus of Giga Texas and is described as consolidating chip design, lithography, fabrication, memory production, advanced packaging, and testing in one complex, targeting 2-nanometer-class process technology. Reported ambitions run from an initial 100,000 wafer starts per month toward one million — a full-scale figure on the order of two-thirds of the incumbent leading foundry's present global output. Planned products include AI5 inference chips for vehicles and Optimus robots and radiation-tolerant D3 chips for an orbital constellation. Musk has said large numbers of Optimus robots would help build and operate the facility; the near-term concrete step is a research fab of roughly three billion dollars producing a few thousand wafers per month, with SpaceX leading the scaled phase and mass production targeted for 2028. The stated rationale is a projected ceiling on how fast external suppliers can expand, plus geopolitical supply risk.</w:t>
      </w:r>
    </w:p>
    <w:p>
      <w:pPr>
        <w:pStyle w:val="Heading2"/>
      </w:pPr>
      <w:r>
        <w:t xml:space="preserve">What the primary source says</w:t>
      </w:r>
    </w:p>
    <w:p>
      <w:pPr>
        <w:spacing w:after="160" w:line="276"/>
      </w:pPr>
      <w:r>
        <w:t xml:space="preserve">The strongest available source is SpaceX's Form S-1, filed May 20, 2026 [S27] — this document's first primary corporate source on the project — and it is materially more cautious than the launch event. It states only that SpaceX has agreed with Tesla on a general framework for Terafab's future development; that specific projects, development timelines, milestones, and capital expenditures remain subject to separate negotiations and have not yet been determined; that neither Tesla nor Intel (which joined in April 2026) is obligated to remain in the project; and that some initiatives may not achieve commercial viability — with no Terafab-specific risk factor. County-level agreements for a Texas site were approved with a minimum-investment condition but remained unsigned by SpaceX at the time of reporting. The correct status is therefore: </w:t>
      </w:r>
      <w:r>
        <w:rPr>
          <w:b/>
          <w:bCs/>
        </w:rPr>
        <w:t xml:space="preserve">documented initiative and strategic framework; implementation scope unsettled.</w:t>
      </w:r>
      <w:r>
        <w:t xml:space="preserve"> Sections of this paper that previously described a “funded, announced program” are corrected accordingly.</w:t>
      </w:r>
    </w:p>
    <w:p>
      <w:pPr>
        <w:pStyle w:val="Heading2"/>
      </w:pPr>
      <w:r>
        <w:t xml:space="preserve">What it changes for this thesis</w:t>
      </w:r>
    </w:p>
    <w:p>
      <w:pPr>
        <w:pStyle w:val="ListParagraph"/>
        <w:numPr>
          <w:ilvl w:val="0"/>
          <w:numId w:val="2"/>
        </w:numPr>
        <w:spacing w:after="100" w:line="276"/>
      </w:pPr>
      <w:r>
        <w:rPr>
          <w:b/>
          <w:bCs/>
        </w:rPr>
        <w:t xml:space="preserve">Fabrication moves from missing term to declared target.</w:t>
      </w:r>
      <w:r>
        <w:t xml:space="preserve"> Terafab supplies evidence of an intent to internalise terrestrial chip production. It does not yet demonstrate fabrication competence, binding implementation commitments, or progress toward off-world fabrication closure.</w:t>
      </w:r>
    </w:p>
    <w:p>
      <w:pPr>
        <w:pStyle w:val="ListParagraph"/>
        <w:numPr>
          <w:ilvl w:val="0"/>
          <w:numId w:val="2"/>
        </w:numPr>
        <w:spacing w:after="100" w:line="276"/>
      </w:pPr>
      <w:r>
        <w:rPr>
          <w:b/>
          <w:bCs/>
        </w:rPr>
        <w:t xml:space="preserve">The residual dependency moves one layer down the stack.</w:t>
      </w:r>
      <w:r>
        <w:t xml:space="preserve"> A fab still buys extreme-ultraviolet lithography systems from their sole supplier, along with deposition, etch, and metrology equipment and ultra-pure feedstocks. The external chokepoint relocates from foundries to equipment makers; it does not disappear.</w:t>
      </w:r>
    </w:p>
    <w:p>
      <w:pPr>
        <w:pStyle w:val="ListParagraph"/>
        <w:numPr>
          <w:ilvl w:val="0"/>
          <w:numId w:val="2"/>
        </w:numPr>
        <w:spacing w:after="100" w:line="276"/>
      </w:pPr>
      <w:r>
        <w:rPr>
          <w:b/>
          <w:bCs/>
        </w:rPr>
        <w:t xml:space="preserve">The fab-to-space link is explicit.</w:t>
      </w:r>
      <w:r>
        <w:t xml:space="preserve"> A chip line designed for orbital deployment is the first direct product connection between the fabrication layer and the space compute layer — previously a pure inference of this framework.</w:t>
      </w:r>
    </w:p>
    <w:p>
      <w:pPr>
        <w:pStyle w:val="Heading2"/>
      </w:pPr>
      <w:r>
        <w:t xml:space="preserve">What it does not change</w:t>
      </w:r>
    </w:p>
    <w:p>
      <w:pPr>
        <w:pStyle w:val="ListParagraph"/>
        <w:numPr>
          <w:ilvl w:val="0"/>
          <w:numId w:val="2"/>
        </w:numPr>
        <w:spacing w:after="100" w:line="276"/>
      </w:pPr>
      <w:r>
        <w:t xml:space="preserve">No wafers have been produced; the participating companies have no chip-fabrication track record, and they are targeting the most advanced node in commercial production from a standing start.</w:t>
      </w:r>
    </w:p>
    <w:p>
      <w:pPr>
        <w:pStyle w:val="ListParagraph"/>
        <w:numPr>
          <w:ilvl w:val="0"/>
          <w:numId w:val="2"/>
        </w:numPr>
        <w:spacing w:after="100" w:line="276"/>
      </w:pPr>
      <w:r>
        <w:t xml:space="preserve">Industry skepticism is on record: Nvidia's chief executive publicly cautioned that advanced chip manufacturing is far harder than newcomers tend to expect.</w:t>
      </w:r>
    </w:p>
    <w:p>
      <w:pPr>
        <w:pStyle w:val="ListParagraph"/>
        <w:numPr>
          <w:ilvl w:val="0"/>
          <w:numId w:val="2"/>
        </w:numPr>
        <w:spacing w:after="100" w:line="276"/>
      </w:pPr>
      <w:r>
        <w:t xml:space="preserve">The announced timeline — mass production in 2028 — is faster than typical multi-year fab ramps, and announced wafer targets exceed anything a single site has achieved.</w:t>
      </w:r>
    </w:p>
    <w:p>
      <w:pPr>
        <w:pStyle w:val="Heading2"/>
      </w:pPr>
      <w:r>
        <w:t xml:space="preserve">The lithography question</w:t>
      </w:r>
    </w:p>
    <w:p>
      <w:pPr>
        <w:spacing w:after="160" w:line="276"/>
      </w:pPr>
      <w:r>
        <w:t xml:space="preserve">For terrestrial operation, purchasing lithography and process equipment is an acceptable permanent dependency; every foundry on Earth accepts it. For high space closure (Stage 5 and beyond), lithography-class equipment must eventually be reproduced internally, substituted — for example, older process nodes at much greater volume, or currently immature approaches such as nanoimprint or electron-beam patterning — or accepted as a designed permanent import from Earth. This is the deepest single closure problem in the framework and any serious roadmap should treat it as such.</w:t>
      </w:r>
    </w:p>
    <w:p>
      <w:pPr>
        <w:pStyle w:val="Heading2"/>
      </w:pPr>
      <w:r>
        <w:t xml:space="preserve">Terafab-specific falsifiable indicators</w:t>
      </w:r>
    </w:p>
    <w:p>
      <w:pPr>
        <w:pStyle w:val="ListParagraph"/>
        <w:numPr>
          <w:ilvl w:val="0"/>
          <w:numId w:val="2"/>
        </w:numPr>
        <w:spacing w:after="100" w:line="276"/>
      </w:pPr>
      <w:r>
        <w:t xml:space="preserve">First research-fab wafer, and any disclosed yield figures at any node.</w:t>
      </w:r>
    </w:p>
    <w:p>
      <w:pPr>
        <w:pStyle w:val="ListParagraph"/>
        <w:numPr>
          <w:ilvl w:val="0"/>
          <w:numId w:val="2"/>
        </w:numPr>
        <w:spacing w:after="100" w:line="276"/>
      </w:pPr>
      <w:r>
        <w:t xml:space="preserve">Visible equipment order flow from the major lithography and process-tool suppliers.</w:t>
      </w:r>
    </w:p>
    <w:p>
      <w:pPr>
        <w:pStyle w:val="ListParagraph"/>
        <w:numPr>
          <w:ilvl w:val="0"/>
          <w:numId w:val="2"/>
        </w:numPr>
        <w:spacing w:after="100" w:line="276"/>
      </w:pPr>
      <w:r>
        <w:t xml:space="preserve">Whether memory and advanced packaging are genuinely produced in-house or quietly outsourced.</w:t>
      </w:r>
    </w:p>
    <w:p>
      <w:pPr>
        <w:pStyle w:val="ListParagraph"/>
        <w:numPr>
          <w:ilvl w:val="0"/>
          <w:numId w:val="2"/>
        </w:numPr>
        <w:spacing w:after="100" w:line="276"/>
      </w:pPr>
      <w:r>
        <w:t xml:space="preserve">Demonstrated radiation-qualified D3 silicon and any disclosed unit economics of orbital compute.</w:t>
      </w:r>
    </w:p>
    <w:p>
      <w:pPr>
        <w:pStyle w:val="Heading1"/>
      </w:pPr>
      <w:r>
        <w:t xml:space="preserve">9. The Bridge Economy</w:t>
      </w:r>
    </w:p>
    <w:p>
      <w:pPr>
        <w:spacing w:after="160" w:line="276"/>
      </w:pPr>
      <w:r>
        <w:t xml:space="preserve">The first edition listed economic motivation as a failure mode: before closure, the project must survive a long, capital-intensive transition. This edition treats that survival as an architectural requirement with a specific shape.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staircase principle</w:t>
            </w:r>
          </w:p>
          <w:p>
            <w:pPr>
              <w:spacing w:after="40"/>
            </w:pPr>
            <w:r>
              <w:t xml:space="preserve">Each stage of the recursion must be independently profitable or deliberately financed. The architecture is a staircase of self-supporting steps, not a single leap to closure.</w:t>
            </w:r>
          </w:p>
        </w:tc>
      </w:tr>
    </w:tbl>
    <w:p>
      <w:pPr>
        <w:spacing w:after="160"/>
      </w:pPr>
    </w:p>
    <w:p>
      <w:pPr>
        <w:spacing w:after="160" w:line="276"/>
      </w:pPr>
      <w:r>
        <w:t xml:space="preserve">The plausible treads, in order:</w:t>
      </w:r>
    </w:p>
    <w:p>
      <w:pPr>
        <w:pStyle w:val="ListParagraph"/>
        <w:numPr>
          <w:ilvl w:val="0"/>
          <w:numId w:val="2"/>
        </w:numPr>
        <w:spacing w:after="100" w:line="276"/>
      </w:pPr>
      <w:r>
        <w:rPr>
          <w:b/>
          <w:bCs/>
        </w:rPr>
        <w:t xml:space="preserve">Terrestrial products of the same machinery.</w:t>
      </w:r>
      <w:r>
        <w:t xml:space="preserve"> Vehicles, storage, and eventually robots fund manufacturing scale, automation learning, and the energy business — the recursion's ground floor pays rent.</w:t>
      </w:r>
    </w:p>
    <w:p>
      <w:pPr>
        <w:pStyle w:val="ListParagraph"/>
        <w:numPr>
          <w:ilvl w:val="0"/>
          <w:numId w:val="2"/>
        </w:numPr>
        <w:spacing w:after="100" w:line="276"/>
      </w:pPr>
      <w:r>
        <w:rPr>
          <w:b/>
          <w:bCs/>
        </w:rPr>
        <w:t xml:space="preserve">Launch and connectivity.</w:t>
      </w:r>
      <w:r>
        <w:t xml:space="preserve"> Starlink revenue and launch services fund transport development and constellation operations.</w:t>
      </w:r>
    </w:p>
    <w:p>
      <w:pPr>
        <w:pStyle w:val="ListParagraph"/>
        <w:numPr>
          <w:ilvl w:val="0"/>
          <w:numId w:val="2"/>
        </w:numPr>
        <w:spacing w:after="100" w:line="276"/>
      </w:pPr>
      <w:r>
        <w:rPr>
          <w:b/>
          <w:bCs/>
        </w:rPr>
        <w:t xml:space="preserve">Orbital compute services — a candidate tread, not a demonstrated one.</w:t>
      </w:r>
      <w:r>
        <w:t xml:space="preserve"> Selling computation from space is now stated corporate intent: the S-1 describes orbital AI data centers beginning as early as 2028 [S27], and the D3 constellation chip points the same way. But intent is not economics. No public estimates exist for launch mass per useful accelerator, radiator mass per megawatt, radiation-induced failure and error rates, downlink capacity and cost, utilization, service life, or cost per useful training or inference operation — and continuous sunlight is orbit-dependent. Before this tread can bear weight, three reference cases need levelized-cost models (third edition): a LEO inference service, high-orbit or cislunar batch compute, and lunar-surface compute on locally manufactured power. The filing itself concedes a present dependency: chip supply for orbital AI currently exceeds what is available to the company.</w:t>
      </w:r>
    </w:p>
    <w:p>
      <w:pPr>
        <w:pStyle w:val="ListParagraph"/>
        <w:numPr>
          <w:ilvl w:val="0"/>
          <w:numId w:val="2"/>
        </w:numPr>
        <w:spacing w:after="100" w:line="276"/>
      </w:pPr>
      <w:r>
        <w:rPr>
          <w:b/>
          <w:bCs/>
        </w:rPr>
        <w:t xml:space="preserve">In-space industrial services.</w:t>
      </w:r>
      <w:r>
        <w:t xml:space="preserve"> At higher closure: propellant, materials, manufacturing, and maintenance sold within the growing space economy itself.</w:t>
      </w:r>
    </w:p>
    <w:p>
      <w:pPr>
        <w:spacing w:after="160" w:line="276"/>
      </w:pPr>
      <w:r>
        <w:t xml:space="preserve">The test of the staircase is simple: at every stage, revenue plus strategic financing must exceed the burn required to reach the next stage before the clock-setting components of Section 4 expire.</w:t>
      </w:r>
    </w:p>
    <w:p>
      <w:pPr>
        <w:pStyle w:val="Heading1"/>
      </w:pPr>
      <w:r>
        <w:t xml:space="preserve">10. Competition and the Takeoff-Speed Assumption</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Explicit assumption</w:t>
            </w:r>
          </w:p>
          <w:p>
            <w:pPr>
              <w:spacing w:after="40"/>
            </w:pPr>
            <w:r>
              <w:t xml:space="preserve">This thesis is decision-relevant chiefly under a slow-to-medium AI takeoff, measured in years to decades. Under a fast software takeoff, incumbent compute and algorithms decide outcomes before any physical loop closes; the space complex then becomes something the resulting intelligence builds afterward, not the path by which it arises.</w:t>
            </w:r>
          </w:p>
        </w:tc>
      </w:tr>
    </w:tbl>
    <w:p>
      <w:pPr>
        <w:spacing w:after="160"/>
      </w:pPr>
    </w:p>
    <w:p>
      <w:pPr>
        <w:spacing w:after="160" w:line="276"/>
      </w:pPr>
      <w:r>
        <w:t xml:space="preserve">The first edition analyzed the system in isolation. It is not alone.</w:t>
      </w:r>
    </w:p>
    <w:p>
      <w:pPr>
        <w:pStyle w:val="ListParagraph"/>
        <w:numPr>
          <w:ilvl w:val="0"/>
          <w:numId w:val="2"/>
        </w:numPr>
        <w:spacing w:after="100" w:line="276"/>
      </w:pPr>
      <w:r>
        <w:rPr>
          <w:b/>
          <w:bCs/>
        </w:rPr>
        <w:t xml:space="preserve">China</w:t>
      </w:r>
      <w:r>
        <w:t xml:space="preserve"> is the closest existing implementation of the terrestrial stages at national scale: dominant solar and battery manufacturing, a fast-scaling robotics sector, rare-earth refining, and domestic (if trailing-edge) chip fabrication. What it lacks, for now, is a reusable heavy-lift transport economy.</w:t>
      </w:r>
    </w:p>
    <w:p>
      <w:pPr>
        <w:pStyle w:val="ListParagraph"/>
        <w:numPr>
          <w:ilvl w:val="0"/>
          <w:numId w:val="2"/>
        </w:numPr>
        <w:spacing w:after="100" w:line="276"/>
      </w:pPr>
      <w:r>
        <w:rPr>
          <w:b/>
          <w:bCs/>
        </w:rPr>
        <w:t xml:space="preserve">Hyperscalers</w:t>
      </w:r>
      <w:r>
        <w:t xml:space="preserve"> close the same inputs with capital rather than ownership: long-term power agreements, custom silicon programs, and multi-year supply contracts. Capital as a substitute for vertical integration works until aggregate demand outruns what markets can scale — which is precisely the condition Terafab's stated rationale asserts has arrived.</w:t>
      </w:r>
    </w:p>
    <w:p>
      <w:pPr>
        <w:pStyle w:val="ListParagraph"/>
        <w:numPr>
          <w:ilvl w:val="0"/>
          <w:numId w:val="2"/>
        </w:numPr>
        <w:spacing w:after="100" w:line="276"/>
      </w:pPr>
      <w:r>
        <w:rPr>
          <w:b/>
          <w:bCs/>
        </w:rPr>
        <w:t xml:space="preserve">State space programs</w:t>
      </w:r>
      <w:r>
        <w:t xml:space="preserve"> hold ISRU and lunar-infrastructure roadmaps but iterate more slowly than commercial actors.</w:t>
      </w:r>
    </w:p>
    <w:p>
      <w:pPr>
        <w:spacing w:after="160" w:line="276"/>
      </w:pPr>
      <w:r>
        <w:t xml:space="preserve">The race principle that falls out of the framework: the closure race rewards the shortest verified end-to-end iteration loop across design → manufacture → deploy → learn — not the largest current stock of any single input.</w:t>
      </w:r>
    </w:p>
    <w:p>
      <w:pPr>
        <w:pStyle w:val="Heading2"/>
      </w:pPr>
      <w:r>
        <w:t xml:space="preserve">The capital wall: why markets cannot price the endgame</w:t>
      </w:r>
    </w:p>
    <w:p>
      <w:pPr>
        <w:spacing w:after="160" w:line="276"/>
      </w:pPr>
      <w:r>
        <w:t xml:space="preserve">Expansion purchased through markets pays stacked scarcity rents — foundry margins on equipment margins, with energy, land, and labor priced at what every rival bidder will pay. When demand outruns supply, prices are set by scarcity rather than cost. External review corrects the strongest version of this claim: markets are not static — high prices stimulate investment, entry, and substitution — so the right formulation is a </w:t>
      </w:r>
      <w:r>
        <w:rPr>
          <w:b/>
          <w:bCs/>
        </w:rPr>
        <w:t xml:space="preserve">race between demand growth and induced supply</w:t>
      </w:r>
      <w:r>
        <w:t xml:space="preserve">, with multi-year capacity lags as the binding term. At sufficiently rapid demand growth, short- and medium-run supply elasticity becomes the constraint; whether internal replication beats inducing market expansion is a rate comparison requiring the explicit modeling of the third edition, not a categorical fact. Vertical integration, likewise, internalises rather than eliminates capital cost: materials, equipment, risk-bearing, and time retain opportunity costs even when no external invoice is paid. What survives is the interface claim — every market boundary adds a financing requirement and a margin — and the post-closure claim, where expansion re-denominates in kind.</w:t>
      </w:r>
    </w:p>
    <w:p>
      <w:pPr>
        <w:spacing w:after="160" w:line="276"/>
      </w:pPr>
      <w:r>
        <w:t xml:space="preserve">A self-replicating industrial base exits the market-pricing regime. Its expansion cost re-denominates from currency into materials, energy, and time — and, once the system produces its own energy and labor, effectively into materials and time. Money is a claim on other people's labor and capital; a system that manufactures its own labor and capital no longer needs the claim at the margin. Biology is an existence proof that self-replication without capital markets is physically possible — not that a precision technological industry shares its economics: life had deep time, inherited molecular self-assembly, and tolerated extraordinary failure rates.</w:t>
      </w:r>
    </w:p>
    <w:p>
      <w:pPr>
        <w:spacing w:after="160" w:line="276"/>
      </w:pPr>
      <w:r>
        <w:t xml:space="preserve">Two caveats keep this honest. First, the entry ticket is still paid in ordinary dollars: the first self-replicating unit is bought, not grown — which is what the bridge economy of Section 9 exists to finance — and the race is to reach r &gt; δ before capital or patience is exhausted. Second, the logic predicts convergence, not uniqueness: every serious actor eventually verticalizes or plateaus, and hyperscaler custom silicon and power agreements are the first visible steps. The durable advantage is therefore not being vertical; it is having the shortest hardware doubling time once everyone is.</w:t>
      </w:r>
    </w:p>
    <w:p>
      <w:pPr>
        <w:pStyle w:val="Heading2"/>
      </w:pPr>
      <w:r>
        <w:t xml:space="preserve">Integration versus modularity: the Coasean resolution</w:t>
      </w:r>
    </w:p>
    <w:p>
      <w:pPr>
        <w:spacing w:after="160" w:line="276"/>
      </w:pPr>
      <w:r>
        <w:t xml:space="preserve">The strongest historical objection to this section deserves direct engagement: markets scaled semiconductor output roughly a billionfold, and did it through </w:t>
      </w:r>
      <w:r>
        <w:rPr>
          <w:i/>
          <w:iCs/>
        </w:rPr>
        <w:t xml:space="preserve">dis</w:t>
      </w:r>
      <w:r>
        <w:t xml:space="preserve">integration — the fabless-foundry split — while vertical integration has mostly lost to modular specialization across modern industry. Why would this time differ? The answer runs through the economics of firm boundaries. In the Coasean frame, a firm's boundary sits where internal coordination costs exceed market transaction costs. Specialization won historically because no single human organization could hold all the process knowledge and coordinate it efficiently: past a certain size, internal coordination costs explode, and independent firms trading through markets become cheaper despite margin stacking at every interface.</w:t>
      </w:r>
    </w:p>
    <w:p>
      <w:pPr>
        <w:spacing w:after="160" w:line="276"/>
      </w:pPr>
      <w:r>
        <w:t xml:space="preserve">AI attacks exactly the internal term. If coordination becomes a computational service (Section 6), internal cost per unit of complexity falls toward the physical information limit, and the efficient boundary of the firm expands accordingly — an integrated complex can match the efficiency of specialized ones because it can host </w:t>
      </w:r>
      <w:r>
        <w:rPr>
          <w:b/>
          <w:bCs/>
        </w:rPr>
        <w:t xml:space="preserve">internal specialization without market interfaces</w:t>
      </w:r>
      <w:r>
        <w:t xml:space="preserve">: the distributed ecology of Section 3 is precisely modularity inside one owner. Meanwhile the market interface retains an irreducible cost that no efficiency gain removes: every break in the closed loop is a transaction, every transaction requires capital, and capital is the very resource whose scaling limit defines the capital wall. Modularity does not escape the wall; </w:t>
      </w:r>
      <w:r>
        <w:rPr>
          <w:b/>
          <w:bCs/>
        </w:rPr>
        <w:t xml:space="preserve">modularity is the wall</w:t>
      </w:r>
      <w:r>
        <w:t xml:space="preserve">. The fabless-foundry counterexample is therefore not a refutation but a regime marker: markets and specialization dominate while capital can still buy inputs; integration dominates in the regime where it cannot. Semiconductors' billionfold scaling happened entirely inside the first regime.</w:t>
      </w:r>
    </w:p>
    <w:p>
      <w:pPr>
        <w:spacing w:after="160" w:line="276"/>
      </w:pPr>
      <w:r>
        <w:t xml:space="preserve">Two honest caveats. Markets provide more than allocation — they provide </w:t>
      </w:r>
      <w:r>
        <w:rPr>
          <w:i/>
          <w:iCs/>
        </w:rPr>
        <w:t xml:space="preserve">selection</w:t>
      </w:r>
      <w:r>
        <w:t xml:space="preserve">: price signals and competitive discipline that an integrated complex must replicate internally or decay into the soft-budget pathologies of every planned economy. The digital loop suggests the replacement mechanism — evolutionary evaluation, parallel internal competitions with measured selection against ground truth — but engineering that discipline is a genuine open problem, not a solved one. And one in-domain empirical anchor is worth stating: in launch itself, a heavily vertically integrated entrant undercut the modular legacy aerospace supply chain by widely estimated order-of-magnitude cost factors — evidence that, at least where iteration speed dominates, integration can already beat modularity today.</w:t>
      </w:r>
    </w:p>
    <w:p>
      <w:pPr>
        <w:pStyle w:val="Heading2"/>
      </w:pPr>
      <w:r>
        <w:t xml:space="preserve">The operating wall: society-priced versus physics-priced costs</w:t>
      </w:r>
    </w:p>
    <w:p>
      <w:pPr>
        <w:spacing w:after="160" w:line="276"/>
      </w:pPr>
      <w:r>
        <w:t xml:space="preserve">Operating costs divide into two kinds. </w:t>
      </w:r>
      <w:r>
        <w:rPr>
          <w:b/>
          <w:bCs/>
        </w:rPr>
        <w:t xml:space="preserve">Physics-priced inputs</w:t>
      </w:r>
      <w:r>
        <w:t xml:space="preserve"> — energy, materials, machine-hours — fall with scale through learning curves and automation. </w:t>
      </w:r>
      <w:r>
        <w:rPr>
          <w:b/>
          <w:bCs/>
        </w:rPr>
        <w:t xml:space="preserve">Society-priced inputs</w:t>
      </w:r>
      <w:r>
        <w:t xml:space="preserve"> — land rents, permits, grid interconnection, taxes, litigation, political goodwill — rise with scale: a growing complex bids up its own land, lengthens its own permitting queues, and generates opposition in proportion to its visibility. On Earth, closure has a structural ceiling, because land, law, and neighbors can never be internalized; past some scale the rising term dominates no matter how vertical the operator becomes.</w:t>
      </w:r>
    </w:p>
    <w:p>
      <w:pPr>
        <w:spacing w:after="160" w:line="276"/>
      </w:pPr>
      <w:r>
        <w:t xml:space="preserve">Space may reduce recurring terrestrial siting and local-permission costs while substituting launch, communications, liability, security, treaty, and logistics costs whose scaling behavior remains uncertain — the society-priced term shrinks and relocates; it does not vanish. One favorable property survives the correction: on Earth, every marginal factory needs marginal permission, so regulatory cost grows with the size of the system, whereas in space permission attaches to the gateway — launches and spectrum — rather than to the complex, so the millionth robot needs no new municipal permit even though the network supporting it remains regulated. There is also a hard physical version of the argument. Earth has a planetary waste-heat budget; a compute economy dissipating a meaningful fraction of incident sunlight would be climatically intolerable however financed. Space offers unbounded radiator </w:t>
      </w:r>
      <w:r>
        <w:rPr>
          <w:i/>
          <w:iCs/>
        </w:rPr>
        <w:t xml:space="preserve">area</w:t>
      </w:r>
      <w:r>
        <w:t xml:space="preserve"> — though not free thermal rejection: every square meter is matter, structure, pumping, orientation, and maintenance.</w:t>
      </w:r>
    </w:p>
    <w:p>
      <w:pPr>
        <w:spacing w:after="160" w:line="276"/>
      </w:pPr>
      <w:r>
        <w:t xml:space="preserve">The costs never vanish; they re-denominate. A closed ecosystem still pays for its operation in spares, machine-hours, joules, and maintenance — in kind rather than in currency, which is Section 6's “scarcity becomes latency” restated as accounting. And the sequence is brutal: before high closure, space is the most expensive place to operate, not the cheapest — every kilogram of spares travels at full launch freight while depreciation runs at its worst. The declining-cost regime switches on only after κ is high, which is why the bridge economy and the clock-setting components of Section 4 decide who survives to reach it.</w:t>
      </w:r>
    </w:p>
    <w:p>
      <w:pPr>
        <w:pStyle w:val="Heading2"/>
      </w:pPr>
      <w:r>
        <w:t xml:space="preserve">The threshold-model argument</w:t>
      </w:r>
    </w:p>
    <w:p>
      <w:pPr>
        <w:spacing w:after="160" w:line="276"/>
      </w:pPr>
      <w:r>
        <w:t xml:space="preserve">How much does model quality matter to this race? The answer depends on whether RSI capability is a threshold or a continuum. If it is a threshold — a base model good enough to run verified improvement loops on its own development — then a smarter starting model confers only a head start of some number of loops, which the loop itself erodes; the durable variable becomes who can run more loops, which is hardware. Mid-2026 evidence points toward commoditization at that threshold. The Musk complex reports running substantial internal engineering work on its in-house Grok models, trained partly on its own engineering corpus, while open-weight releases — most recently a 2.8-trillion-parameter open model benchmarking near the proprietary frontier on agentic and coding tasks — have compressed the open-closed gap from years to months. If RSI-grade capability arrives in open weights, model advantage evaporates as a moat entirely, and the contest collapses onto the physical loop: the strongest possible form of the verticalization thesis.</w:t>
      </w:r>
    </w:p>
    <w:p>
      <w:pPr>
        <w:spacing w:after="160" w:line="276"/>
      </w:pPr>
      <w:r>
        <w:t xml:space="preserve">The counterpoint that keeps this honest: the argument holds only if capability is genuinely threshold-like rather than continuously compounding. If a better model runs meaningfully faster or better-verified loops on the same hardware, head starts compound instead of eroding — and a head start can be spent acquiring hardware advantages that outlast it. Both conditions are open. The defensible reading is that commoditization is the current trend, not a law.</w:t>
      </w:r>
    </w:p>
    <w:p>
      <w:pPr>
        <w:shd w:fill="F5F4F1" w:val="clear"/>
        <w:spacing w:after="40" w:before="120"/>
        <w:jc w:val="center"/>
      </w:pPr>
      <w:r>
        <w:rPr>
          <w:i/>
          <w:iCs/>
          <w:sz w:val="22"/>
          <w:szCs w:val="22"/>
        </w:rPr>
        <w:t xml:space="preserve">Threshold regime: L_RSI ∝ C^β        |        Continuous regime: L_RSI ∝ A^α · C^β · V^γ</w:t>
      </w:r>
    </w:p>
    <w:p>
      <w:pPr>
        <w:spacing w:after="160"/>
        <w:jc w:val="center"/>
      </w:pPr>
      <w:r>
        <w:rPr>
          <w:i/>
          <w:iCs/>
          <w:color w:val="595959"/>
          <w:sz w:val="18"/>
          <w:szCs w:val="18"/>
        </w:rPr>
        <w:t xml:space="preserve">A: model capability; C: compute; V: verification quality. The strategic conclusion depends on α, which is currently unknown.</w:t>
      </w:r>
    </w:p>
    <w:p>
      <w:pPr>
        <w:spacing w:after="160" w:line="276"/>
      </w:pPr>
      <w:r>
        <w:t xml:space="preserve">External review sharpens the counterpoint further: benchmark convergence between open and closed models does not establish that autonomous R&amp;D capability is threshold-like. Research capability varies continuously along correctness, long-horizon reliability, experimental judgement, verification design, and resistance to reward hacking — a model ten percent better on coding benchmarks could be two percent or fifty percent better at safely conducting month-long autonomous research. Until α is estimated, the hardware-dominance conclusion is one branch of a two-branch model, not the established trend.</w:t>
      </w:r>
    </w:p>
    <w:p>
      <w:pPr>
        <w:spacing w:after="160" w:line="276"/>
      </w:pPr>
      <w:r>
        <w:t xml:space="preserve">There is also a structural counterweight to commoditization itself. Open and closed models converge because they train on the same public data; the residual model-layer differentiation is therefore exactly the capability trained on </w:t>
      </w:r>
      <w:r>
        <w:rPr>
          <w:b/>
          <w:bCs/>
        </w:rPr>
        <w:t xml:space="preserve">proprietary physical-process data</w:t>
      </w:r>
      <w:r>
        <w:t xml:space="preserve"> (Section 2) — combustion dynamics, manufacturing process windows, fleet telemetry — which no open corpus contains and export control partly fences by law. If general capability commoditizes, the model contest does not disappear; it narrows to the domains where training data is generated by owned industry. The complex that operates the most instrumented physical economy holds the residual model advantage, which folds the model race back into the physical loop. The dynamic is already visible: the two-trillion-parameter successor to the current in-house model was publicly positioned against a </w:t>
      </w:r>
      <w:r>
        <w:rPr>
          <w:i/>
          <w:iCs/>
        </w:rPr>
        <w:t xml:space="preserve">larger</w:t>
      </w:r>
      <w:r>
        <w:t xml:space="preserve"> open-weight rival not on scale but on its supplemental training over an engineering corpus no competitor can license.</w:t>
      </w:r>
    </w:p>
    <w:p>
      <w:pPr>
        <w:pStyle w:val="Heading1"/>
      </w:pPr>
      <w:r>
        <w:t xml:space="preserve">11. Control and Governance of a Self-Expanding System</w:t>
      </w:r>
    </w:p>
    <w:p>
      <w:pPr>
        <w:spacing w:after="160" w:line="276"/>
      </w:pPr>
      <w:r>
        <w:t xml:space="preserve">A self-expanding autonomous industrial network is, formally, a governed macroscale von Neumann replicator. The first edition compressed this into a single bullet on verification; it deserves the status of a design requirement, because the same property that makes the system valuable — compounding physical replication — is what makes its failure modes compound too.</w:t>
      </w:r>
    </w:p>
    <w:p>
      <w:pPr>
        <w:pStyle w:val="ListParagraph"/>
        <w:numPr>
          <w:ilvl w:val="0"/>
          <w:numId w:val="2"/>
        </w:numPr>
        <w:spacing w:after="100" w:line="276"/>
      </w:pPr>
      <w:r>
        <w:rPr>
          <w:b/>
          <w:bCs/>
        </w:rPr>
        <w:t xml:space="preserve">Verification must scale with expansion.</w:t>
      </w:r>
      <w:r>
        <w:t xml:space="preserve"> V in the loop equation of Section 1 is also a safety term. If productive expansion outpaces the capacity to verify software, engineering changes, and physical output, error and misalignment accumulate with compound interest.</w:t>
      </w:r>
    </w:p>
    <w:p>
      <w:pPr>
        <w:pStyle w:val="ListParagraph"/>
        <w:numPr>
          <w:ilvl w:val="0"/>
          <w:numId w:val="2"/>
        </w:numPr>
        <w:spacing w:after="100" w:line="276"/>
      </w:pPr>
      <w:r>
        <w:rPr>
          <w:b/>
          <w:bCs/>
        </w:rPr>
        <w:t xml:space="preserve">Throttle authority must be explicit.</w:t>
      </w:r>
      <w:r>
        <w:t xml:space="preserve"> The system needs reliable mechanisms to slow or halt replication — rate limits on self-production, hardware-level authorization of replication steps — and clarity about who holds them: corporate, national, or international.</w:t>
      </w:r>
    </w:p>
    <w:p>
      <w:pPr>
        <w:pStyle w:val="ListParagraph"/>
        <w:numPr>
          <w:ilvl w:val="0"/>
          <w:numId w:val="2"/>
        </w:numPr>
        <w:spacing w:after="100" w:line="276"/>
      </w:pPr>
      <w:r>
        <w:rPr>
          <w:b/>
          <w:bCs/>
        </w:rPr>
        <w:t xml:space="preserve">The legal frame is unsettled.</w:t>
      </w:r>
      <w:r>
        <w:t xml:space="preserve"> Outer-space governance on resource appropriation, liability, planetary protection, and spectrum is ambiguous, and first movers will set precedent as much as follow it.</w:t>
      </w:r>
    </w:p>
    <w:p>
      <w:pPr>
        <w:spacing w:after="160" w:line="276"/>
      </w:pPr>
      <w:r>
        <w:t xml:space="preserve">This section must also acknowledge a tension with the rest of the document. The strategic argument celebrates escaping society-priced costs — permits, oversight, law — while the safety argument requires retaining exactly such constraints for the most consequential system ever built. The resolution the framework itself supplies is the </w:t>
      </w:r>
      <w:r>
        <w:rPr>
          <w:b/>
          <w:bCs/>
        </w:rPr>
        <w:t xml:space="preserve">gateway</w:t>
      </w:r>
      <w:r>
        <w:t xml:space="preserve">: Section 10 observes that in space, permission attaches to launches and spectrum rather than to the complex. That is where governance holds real leverage — launch licensing, export control, and pre-closure financing are enforceable because the complex still needs them. And the leverage variable is closure itself: what Earth can enforce is proportional to </w:t>
      </w:r>
      <w:r>
        <w:rPr>
          <w:b/>
          <w:bCs/>
        </w:rPr>
        <w:t xml:space="preserve">(1 − κ)</w:t>
      </w:r>
      <w:r>
        <w:t xml:space="preserve">, the fraction of critical inputs the complex must still import. The vitamin parts of Section 5 — the last few percent that resist local production — are therefore also the last governance handle.</w:t>
      </w:r>
    </w:p>
    <w:p>
      <w:pPr>
        <w:spacing w:after="160" w:line="276"/>
      </w:pPr>
      <w:r>
        <w:t xml:space="preserve">This yields the section's sharpest conclusion: </w:t>
      </w:r>
      <w:r>
        <w:rPr>
          <w:b/>
          <w:bCs/>
        </w:rPr>
        <w:t xml:space="preserve">governance has an expiration date, and the date is the closure date.</w:t>
      </w:r>
      <w:r>
        <w:t xml:space="preserve"> Throttle authority, verification requirements, and replication limits can be embedded as licensing conditions only during the bridge period, while dependency persists; afterward, enforcement rests on whatever was built in. The urgency of governance design is therefore not a moral flourish appended to the thesis — it follows from the thesis's own success condition. If this document's argument is right, the window is now.</w:t>
      </w:r>
    </w:p>
    <w:p>
      <w:pPr>
        <w:spacing w:after="160" w:line="276"/>
      </w:pPr>
      <w:r>
        <w:t xml:space="preserve">A serious control architecture — beyond this document's scope but within its obligation to specify — must include: hardware roots of authority; multi-party authorization for replication steps; rate limits; compartmentalization and fault-containment zones; secure update and rollback channels; explicit cyberattack and insider-risk models; independent verification capacity; the incentive structures of operators and governments; jurisdiction and liability; and failure recovery when communication with Earth is unavailable. These are named requirements, not solved problems. This document elevates them; it does not design them.</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Design principle</w:t>
            </w:r>
          </w:p>
          <w:p>
            <w:pPr>
              <w:spacing w:after="40"/>
            </w:pPr>
            <w:r>
              <w:t xml:space="preserve">Replication authority should be the most verified and least autonomous function in the system — deliberately positioned against the efficiency gradient. Because every economic incentive pushes the other way, this property must be designed in at the seed stage; it cannot be retrofitted onto a mature complex.</w:t>
            </w:r>
          </w:p>
        </w:tc>
      </w:tr>
    </w:tbl>
    <w:p>
      <w:pPr>
        <w:spacing w:after="160"/>
      </w:pPr>
    </w:p>
    <w:p>
      <w:pPr>
        <w:pStyle w:val="Heading1"/>
      </w:pPr>
      <w:r>
        <w:t xml:space="preserve">12. Development Path to a Self-Expanding Complex</w:t>
      </w:r>
    </w:p>
    <w:p>
      <w:pPr>
        <w:spacing w:after="60" w:before="120"/>
      </w:pPr>
      <w:r>
        <w:rPr>
          <w:b/>
          <w:bCs/>
          <w:color w:val="1F3352"/>
        </w:rPr>
        <w:t xml:space="preserve">Stage 1 — Earth-dependent space operations</w:t>
      </w:r>
    </w:p>
    <w:p>
      <w:pPr>
        <w:spacing w:after="160" w:line="276"/>
      </w:pPr>
      <w:r>
        <w:t xml:space="preserve">Earth supplies vehicles, energy systems, consumables, spares, electronics, and nearly all machinery. Space assets perform narrow missions.</w:t>
      </w:r>
    </w:p>
    <w:p>
      <w:pPr>
        <w:spacing w:after="60" w:before="120"/>
      </w:pPr>
      <w:r>
        <w:rPr>
          <w:b/>
          <w:bCs/>
          <w:color w:val="1F3352"/>
        </w:rPr>
        <w:t xml:space="preserve">Stage 2 — Local resource supplementation</w:t>
      </w:r>
    </w:p>
    <w:p>
      <w:pPr>
        <w:spacing w:after="160" w:line="276"/>
      </w:pPr>
      <w:r>
        <w:t xml:space="preserve">Local water, oxygen, shielding, construction feedstock, and selected propellant inputs reduce imported mass.</w:t>
      </w:r>
    </w:p>
    <w:p>
      <w:pPr>
        <w:spacing w:after="60" w:before="120"/>
      </w:pPr>
      <w:r>
        <w:rPr>
          <w:b/>
          <w:bCs/>
          <w:color w:val="1F3352"/>
        </w:rPr>
        <w:t xml:space="preserve">Stage 3 — Heavy-industry closure</w:t>
      </w:r>
    </w:p>
    <w:p>
      <w:pPr>
        <w:spacing w:after="160" w:line="276"/>
      </w:pPr>
      <w:r>
        <w:t xml:space="preserve">The network produces bulk metals, glass, ceramics, structural parts, tanks, simple mechanisms, roads, pads, and large power structures.</w:t>
      </w:r>
    </w:p>
    <w:p>
      <w:pPr>
        <w:spacing w:after="60" w:before="120"/>
      </w:pPr>
      <w:r>
        <w:rPr>
          <w:b/>
          <w:bCs/>
          <w:color w:val="1F3352"/>
        </w:rPr>
        <w:t xml:space="preserve">Stage 4 — Advanced manufacturing closure</w:t>
      </w:r>
    </w:p>
    <w:p>
      <w:pPr>
        <w:spacing w:after="160" w:line="276"/>
      </w:pPr>
      <w:r>
        <w:t xml:space="preserve">The network produces motors, actuators, sensors, precision tools, robots, spacecraft subsystems, computers, and factory machinery. Terafab is best read as a terrestrial rehearsal of this stage: practicing advanced-manufacturing closure on Earth, with robot labor, before any of it can be exported.</w:t>
      </w:r>
    </w:p>
    <w:p>
      <w:pPr>
        <w:spacing w:after="60" w:before="120"/>
      </w:pPr>
      <w:r>
        <w:rPr>
          <w:b/>
          <w:bCs/>
          <w:color w:val="1F3352"/>
        </w:rPr>
        <w:t xml:space="preserve">Stage 5 — Self-sustenance</w:t>
      </w:r>
    </w:p>
    <w:p>
      <w:pPr>
        <w:spacing w:after="160" w:line="276"/>
      </w:pPr>
      <w:r>
        <w:t xml:space="preserve">Internal production replaces depreciation and failure across all mission-critical categories. Earth supply becomes optional rather than essential.</w:t>
      </w:r>
    </w:p>
    <w:p>
      <w:pPr>
        <w:spacing w:after="60" w:before="120"/>
      </w:pPr>
      <w:r>
        <w:rPr>
          <w:b/>
          <w:bCs/>
          <w:color w:val="1F3352"/>
        </w:rPr>
        <w:t xml:space="preserve">Stage 6 — Self-expansion</w:t>
      </w:r>
    </w:p>
    <w:p>
      <w:pPr>
        <w:spacing w:after="160" w:line="276"/>
      </w:pPr>
      <w:r>
        <w:t xml:space="preserve">Net productive capacity grows: the system builds more mines, refineries, factories, power systems, robots, transports, and compute than replacement requires.</w:t>
      </w:r>
    </w:p>
    <w:p>
      <w:pPr>
        <w:spacing w:after="60" w:before="120"/>
      </w:pPr>
      <w:r>
        <w:rPr>
          <w:b/>
          <w:bCs/>
          <w:color w:val="1F3352"/>
        </w:rPr>
        <w:t xml:space="preserve">Stage 7 — Intelligence-industry recursion</w:t>
      </w:r>
    </w:p>
    <w:p>
      <w:pPr>
        <w:spacing w:after="160" w:line="276"/>
      </w:pPr>
      <w:r>
        <w:t xml:space="preserve">Additional compute improves intelligence; improved intelligence raises industrial replication efficiency; higher industrial output creates still more compute.</w:t>
      </w:r>
    </w:p>
    <w:p>
      <w:pPr>
        <w:shd w:fill="F5F4F1" w:val="clear"/>
        <w:spacing w:after="160" w:before="120"/>
        <w:jc w:val="center"/>
      </w:pPr>
      <w:r>
        <w:rPr>
          <w:i/>
          <w:iCs/>
          <w:sz w:val="22"/>
          <w:szCs w:val="22"/>
        </w:rPr>
        <w:t xml:space="preserve">I increases → replication efficiency increases → infrastructure increases → compute increases → I increases</w:t>
      </w:r>
    </w:p>
    <w:p>
      <w:pPr>
        <w:spacing w:after="160" w:line="276"/>
      </w:pPr>
      <w:r>
        <w:t xml:space="preserve">The bridge economy of Section 9 maps onto this ladder: terrestrial products carry Stages 1–3, launch and connectivity carry Stages 2–4, orbital compute plausibly carries Stages 4–5, and in-space industrial services carry Stages 5–6.</w:t>
      </w:r>
    </w:p>
    <w:p>
      <w:pPr>
        <w:pStyle w:val="Heading1"/>
      </w:pPr>
      <w:r>
        <w:t xml:space="preserve">13. Binding Bottlenecks and Failure Modes</w:t>
      </w:r>
    </w:p>
    <w:p>
      <w:pPr>
        <w:spacing w:after="160" w:line="276"/>
      </w:pPr>
      <w:r>
        <w:t xml:space="preserve">A complete theory must identify the conditions under which the recursive loop fails. Treating every constraint as “solved by intelligence plus time” hides the dependencies that determine whether the seed survives long enough to close the loop.</w:t>
      </w:r>
    </w:p>
    <w:p>
      <w:pPr>
        <w:spacing w:after="160" w:line="276"/>
      </w:pPr>
      <w:r>
        <w:rPr>
          <w:b/>
          <w:bCs/>
        </w:rPr>
        <w:t xml:space="preserve">Lithography and fabrication equipment.</w:t>
      </w:r>
      <w:r>
        <w:t xml:space="preserve"> Even if Terafab succeeds, extreme-ultraviolet lithography, advanced metrology, and ultra-pure feedstocks remain external, concentrated in a handful of suppliers. This replaces the first edition's broader “semiconductor closure” entry: the named residual chokepoint is the equipment layer, not the foundry layer.</w:t>
      </w:r>
    </w:p>
    <w:p>
      <w:pPr>
        <w:spacing w:after="160" w:line="276"/>
      </w:pPr>
      <w:r>
        <w:rPr>
          <w:b/>
          <w:bCs/>
        </w:rPr>
        <w:t xml:space="preserve">Reliability and repair.</w:t>
      </w:r>
      <w:r>
        <w:t xml:space="preserve"> A small number of irreplaceable failures can collapse a high-automation system. Mean time to repair and spare-part closure may matter more than nominal robot capability; see the clock-setting condition of Section 4.</w:t>
      </w:r>
    </w:p>
    <w:p>
      <w:pPr>
        <w:spacing w:after="160" w:line="276"/>
      </w:pPr>
      <w:r>
        <w:rPr>
          <w:b/>
          <w:bCs/>
        </w:rPr>
        <w:t xml:space="preserve">Thermal management.</w:t>
      </w:r>
      <w:r>
        <w:t xml:space="preserve"> Large-scale compute and industry must reject waste heat. Space offers vacuum, not passive cooling; radiators require area, mass, orientation, and maintenance.</w:t>
      </w:r>
    </w:p>
    <w:p>
      <w:pPr>
        <w:spacing w:after="160" w:line="276"/>
      </w:pPr>
      <w:r>
        <w:rPr>
          <w:b/>
          <w:bCs/>
        </w:rPr>
        <w:t xml:space="preserve">Energy storage and continuity.</w:t>
      </w:r>
      <w:r>
        <w:t xml:space="preserve"> Solar abundance does not guarantee continuous usable power. Eclipses, dust, distance, storage degradation, and transmission constrain operations.</w:t>
      </w:r>
    </w:p>
    <w:p>
      <w:pPr>
        <w:spacing w:after="160" w:line="276"/>
      </w:pPr>
      <w:r>
        <w:rPr>
          <w:b/>
          <w:bCs/>
        </w:rPr>
        <w:t xml:space="preserve">Resource quality and processing.</w:t>
      </w:r>
      <w:r>
        <w:t xml:space="preserve"> Matter may be abundant while useful ore grades, volatiles, high-purity feedstocks, or economical processing routes remain limited.</w:t>
      </w:r>
    </w:p>
    <w:p>
      <w:pPr>
        <w:spacing w:after="160" w:line="276"/>
      </w:pPr>
      <w:r>
        <w:rPr>
          <w:b/>
          <w:bCs/>
        </w:rPr>
        <w:t xml:space="preserve">Verification and control.</w:t>
      </w:r>
      <w:r>
        <w:t xml:space="preserve"> Faster autonomous iteration can amplify errors; verification must scale with expansion (Section 11).</w:t>
      </w:r>
    </w:p>
    <w:p>
      <w:pPr>
        <w:spacing w:after="160" w:line="276"/>
      </w:pPr>
      <w:r>
        <w:rPr>
          <w:b/>
          <w:bCs/>
        </w:rPr>
        <w:t xml:space="preserve">Political and legal environment.</w:t>
      </w:r>
      <w:r>
        <w:t xml:space="preserve"> Outer-space governance, property rights, launch authorization, spectrum, planetary protection, liability, and geopolitical conflict can affect deployment even if local operations are autonomous.</w:t>
      </w:r>
    </w:p>
    <w:p>
      <w:pPr>
        <w:spacing w:after="160" w:line="276"/>
      </w:pPr>
      <w:r>
        <w:rPr>
          <w:b/>
          <w:bCs/>
        </w:rPr>
        <w:t xml:space="preserve">Economic survival of the transition.</w:t>
      </w:r>
      <w:r>
        <w:t xml:space="preserve"> Before closure, intermediate outputs must carry the financing staircase of Section 9.</w:t>
      </w:r>
    </w:p>
    <w:p>
      <w:pPr>
        <w:spacing w:after="160" w:line="276"/>
      </w:pPr>
      <w:r>
        <w:rPr>
          <w:b/>
          <w:bCs/>
        </w:rPr>
        <w:t xml:space="preserve">Concentrated coordination.</w:t>
      </w:r>
      <w:r>
        <w:t xml:space="preserve"> The integration advantage depends on unusually concentrated decision authority across several companies. That concentration is a fragility as well as a strength: key-person risk, divided attention, and governance disputes are single points of failure that a distributed competitor does not have.</w:t>
      </w:r>
    </w:p>
    <w:p>
      <w:pPr>
        <w:spacing w:after="160" w:line="276"/>
      </w:pPr>
      <w:r>
        <w:rPr>
          <w:b/>
          <w:bCs/>
        </w:rPr>
        <w:t xml:space="preserve">Paradigm-shift stranding.</w:t>
      </w:r>
      <w:r>
        <w:t xml:space="preserve"> A new computing paradigm (analog, photonic, thermodynamic) could strand capital anchored to the current one. The exposure is concentrated, not general: energy, labor, transport, and materials are paradigm-invariant, and the chip fleet largely self-insures through its own three-to-six-year depreciation cycle. The risk lives in the fabrication plant on ten-to-twenty-year horizons — the layer where an incumbent's sunk process capital can let a greenfield rival leapfrog it, the pattern Veblen called the penalty of taking the lead. Section 16 treats the timing dynamics and the partial hedge.</w:t>
      </w:r>
    </w:p>
    <w:p>
      <w:pPr>
        <w:pStyle w:val="Heading1"/>
      </w:pPr>
      <w:r>
        <w:t xml:space="preserve">14. Falsifiable Indicators</w:t>
      </w:r>
    </w:p>
    <w:p>
      <w:pPr>
        <w:spacing w:after="160" w:line="276"/>
      </w:pPr>
      <w:r>
        <w:t xml:space="preserve">The hypothesis strengthens if observable programs converge on the following milestones. Status notes mark changes since the first edition.</w:t>
      </w:r>
    </w:p>
    <w:p>
      <w:pPr>
        <w:pStyle w:val="ListParagraph"/>
        <w:numPr>
          <w:ilvl w:val="0"/>
          <w:numId w:val="2"/>
        </w:numPr>
        <w:spacing w:after="100" w:line="276"/>
      </w:pPr>
      <w:r>
        <w:t xml:space="preserve">A published bill of materials for a minimally viable industrial seed and a quantified closure roadmap.</w:t>
      </w:r>
    </w:p>
    <w:p>
      <w:pPr>
        <w:pStyle w:val="ListParagraph"/>
        <w:numPr>
          <w:ilvl w:val="0"/>
          <w:numId w:val="2"/>
        </w:numPr>
        <w:spacing w:after="100" w:line="276"/>
      </w:pPr>
      <w:r>
        <w:t xml:space="preserve">Robots performing unscripted maintenance, construction, mining, and machine tending for long periods with limited human intervention.</w:t>
      </w:r>
    </w:p>
    <w:p>
      <w:pPr>
        <w:pStyle w:val="ListParagraph"/>
        <w:numPr>
          <w:ilvl w:val="0"/>
          <w:numId w:val="2"/>
        </w:numPr>
        <w:spacing w:after="100" w:line="276"/>
      </w:pPr>
      <w:r>
        <w:t xml:space="preserve">Local production of propellant, structural materials, and replacement parts at operational rather than laboratory scale.</w:t>
      </w:r>
    </w:p>
    <w:p>
      <w:pPr>
        <w:pStyle w:val="ListParagraph"/>
        <w:numPr>
          <w:ilvl w:val="0"/>
          <w:numId w:val="2"/>
        </w:numPr>
        <w:spacing w:after="100" w:line="276"/>
      </w:pPr>
      <w:r>
        <w:t xml:space="preserve">Factories using locally processed feedstock to manufacture additional energy, extraction, and production equipment.</w:t>
      </w:r>
    </w:p>
    <w:p>
      <w:pPr>
        <w:pStyle w:val="ListParagraph"/>
        <w:numPr>
          <w:ilvl w:val="0"/>
          <w:numId w:val="2"/>
        </w:numPr>
        <w:spacing w:after="100" w:line="276"/>
      </w:pPr>
      <w:r>
        <w:t xml:space="preserve">A measurable decline in imported mass per unit of local productive capacity.</w:t>
      </w:r>
    </w:p>
    <w:p>
      <w:pPr>
        <w:pStyle w:val="ListParagraph"/>
        <w:numPr>
          <w:ilvl w:val="0"/>
          <w:numId w:val="2"/>
        </w:numPr>
        <w:spacing w:after="100" w:line="276"/>
      </w:pPr>
      <w:r>
        <w:t xml:space="preserve">Space-manufactured compute or the production equipment required to make it. </w:t>
      </w:r>
      <w:r>
        <w:rPr>
          <w:i/>
          <w:iCs/>
        </w:rPr>
        <w:t xml:space="preserve">Status: a terrestrial precursor is now announced (Terafab, with an orbital chip line) but nothing is demonstrated.</w:t>
      </w:r>
    </w:p>
    <w:p>
      <w:pPr>
        <w:pStyle w:val="ListParagraph"/>
        <w:numPr>
          <w:ilvl w:val="0"/>
          <w:numId w:val="2"/>
        </w:numPr>
        <w:spacing w:after="100" w:line="276"/>
      </w:pPr>
      <w:r>
        <w:t xml:space="preserve">Net positive industrial replication after depreciation — P greater than D — across critical categories, with published estimates of both r and δ.</w:t>
      </w:r>
    </w:p>
    <w:p>
      <w:pPr>
        <w:pStyle w:val="ListParagraph"/>
        <w:numPr>
          <w:ilvl w:val="0"/>
          <w:numId w:val="2"/>
        </w:numPr>
        <w:spacing w:after="100" w:line="276"/>
      </w:pPr>
      <w:r>
        <w:rPr>
          <w:i/>
          <w:iCs/>
        </w:rPr>
        <w:t xml:space="preserve">Added:</w:t>
      </w:r>
      <w:r>
        <w:t xml:space="preserve"> a first Terafab research-fab wafer with disclosed yield; visible equipment order flow; radiation-qualified orbital silicon; revenue from orbital compute services; and any published robot reproduction ratio.</w:t>
      </w:r>
    </w:p>
    <w:p>
      <w:pPr>
        <w:pStyle w:val="ListParagraph"/>
        <w:numPr>
          <w:ilvl w:val="0"/>
          <w:numId w:val="2"/>
        </w:numPr>
        <w:spacing w:after="100" w:line="276"/>
      </w:pPr>
      <w:r>
        <w:rPr>
          <w:i/>
          <w:iCs/>
        </w:rPr>
        <w:t xml:space="preserve">Added in revision 2.1:</w:t>
      </w:r>
      <w:r>
        <w:t xml:space="preserve"> open-weight models demonstrating sustained autonomous improvement-loop capability — an indicator that model advantage is commoditizing and that the binding contest has shifted to hardware (Section 10).</w:t>
      </w:r>
    </w:p>
    <w:p>
      <w:pPr>
        <w:pStyle w:val="ListParagraph"/>
        <w:numPr>
          <w:ilvl w:val="0"/>
          <w:numId w:val="2"/>
        </w:numPr>
        <w:spacing w:after="100" w:line="276"/>
      </w:pPr>
      <w:r>
        <w:rPr>
          <w:i/>
          <w:iCs/>
        </w:rPr>
        <w:t xml:space="preserve">Added in revision 2.4:</w:t>
      </w:r>
      <w:r>
        <w:t xml:space="preserve"> fleet- and factory-holding actors demonstrably outperforming open models on domain engineering tasks (propulsion, materials, manufacturing) attributable to proprietary process data — and, conversely, the thesis weakens if open models match them from public and simulated data alone, which would show κ_D does not bind.</w:t>
      </w:r>
    </w:p>
    <w:p>
      <w:pPr>
        <w:pStyle w:val="ListParagraph"/>
        <w:numPr>
          <w:ilvl w:val="0"/>
          <w:numId w:val="2"/>
        </w:numPr>
        <w:spacing w:after="100" w:line="276"/>
      </w:pPr>
      <w:r>
        <w:rPr>
          <w:i/>
          <w:iCs/>
        </w:rPr>
        <w:t xml:space="preserve">Added in revision 2.5:</w:t>
      </w:r>
      <w:r>
        <w:t xml:space="preserve"> the appearance of an internal, export-control-scoped model variant trained on restricted engineering data and served only to cleared personnel — the configuration in which the full data moat becomes harvestable (Section 2).</w:t>
      </w:r>
    </w:p>
    <w:p>
      <w:pPr>
        <w:pStyle w:val="ListParagraph"/>
        <w:numPr>
          <w:ilvl w:val="0"/>
          <w:numId w:val="2"/>
        </w:numPr>
        <w:spacing w:after="100" w:line="276"/>
      </w:pPr>
      <w:r>
        <w:rPr>
          <w:i/>
          <w:iCs/>
        </w:rPr>
        <w:t xml:space="preserve">Added in revision 2.6:</w:t>
      </w:r>
      <w:r>
        <w:t xml:space="preserve"> threshold values that would move the parameters of Appendix A: a demonstrated ISRU plant exceeding ~50% full-system materials closure (κ from aspirational to credible); audited robot production figures replacing company targets (r for robotics from projection to data); an independent satellite-failure audit diverging materially from the observed ~2.5–3% (δ revision).</w:t>
      </w:r>
    </w:p>
    <w:p>
      <w:pPr>
        <w:pStyle w:val="ListParagraph"/>
        <w:numPr>
          <w:ilvl w:val="0"/>
          <w:numId w:val="2"/>
        </w:numPr>
        <w:spacing w:after="100" w:line="276"/>
      </w:pPr>
      <w:r>
        <w:rPr>
          <w:i/>
          <w:iCs/>
        </w:rPr>
        <w:t xml:space="preserve">Added in revision 2.7:</w:t>
      </w:r>
      <w:r>
        <w:t xml:space="preserve"> a sustained, measured decline in the cost per verified improvement loop — the quantity that determines whether compounding efficiency can outrun diminishing returns (Section 16) — and, on the governance side, replication-relevant conditions actually appearing in launch licenses or export-control terms while (1 − κ) leverage still exists (Section 11).</w:t>
      </w:r>
    </w:p>
    <w:p>
      <w:pPr>
        <w:pStyle w:val="ListParagraph"/>
        <w:numPr>
          <w:ilvl w:val="0"/>
          <w:numId w:val="2"/>
        </w:numPr>
        <w:spacing w:after="100" w:line="276"/>
      </w:pPr>
      <w:r>
        <w:rPr>
          <w:i/>
          <w:iCs/>
        </w:rPr>
        <w:t xml:space="preserve">Added in revision 2.8:</w:t>
      </w:r>
      <w:r>
        <w:t xml:space="preserve"> indicators are now weighted by likelihood ratio against competing explanations (Section 7). Highest-weight additions: a dedicated cross-company closure program with published metrics; production equipment explicitly designed for extraterrestrial reproduction; and, for Terafab specifically, executed definitive agreements with committed capital — the event that would upgrade its status from framework to program.</w:t>
      </w:r>
    </w:p>
    <w:p>
      <w:pPr>
        <w:spacing w:after="160" w:line="276"/>
      </w:pPr>
      <w:r>
        <w:t xml:space="preserve">The thesis weakens if humanoid robotics remains economically narrow, if advanced manufacturing cannot be localized, if space transportation costs stop declining, if closure requires a permanently growing Earth supply chain, if verification and maintenance costs rise faster than productive capacity — or, </w:t>
      </w:r>
      <w:r>
        <w:rPr>
          <w:i/>
          <w:iCs/>
        </w:rPr>
        <w:t xml:space="preserve">added in this edition</w:t>
      </w:r>
      <w:r>
        <w:t xml:space="preserve">, if Terafab devolves into a design-and-packaging operation dependent on external front-end fabrication, which would reopen the fabrication term entirely.</w:t>
      </w:r>
    </w:p>
    <w:p>
      <w:pPr>
        <w:pStyle w:val="Heading1"/>
      </w:pPr>
      <w:r>
        <w:t xml:space="preserve">15. Refined Complete Thesis</w:t>
      </w:r>
    </w:p>
    <w:p>
      <w:pPr>
        <w:spacing w:after="160" w:line="276"/>
      </w:pPr>
      <w:r>
        <w:t xml:space="preserve">The most coherent end-state remains a recursively self-expanding space industrial ecology. Reusable rockets transport an initial seed. AI supplies scientific, engineering, and coordinating intelligence. Robots provide scalable physical labor. Local energy systems supply power. Mining and refining convert extraterrestrial matter into industrial feedstocks. Automated factories produce structures, machines, robots, transport vehicles, energy systems — and, through a fabrication capability now being rehearsed on Earth, eventually compute. Communications integrate specialized nodes into one economic and operational network.</w:t>
      </w:r>
    </w:p>
    <w:p>
      <w:pPr>
        <w:spacing w:after="160" w:line="276"/>
      </w:pPr>
      <w:r>
        <w:t xml:space="preserve">The network first reduces Earth dependence, then reaches self-sustenance, and finally produces net additional productive capacity. At high closure, requirements such as station-keeping, collision management, maintenance, transport, and coordination remain real, but they are satisfied by industries inside the system rather than purchased as externally scarce services.</w:t>
      </w:r>
    </w:p>
    <w:p>
      <w:pPr>
        <w:shd w:fill="F5F4F1" w:val="clear"/>
        <w:spacing w:after="160" w:before="120"/>
        <w:jc w:val="center"/>
      </w:pPr>
      <w:r>
        <w:rPr>
          <w:i/>
          <w:iCs/>
          <w:sz w:val="22"/>
          <w:szCs w:val="22"/>
        </w:rPr>
        <w:t xml:space="preserve">Matter + energy + intelligence + time → expanding productive capacity</w:t>
      </w:r>
    </w:p>
    <w:p>
      <w:pPr>
        <w:spacing w:after="160" w:line="276"/>
      </w:pPr>
      <w:r>
        <w:t xml:space="preserve">In this model, recursive self-improvement is no longer limited to software. Intelligence improves the machinery and institutions that create intelligence; the industrial substrate returns more energy, compute, data, experimentation, and physical agency to the intelligence layer. The result is a coupled intelligence-industry recursion.</w:t>
      </w:r>
    </w:p>
    <w:p>
      <w:pPr>
        <w:shd w:fill="F5F4F1" w:val="clear"/>
        <w:spacing w:after="160" w:before="120"/>
        <w:jc w:val="center"/>
      </w:pPr>
      <w:r>
        <w:rPr>
          <w:i/>
          <w:iCs/>
          <w:sz w:val="22"/>
          <w:szCs w:val="22"/>
        </w:rPr>
        <w:t xml:space="preserve">The ultimate product is an industrial system capable of producing more of itself.</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Most precise formulation</w:t>
            </w:r>
          </w:p>
          <w:p>
            <w:pPr>
              <w:spacing w:after="40"/>
            </w:pPr>
            <w:r>
              <w:t xml:space="preserve">Recent integration across reusable launch, communications, AI, energy, robotics, and semiconductor manufacturing increases the plausibility that a Musk-associated corporate ecosystem could pursue elements of a future space-industrial network. A genuinely self-expanding network would nevertheless require unproven thresholds in autonomous maintenance, multisector industrial closure, logistics, thermal management, precision manufacturing, and governance. Current evidence supports capability accumulation and vertical integration; it does not yet establish positive off-world industrial reproduction, an economic crossover with terrestrial production, or a unified strategy aimed at that end state.</w:t>
            </w:r>
          </w:p>
        </w:tc>
      </w:tr>
    </w:tbl>
    <w:p>
      <w:pPr>
        <w:spacing w:after="160"/>
      </w:pPr>
    </w:p>
    <w:p>
      <w:pPr>
        <w:pStyle w:val="Heading2"/>
      </w:pPr>
      <w:r>
        <w:t xml:space="preserve">What the thesis does not claim</w:t>
      </w:r>
    </w:p>
    <w:p>
      <w:pPr>
        <w:pStyle w:val="ListParagraph"/>
        <w:numPr>
          <w:ilvl w:val="0"/>
          <w:numId w:val="2"/>
        </w:numPr>
        <w:spacing w:after="100" w:line="276"/>
      </w:pPr>
      <w:r>
        <w:t xml:space="preserve">It does not establish that a single confidential master plan exists.</w:t>
      </w:r>
    </w:p>
    <w:p>
      <w:pPr>
        <w:pStyle w:val="ListParagraph"/>
        <w:numPr>
          <w:ilvl w:val="0"/>
          <w:numId w:val="2"/>
        </w:numPr>
        <w:spacing w:after="100" w:line="276"/>
      </w:pPr>
      <w:r>
        <w:t xml:space="preserve">It does not imply that energy, matter, infrastructure, or coordination become literally free.</w:t>
      </w:r>
    </w:p>
    <w:p>
      <w:pPr>
        <w:pStyle w:val="ListParagraph"/>
        <w:numPr>
          <w:ilvl w:val="0"/>
          <w:numId w:val="2"/>
        </w:numPr>
        <w:spacing w:after="100" w:line="276"/>
      </w:pPr>
      <w:r>
        <w:t xml:space="preserve">It does not assume that intelligence automatically solves semiconductor fabrication, reliability, governance, or safety.</w:t>
      </w:r>
    </w:p>
    <w:p>
      <w:pPr>
        <w:pStyle w:val="ListParagraph"/>
        <w:numPr>
          <w:ilvl w:val="0"/>
          <w:numId w:val="2"/>
        </w:numPr>
        <w:spacing w:after="100" w:line="276"/>
      </w:pPr>
      <w:r>
        <w:t xml:space="preserve">It does not require every industrial node to be self-contained; closure can exist at the network level.</w:t>
      </w:r>
    </w:p>
    <w:p>
      <w:pPr>
        <w:pStyle w:val="ListParagraph"/>
        <w:numPr>
          <w:ilvl w:val="0"/>
          <w:numId w:val="2"/>
        </w:numPr>
        <w:spacing w:after="100" w:line="276"/>
      </w:pPr>
      <w:r>
        <w:t xml:space="preserve">It does not require uninterrupted exponential growth; the system can progress through successive bottleneck-limited regimes.</w:t>
      </w:r>
    </w:p>
    <w:p>
      <w:pPr>
        <w:pStyle w:val="ListParagraph"/>
        <w:numPr>
          <w:ilvl w:val="0"/>
          <w:numId w:val="2"/>
        </w:numPr>
        <w:spacing w:after="100" w:line="276"/>
      </w:pPr>
      <w:r>
        <w:rPr>
          <w:i/>
          <w:iCs/>
        </w:rPr>
        <w:t xml:space="preserve">Added:</w:t>
      </w:r>
      <w:r>
        <w:t xml:space="preserve"> it does not claim Terafab will reach viable yields; the venture is treated as an attempt, and its failure modes are listed alongside its promise.</w:t>
      </w:r>
    </w:p>
    <w:p>
      <w:pPr>
        <w:pStyle w:val="ListParagraph"/>
        <w:numPr>
          <w:ilvl w:val="0"/>
          <w:numId w:val="2"/>
        </w:numPr>
        <w:spacing w:after="100" w:line="276"/>
      </w:pPr>
      <w:r>
        <w:rPr>
          <w:i/>
          <w:iCs/>
        </w:rPr>
        <w:t xml:space="preserve">Added:</w:t>
      </w:r>
      <w:r>
        <w:t xml:space="preserve"> it does not claim a slow takeoff is certain — only that the thesis is conditional on one.</w:t>
      </w:r>
    </w:p>
    <w:p>
      <w:pPr>
        <w:pStyle w:val="Heading2"/>
      </w:pPr>
      <w:r>
        <w:t xml:space="preserve">Compact model</w:t>
      </w:r>
    </w:p>
    <w:p>
      <w:pPr>
        <w:shd w:fill="F5F4F1" w:val="clear"/>
        <w:spacing w:after="160" w:before="120"/>
        <w:jc w:val="center"/>
      </w:pPr>
      <w:r>
        <w:rPr>
          <w:i/>
          <w:iCs/>
          <w:sz w:val="22"/>
          <w:szCs w:val="22"/>
        </w:rPr>
        <w:t xml:space="preserve">I(t+1) = I(t) + f(C(t), D(t), V(t), H(t))</w:t>
      </w:r>
    </w:p>
    <w:p>
      <w:pPr>
        <w:shd w:fill="F5F4F1" w:val="clear"/>
        <w:spacing w:after="160" w:before="120"/>
        <w:jc w:val="center"/>
      </w:pPr>
      <w:r>
        <w:rPr>
          <w:i/>
          <w:iCs/>
          <w:sz w:val="22"/>
          <w:szCs w:val="22"/>
        </w:rPr>
        <w:t xml:space="preserve">H(t+1) = H(t) + g(I(t), E(t), M(t), R(t)) − δ_env · H(t)</w:t>
      </w:r>
    </w:p>
    <w:p>
      <w:pPr>
        <w:shd w:fill="F5F4F1" w:val="clear"/>
        <w:spacing w:after="160" w:before="120"/>
        <w:jc w:val="center"/>
      </w:pPr>
      <w:r>
        <w:rPr>
          <w:i/>
          <w:iCs/>
          <w:sz w:val="22"/>
          <w:szCs w:val="22"/>
        </w:rPr>
        <w:t xml:space="preserve">C(t+1) = C(t) + h(H(t), E(t), fab(t))</w:t>
      </w:r>
    </w:p>
    <w:p>
      <w:pPr>
        <w:spacing w:after="160" w:line="276"/>
      </w:pPr>
      <w:r>
        <w:t xml:space="preserve">Here I is effective intelligence, H is industrial capacity, C is compute, E is energy, M is processed material, R is robotic labor, D is useful data, V is verification capacity, fab is internal fabrication capacity — currently a declared but unproven term — and δ_env is environment-dependent depreciation, decomposed per Section 4 into wear, catastrophic, obsolescence, and logistics components whose </w:t>
      </w:r>
      <w:r>
        <w:rPr>
          <w:i/>
          <w:iCs/>
        </w:rPr>
        <w:t xml:space="preserve">mix</w:t>
      </w:r>
      <w:r>
        <w:t xml:space="preserve"> differs by environment, rather than a scalar simply higher off Earth. The functions f, g, and h are unspecified placeholders: until the third edition's multisector model gives them operational form, this compact model is a causal diagram, not a predictive tool. The system becomes recursively self-expanding when improvements in I reliably increase H and C, and the resulting increases in H and C reliably increase future I faster than depreciation and failure reduce the system.</w:t>
      </w:r>
    </w:p>
    <w:p>
      <w:pPr>
        <w:pStyle w:val="Heading1"/>
      </w:pPr>
      <w:r>
        <w:t xml:space="preserve">16. Conclusion — and Speculative Terminal Scenarios</w:t>
      </w:r>
    </w:p>
    <w:p>
      <w:pPr>
        <w:spacing w:after="160" w:line="276"/>
      </w:pPr>
      <w:r>
        <w:t xml:space="preserve">The economic argument of this paper compresses to two walls and two escapes. The </w:t>
      </w:r>
      <w:r>
        <w:rPr>
          <w:b/>
          <w:bCs/>
        </w:rPr>
        <w:t xml:space="preserve">capital wall</w:t>
      </w:r>
      <w:r>
        <w:t xml:space="preserve">: expansion purchased through markets runs into scarcity pricing and multi-year supply-elasticity limits as ambitions scale; the escape is self-replication, which re-denominates expansion from dollars into materials, energy, and time. The </w:t>
      </w:r>
      <w:r>
        <w:rPr>
          <w:b/>
          <w:bCs/>
        </w:rPr>
        <w:t xml:space="preserve">operating wall</w:t>
      </w:r>
      <w:r>
        <w:t xml:space="preserve">: on Earth, society-priced costs — land, permits, politics, and ultimately the planet's waste-heat budget — rise with scale and cannot be closed away; the escape is space, where permission attaches to the gateway rather than the complex and radiator area is unbounded in extent.</w:t>
      </w:r>
    </w:p>
    <w:p>
      <w:pPr>
        <w:spacing w:after="160" w:line="276"/>
      </w:pPr>
      <w:r>
        <w:t xml:space="preserve">Both escapes are conditional on the same narrow passage: surviving the bridge, in which the first self-replicating seed is bought at full market price, operated in the environment where depreciation is most severe, and financed by a staircase of intermediate products before any of the favorable economics apply. And if intelligence itself commoditizes at the RSI threshold — as the trajectory of open-weight models suggests it may — then no model moat protects that passage. The contest reduces to hardware doubling time, industrial closure, and the governance capacity to expand without losing control.</w:t>
      </w:r>
    </w:p>
    <w:p>
      <w:pPr>
        <w:shd w:fill="F5F4F1" w:val="clear"/>
        <w:spacing w:after="160" w:before="120"/>
        <w:jc w:val="center"/>
      </w:pPr>
      <w:r>
        <w:rPr>
          <w:i/>
          <w:iCs/>
          <w:sz w:val="22"/>
          <w:szCs w:val="22"/>
        </w:rPr>
        <w:t xml:space="preserve">Two walls: capital and operation · Two escapes: self-replication and space · One passage: the bridge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Status note for the remainder of this section</w:t>
            </w:r>
          </w:p>
          <w:p>
            <w:pPr>
              <w:spacing w:after="40"/>
            </w:pPr>
            <w:r>
              <w:t xml:space="preserve">What follows is scenario-class analysis: internally consistent extrapolation, not established result. The defensible core conclusion stops here — </w:t>
            </w:r>
            <w:r>
              <w:rPr>
                <w:i/>
                <w:iCs/>
              </w:rPr>
              <w:t xml:space="preserve">if industrial closure becomes sufficiently high and terrestrial expansion costs rise faster than off-world deployment costs, some large-scale industrial and computational activity may migrate off Earth.</w:t>
            </w:r>
            <w:r>
              <w:t xml:space="preserve"> Everything beyond that sentence is a scenario.</w:t>
            </w:r>
          </w:p>
        </w:tc>
      </w:tr>
    </w:tbl>
    <w:p>
      <w:pPr>
        <w:spacing w:after="160"/>
      </w:pPr>
    </w:p>
    <w:p>
      <w:pPr>
        <w:pStyle w:val="Heading2"/>
      </w:pPr>
      <w:r>
        <w:t xml:space="preserve">After convergence: deployment as the terminal regime</w:t>
      </w:r>
    </w:p>
    <w:p>
      <w:pPr>
        <w:spacing w:after="160" w:line="276"/>
      </w:pPr>
      <w:r>
        <w:t xml:space="preserve">The recursion of Section 1 does not run forever. At some point the marginal value of a further improvement in design falls below the marginal value of another deployed node — call this </w:t>
      </w:r>
      <w:r>
        <w:rPr>
          <w:b/>
          <w:bCs/>
        </w:rPr>
        <w:t xml:space="preserve">architectural convergence</w:t>
      </w:r>
      <w:r>
        <w:t xml:space="preserve">. It need not be a perfect or final architecture; it is the point at which discovery stops being the binding activity and deployment becomes it. Past convergence, intelligence behaves as a commodity produced by infrastructure, like electricity:</w:t>
      </w:r>
    </w:p>
    <w:p>
      <w:pPr>
        <w:shd w:fill="F5F4F1" w:val="clear"/>
        <w:spacing w:after="160" w:before="120"/>
        <w:jc w:val="center"/>
      </w:pPr>
      <w:r>
        <w:rPr>
          <w:i/>
          <w:iCs/>
          <w:sz w:val="22"/>
          <w:szCs w:val="22"/>
        </w:rPr>
        <w:t xml:space="preserve">Intelligence throughput = deployed energy × physical efficiency</w:t>
      </w:r>
    </w:p>
    <w:p>
      <w:pPr>
        <w:spacing w:after="160" w:line="276"/>
      </w:pPr>
      <w:r>
        <w:t xml:space="preserve">Efficiency is bounded by physics — Landauer's limit sets a floor on the energy cost of computation — so as architecture converges and efficiency approaches its ceiling, scale becomes the only variable left. Scale means energy; energy means collector area; and unbounded collector area exists in exactly one place. This is the terminal form of the operating-wall argument: not merely that Earth grows expensive, but that after convergence there is nothing left to compete on except the one input Earth cannot supply without limit.</w:t>
      </w:r>
    </w:p>
    <w:p>
      <w:pPr>
        <w:spacing w:after="160" w:line="276"/>
      </w:pPr>
      <w:r>
        <w:t xml:space="preserve">Both physical ceilings deserve distances, not just names — and each distance must be paired with a traversal rate. The planetary waste-heat ceiling sits perhaps two orders of magnitude above current civilizational energy use; the thermodynamic floor on computation lies several orders of magnitude below current hardware efficiency. Measured statically, neither is imminent. But the traversal rates compound: published estimates put algorithmic efficiency gains near threefold per year, compute buildout runs at multiples per year, and the digital loop adds a further compounding term — as systems grow more efficient, the cost of each improvement loop falls, so more loops execute per period, countering the diminishing returns of the efficiency function for as long as the efficiency gains themselves last. Distances that look like centuries at constant speed become decades under compounding, and shorter still if recursive improvement raises the compounding rate. The honest statement holds both halves: the ceilings are far in distance and plausibly near in time — and the gap between those two measures is itself the strongest argument for building the deployment substrate early.</w:t>
      </w:r>
    </w:p>
    <w:p>
      <w:pPr>
        <w:spacing w:after="160" w:line="276"/>
      </w:pPr>
      <w:r>
        <w:t xml:space="preserve">The two regimes then formalize as cost curves. On Earth, the marginal cost of the n-th node </w:t>
      </w:r>
      <w:r>
        <w:rPr>
          <w:b/>
          <w:bCs/>
        </w:rPr>
        <w:t xml:space="preserve">rises</w:t>
      </w:r>
      <w:r>
        <w:t xml:space="preserve"> with n: the operator bids up its own land, congests its own grid, and eventually meets the planetary thermal ceiling, which no amount of money moves. In space, after closure, the marginal cost of the n-th node </w:t>
      </w:r>
      <w:r>
        <w:rPr>
          <w:b/>
          <w:bCs/>
        </w:rPr>
        <w:t xml:space="preserve">falls</w:t>
      </w:r>
      <w:r>
        <w:t xml:space="preserve"> with n through learning curves and self-replication. One curve rises, the other falls; the crossover is the migration point — and it moves earlier every time launch costs decline or the closure ratio κ improves.</w:t>
      </w:r>
    </w:p>
    <w:p>
      <w:pPr>
        <w:spacing w:after="160" w:line="276"/>
      </w:pPr>
      <w:r>
        <w:t xml:space="preserve">One asymmetry strengthens the case for building the fleet early: physical capital is usually obsoleted by innovation, but compute capital is </w:t>
      </w:r>
      <w:r>
        <w:rPr>
          <w:b/>
          <w:bCs/>
        </w:rPr>
        <w:t xml:space="preserve">upgraded</w:t>
      </w:r>
      <w:r>
        <w:t xml:space="preserve"> by it — a better architecture propagates to every deployed node as a near-zero-cost update. The caveat is specialization: silicon over-fitted to one architecture family can be stranded by a paradigm shift, which is a real risk for an inference-chip-centered fabrication program and an argument for maintaining hardware generality across the deployed base.</w:t>
      </w:r>
    </w:p>
    <w:p>
      <w:pPr>
        <w:pStyle w:val="Heading2"/>
      </w:pPr>
      <w:r>
        <w:t xml:space="preserve">Paradigm shifts: delay, alteration, or prevention</w:t>
      </w:r>
    </w:p>
    <w:p>
      <w:pPr>
        <w:spacing w:after="160" w:line="276"/>
      </w:pPr>
      <w:r>
        <w:t xml:space="preserve">The convergence argument assumes efficiency approaches its ceiling before some new computing paradigm — analog, photonic, thermodynamic — resets the curve. Two considerations bound that objection. First, </w:t>
      </w:r>
      <w:r>
        <w:rPr>
          <w:b/>
          <w:bCs/>
        </w:rPr>
        <w:t xml:space="preserve">catch-up time</w:t>
      </w:r>
      <w:r>
        <w:t xml:space="preserve">: a new paradigm does not have to beat today's incumbent technology; it has to beat the incumbent plus decades of compounded process learning, still improving at the moment the newcomer matures. This moving-target problem is why nominally superior device technologies have remained “the future” for decades at a stretch — incumbency buys time even against genuinely better physics. Second, </w:t>
      </w:r>
      <w:r>
        <w:rPr>
          <w:b/>
          <w:bCs/>
        </w:rPr>
        <w:t xml:space="preserve">finiteness</w:t>
      </w:r>
      <w:r>
        <w:t xml:space="preserve">: paradigms that remain within irreversible computation climb toward the same thermodynamic ceiling, so successive resets grow smaller as the system approaches physical limits. Paradigm shifts may therefore delay, alter, or possibly prevent the assumed convergence regime: the effect depends on whether a shift changes merely device efficiency or the underlying computational representation and algorithmic frontier — reversible computing, for instance, evades the Landauer bound rather than approaching it.</w:t>
      </w:r>
    </w:p>
    <w:p>
      <w:pPr>
        <w:spacing w:after="160" w:line="276"/>
      </w:pPr>
      <w:r>
        <w:t xml:space="preserve">Leapfrog risk is concentrated, not general. Split the stack by paradigm-sensitivity: energy, labor, transport, and materials are </w:t>
      </w:r>
      <w:r>
        <w:rPr>
          <w:b/>
          <w:bCs/>
        </w:rPr>
        <w:t xml:space="preserve">paradigm-invariant</w:t>
      </w:r>
      <w:r>
        <w:t xml:space="preserve"> — a solar array powers photonic hardware as readily as silicon, a launch vehicle carries either, and robotic labor builds whichever fab wins. Those layers cannot be leapfrogged by a compute-paradigm shift at all. The exposure lives in one layer, fabrication, and even there it is bounded: chips depreciate on three-to-six-year cycles regardless, so the deployed fleet largely self-insures; it is the fabrication plant, on ten-to-twenty-year horizons, that carries genuine stranding risk. History supports the concern at exactly that layer — dominance in one compute paradigm has repeatedly bought incumbents little in the next, the pattern of sunk-capital incumbents passed by greenfield builders that Veblen described a century ago as the penalty of taking the lead.</w:t>
      </w:r>
    </w:p>
    <w:p>
      <w:pPr>
        <w:spacing w:after="160" w:line="276"/>
      </w:pPr>
      <w:r>
        <w:t xml:space="preserve">The same portfolio that creates the first-mover advantage, however, also partially insures against the leapfrog. General-purpose robotic manufacturing is the industry that builds industries: if a paradigm shift forces a retrofit, the cheapest retrofitter is whoever holds automated construction and labor. On this reading the complex's deepest moat is not any particular fab but the capacity to build the </w:t>
      </w:r>
      <w:r>
        <w:rPr>
          <w:i/>
          <w:iCs/>
        </w:rPr>
        <w:t xml:space="preserve">next</w:t>
      </w:r>
      <w:r>
        <w:t xml:space="preserve"> fab faster than a rival builds its first. The refined strategy: verticalize the paradigm-invariant layers hard, stay deliberately flexible at the paradigm-specific one, and track </w:t>
      </w:r>
      <w:r>
        <w:rPr>
          <w:b/>
          <w:bCs/>
        </w:rPr>
        <w:t xml:space="preserve">retooling speed</w:t>
      </w:r>
      <w:r>
        <w:t xml:space="preserve"> as a first-class metric alongside doubling time.</w:t>
      </w:r>
    </w:p>
    <w:p>
      <w:pPr>
        <w:spacing w:after="160" w:line="276"/>
      </w:pPr>
      <w:r>
        <w:t xml:space="preserve">That is the properly conditional form of the intuition with which these notes began. The observed portfolio is consistent with an economic gradient toward greater integration — discovery until convergence, deployment after it, with space as one plausible arena of unbounded deployment under a demanding set of crossover conditions. Present evidence does not establish that recursive off-world industrial closure is the governing objective of the companies described in Section 7. The third edition's program — a multisector feasibility model, an explicit Earth–space crossover analysis, and discriminating tests among the competing strategic explanations of Section 7 — is what could.</w:t>
      </w:r>
    </w:p>
    <w:p>
      <w:r>
        <w:br w:type="page"/>
      </w:r>
    </w:p>
    <w:p>
      <w:pPr>
        <w:pStyle w:val="Heading1"/>
      </w:pPr>
      <w:r>
        <w:t xml:space="preserve">Appendix A: Parameter Anchors</w:t>
      </w:r>
    </w:p>
    <w:p>
      <w:pPr>
        <w:spacing w:after="160" w:line="276"/>
      </w:pPr>
      <w:r>
        <w:t xml:space="preserve">Published estimates for the framework's key quantities, with source class and confidence context. Values are anchors, not precision claims; ranges reflect genuine disagreement across sources. Peer-reviewed findings and official technical reports carry the most weight; company statements and enthusiast tracking are directional.</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150"/>
        <w:gridCol w:w="2150"/>
        <w:gridCol w:w="2560"/>
        <w:gridCol w:w="2500"/>
      </w:tblGrid>
      <w:tr>
        <w:trPr>
          <w:tblHeader/>
        </w:trPr>
        <w:tc>
          <w:tcPr>
            <w:tcW w:type="dxa" w:w="2150"/>
            <w:shd w:fill="E8EBF1" w:val="clear"/>
            <w:tcMar>
              <w:top w:type="dxa" w:w="90"/>
              <w:left w:type="dxa" w:w="120"/>
              <w:bottom w:type="dxa" w:w="90"/>
              <w:right w:type="dxa" w:w="120"/>
            </w:tcMar>
          </w:tcPr>
          <w:p>
            <w:pPr>
              <w:spacing w:after="0" w:line="260"/>
            </w:pPr>
            <w:r>
              <w:rPr>
                <w:b/>
                <w:bCs/>
                <w:color w:val="1F3352"/>
                <w:sz w:val="20"/>
                <w:szCs w:val="20"/>
              </w:rPr>
              <w:t xml:space="preserve">Parameter</w:t>
            </w:r>
          </w:p>
        </w:tc>
        <w:tc>
          <w:tcPr>
            <w:tcW w:type="dxa" w:w="2150"/>
            <w:shd w:fill="E8EBF1" w:val="clear"/>
            <w:tcMar>
              <w:top w:type="dxa" w:w="90"/>
              <w:left w:type="dxa" w:w="120"/>
              <w:bottom w:type="dxa" w:w="90"/>
              <w:right w:type="dxa" w:w="120"/>
            </w:tcMar>
          </w:tcPr>
          <w:p>
            <w:pPr>
              <w:spacing w:after="0" w:line="260"/>
            </w:pPr>
            <w:r>
              <w:rPr>
                <w:b/>
                <w:bCs/>
                <w:color w:val="1F3352"/>
                <w:sz w:val="20"/>
                <w:szCs w:val="20"/>
              </w:rPr>
              <w:t xml:space="preserve">Estimate / range</w:t>
            </w:r>
          </w:p>
        </w:tc>
        <w:tc>
          <w:tcPr>
            <w:tcW w:type="dxa" w:w="2560"/>
            <w:shd w:fill="E8EBF1" w:val="clear"/>
            <w:tcMar>
              <w:top w:type="dxa" w:w="90"/>
              <w:left w:type="dxa" w:w="120"/>
              <w:bottom w:type="dxa" w:w="90"/>
              <w:right w:type="dxa" w:w="120"/>
            </w:tcMar>
          </w:tcPr>
          <w:p>
            <w:pPr>
              <w:spacing w:after="0" w:line="260"/>
            </w:pPr>
            <w:r>
              <w:rPr>
                <w:b/>
                <w:bCs/>
                <w:color w:val="1F3352"/>
                <w:sz w:val="20"/>
                <w:szCs w:val="20"/>
              </w:rPr>
              <w:t xml:space="preserve">Source class (year)</w:t>
            </w:r>
          </w:p>
        </w:tc>
        <w:tc>
          <w:tcPr>
            <w:tcW w:type="dxa" w:w="2500"/>
            <w:shd w:fill="E8EBF1" w:val="clear"/>
            <w:tcMar>
              <w:top w:type="dxa" w:w="90"/>
              <w:left w:type="dxa" w:w="120"/>
              <w:bottom w:type="dxa" w:w="90"/>
              <w:right w:type="dxa" w:w="120"/>
            </w:tcMar>
          </w:tcPr>
          <w:p>
            <w:pPr>
              <w:spacing w:after="0" w:line="260"/>
            </w:pPr>
            <w:r>
              <w:rPr>
                <w:b/>
                <w:bCs/>
                <w:color w:val="1F3352"/>
                <w:sz w:val="20"/>
                <w:szCs w:val="20"/>
              </w:rPr>
              <w:t xml:space="preserve">Note</w:t>
            </w:r>
          </w:p>
        </w:tc>
      </w:tr>
      <w:tr>
        <w:tc>
          <w:tcPr>
            <w:tcW w:type="dxa" w:w="2150"/>
            <w:tcMar>
              <w:top w:type="dxa" w:w="90"/>
              <w:left w:type="dxa" w:w="120"/>
              <w:bottom w:type="dxa" w:w="90"/>
              <w:right w:type="dxa" w:w="120"/>
            </w:tcMar>
          </w:tcPr>
          <w:p>
            <w:pPr>
              <w:spacing w:after="0" w:line="260"/>
            </w:pPr>
            <w:r>
              <w:rPr>
                <w:sz w:val="20"/>
                <w:szCs w:val="20"/>
              </w:rPr>
              <w:t xml:space="preserve">δ — space solar degradation (GEO)</w:t>
            </w:r>
          </w:p>
        </w:tc>
        <w:tc>
          <w:tcPr>
            <w:tcW w:type="dxa" w:w="2150"/>
            <w:tcMar>
              <w:top w:type="dxa" w:w="90"/>
              <w:left w:type="dxa" w:w="120"/>
              <w:bottom w:type="dxa" w:w="90"/>
              <w:right w:type="dxa" w:w="120"/>
            </w:tcMar>
          </w:tcPr>
          <w:p>
            <w:pPr>
              <w:spacing w:after="0" w:line="260"/>
            </w:pPr>
            <w:r>
              <w:rPr>
                <w:sz w:val="20"/>
                <w:szCs w:val="20"/>
              </w:rPr>
              <w:t xml:space="preserve">0.4–1.7% per year</w:t>
            </w:r>
          </w:p>
        </w:tc>
        <w:tc>
          <w:tcPr>
            <w:tcW w:type="dxa" w:w="2560"/>
            <w:tcMar>
              <w:top w:type="dxa" w:w="90"/>
              <w:left w:type="dxa" w:w="120"/>
              <w:bottom w:type="dxa" w:w="90"/>
              <w:right w:type="dxa" w:w="120"/>
            </w:tcMar>
          </w:tcPr>
          <w:p>
            <w:pPr>
              <w:spacing w:after="0" w:line="260"/>
            </w:pPr>
            <w:r>
              <w:rPr>
                <w:sz w:val="20"/>
                <w:szCs w:val="20"/>
              </w:rPr>
              <w:t xml:space="preserve">Peer-reviewed telemetry, 11 satellites (2018)</w:t>
            </w:r>
          </w:p>
        </w:tc>
        <w:tc>
          <w:tcPr>
            <w:tcW w:type="dxa" w:w="2500"/>
            <w:tcMar>
              <w:top w:type="dxa" w:w="90"/>
              <w:left w:type="dxa" w:w="120"/>
              <w:bottom w:type="dxa" w:w="90"/>
              <w:right w:type="dxa" w:w="120"/>
            </w:tcMar>
          </w:tcPr>
          <w:p>
            <w:pPr>
              <w:spacing w:after="0" w:line="260"/>
            </w:pPr>
            <w:r>
              <w:rPr>
                <w:sz w:val="20"/>
                <w:szCs w:val="20"/>
              </w:rPr>
              <w:t xml:space="preserve">GaAs at the low end, Si at the high end</w:t>
            </w:r>
          </w:p>
        </w:tc>
      </w:tr>
      <w:tr>
        <w:tc>
          <w:tcPr>
            <w:tcW w:type="dxa" w:w="2150"/>
            <w:tcMar>
              <w:top w:type="dxa" w:w="90"/>
              <w:left w:type="dxa" w:w="120"/>
              <w:bottom w:type="dxa" w:w="90"/>
              <w:right w:type="dxa" w:w="120"/>
            </w:tcMar>
          </w:tcPr>
          <w:p>
            <w:pPr>
              <w:spacing w:after="0" w:line="260"/>
            </w:pPr>
            <w:r>
              <w:rPr>
                <w:sz w:val="20"/>
                <w:szCs w:val="20"/>
              </w:rPr>
              <w:t xml:space="preserve">δ — terrestrial PV degradation</w:t>
            </w:r>
          </w:p>
        </w:tc>
        <w:tc>
          <w:tcPr>
            <w:tcW w:type="dxa" w:w="2150"/>
            <w:tcMar>
              <w:top w:type="dxa" w:w="90"/>
              <w:left w:type="dxa" w:w="120"/>
              <w:bottom w:type="dxa" w:w="90"/>
              <w:right w:type="dxa" w:w="120"/>
            </w:tcMar>
          </w:tcPr>
          <w:p>
            <w:pPr>
              <w:spacing w:after="0" w:line="260"/>
            </w:pPr>
            <w:r>
              <w:rPr>
                <w:sz w:val="20"/>
                <w:szCs w:val="20"/>
              </w:rPr>
              <w:t xml:space="preserve">median 0.5–0.6% per year</w:t>
            </w:r>
          </w:p>
        </w:tc>
        <w:tc>
          <w:tcPr>
            <w:tcW w:type="dxa" w:w="2560"/>
            <w:tcMar>
              <w:top w:type="dxa" w:w="90"/>
              <w:left w:type="dxa" w:w="120"/>
              <w:bottom w:type="dxa" w:w="90"/>
              <w:right w:type="dxa" w:w="120"/>
            </w:tcMar>
          </w:tcPr>
          <w:p>
            <w:pPr>
              <w:spacing w:after="0" w:line="260"/>
            </w:pPr>
            <w:r>
              <w:rPr>
                <w:sz w:val="20"/>
                <w:szCs w:val="20"/>
              </w:rPr>
              <w:t xml:space="preserve">Peer-reviewed meta-study, &gt;11,000 rates (2016)</w:t>
            </w:r>
          </w:p>
        </w:tc>
        <w:tc>
          <w:tcPr>
            <w:tcW w:type="dxa" w:w="2500"/>
            <w:tcMar>
              <w:top w:type="dxa" w:w="90"/>
              <w:left w:type="dxa" w:w="120"/>
              <w:bottom w:type="dxa" w:w="90"/>
              <w:right w:type="dxa" w:w="120"/>
            </w:tcMar>
          </w:tcPr>
          <w:p>
            <w:pPr>
              <w:spacing w:after="0" w:line="260"/>
            </w:pPr>
            <w:r>
              <w:rPr>
                <w:sz w:val="20"/>
                <w:szCs w:val="20"/>
              </w:rPr>
              <w:t xml:space="preserve">Space runs only ~2–3× terrestrial</w:t>
            </w:r>
          </w:p>
        </w:tc>
      </w:tr>
      <w:tr>
        <w:tc>
          <w:tcPr>
            <w:tcW w:type="dxa" w:w="2150"/>
            <w:tcMar>
              <w:top w:type="dxa" w:w="90"/>
              <w:left w:type="dxa" w:w="120"/>
              <w:bottom w:type="dxa" w:w="90"/>
              <w:right w:type="dxa" w:w="120"/>
            </w:tcMar>
          </w:tcPr>
          <w:p>
            <w:pPr>
              <w:spacing w:after="0" w:line="260"/>
            </w:pPr>
            <w:r>
              <w:rPr>
                <w:sz w:val="20"/>
                <w:szCs w:val="20"/>
              </w:rPr>
              <w:t xml:space="preserve">δ — LEO constellation failure</w:t>
            </w:r>
          </w:p>
        </w:tc>
        <w:tc>
          <w:tcPr>
            <w:tcW w:type="dxa" w:w="2150"/>
            <w:tcMar>
              <w:top w:type="dxa" w:w="90"/>
              <w:left w:type="dxa" w:w="120"/>
              <w:bottom w:type="dxa" w:w="90"/>
              <w:right w:type="dxa" w:w="120"/>
            </w:tcMar>
          </w:tcPr>
          <w:p>
            <w:pPr>
              <w:spacing w:after="0" w:line="260"/>
            </w:pPr>
            <w:r>
              <w:rPr>
                <w:sz w:val="20"/>
                <w:szCs w:val="20"/>
              </w:rPr>
              <w:t xml:space="preserve">~2.5–3% observed</w:t>
            </w:r>
          </w:p>
        </w:tc>
        <w:tc>
          <w:tcPr>
            <w:tcW w:type="dxa" w:w="2560"/>
            <w:tcMar>
              <w:top w:type="dxa" w:w="90"/>
              <w:left w:type="dxa" w:w="120"/>
              <w:bottom w:type="dxa" w:w="90"/>
              <w:right w:type="dxa" w:w="120"/>
            </w:tcMar>
          </w:tcPr>
          <w:p>
            <w:pPr>
              <w:spacing w:after="0" w:line="260"/>
            </w:pPr>
            <w:r>
              <w:rPr>
                <w:sz w:val="20"/>
                <w:szCs w:val="20"/>
              </w:rPr>
              <w:t xml:space="preserve">Independent tracking (2020–2026)</w:t>
            </w:r>
          </w:p>
        </w:tc>
        <w:tc>
          <w:tcPr>
            <w:tcW w:type="dxa" w:w="2500"/>
            <w:tcMar>
              <w:top w:type="dxa" w:w="90"/>
              <w:left w:type="dxa" w:w="120"/>
              <w:bottom w:type="dxa" w:w="90"/>
              <w:right w:type="dxa" w:w="120"/>
            </w:tcMar>
          </w:tcPr>
          <w:p>
            <w:pPr>
              <w:spacing w:after="0" w:line="260"/>
            </w:pPr>
            <w:r>
              <w:rPr>
                <w:sz w:val="20"/>
                <w:szCs w:val="20"/>
              </w:rPr>
              <w:t xml:space="preserve">A rival regulatory filing claimed 7%; rebutted as inflated by retired prototypes</w:t>
            </w:r>
          </w:p>
        </w:tc>
      </w:tr>
      <w:tr>
        <w:tc>
          <w:tcPr>
            <w:tcW w:type="dxa" w:w="2150"/>
            <w:tcMar>
              <w:top w:type="dxa" w:w="90"/>
              <w:left w:type="dxa" w:w="120"/>
              <w:bottom w:type="dxa" w:w="90"/>
              <w:right w:type="dxa" w:w="120"/>
            </w:tcMar>
          </w:tcPr>
          <w:p>
            <w:pPr>
              <w:spacing w:after="0" w:line="260"/>
            </w:pPr>
            <w:r>
              <w:rPr>
                <w:sz w:val="20"/>
                <w:szCs w:val="20"/>
              </w:rPr>
              <w:t xml:space="preserve">δ — satellite design life</w:t>
            </w:r>
          </w:p>
        </w:tc>
        <w:tc>
          <w:tcPr>
            <w:tcW w:type="dxa" w:w="2150"/>
            <w:tcMar>
              <w:top w:type="dxa" w:w="90"/>
              <w:left w:type="dxa" w:w="120"/>
              <w:bottom w:type="dxa" w:w="90"/>
              <w:right w:type="dxa" w:w="120"/>
            </w:tcMar>
          </w:tcPr>
          <w:p>
            <w:pPr>
              <w:spacing w:after="0" w:line="260"/>
            </w:pPr>
            <w:r>
              <w:rPr>
                <w:sz w:val="20"/>
                <w:szCs w:val="20"/>
              </w:rPr>
              <w:t xml:space="preserve">~15 yr GEO; ~5 yr LEO</w:t>
            </w:r>
          </w:p>
        </w:tc>
        <w:tc>
          <w:tcPr>
            <w:tcW w:type="dxa" w:w="2560"/>
            <w:tcMar>
              <w:top w:type="dxa" w:w="90"/>
              <w:left w:type="dxa" w:w="120"/>
              <w:bottom w:type="dxa" w:w="90"/>
              <w:right w:type="dxa" w:w="120"/>
            </w:tcMar>
          </w:tcPr>
          <w:p>
            <w:pPr>
              <w:spacing w:after="0" w:line="260"/>
            </w:pPr>
            <w:r>
              <w:rPr>
                <w:sz w:val="20"/>
                <w:szCs w:val="20"/>
              </w:rPr>
              <w:t xml:space="preserve">Industry standard; filings</w:t>
            </w:r>
          </w:p>
        </w:tc>
        <w:tc>
          <w:tcPr>
            <w:tcW w:type="dxa" w:w="2500"/>
            <w:tcMar>
              <w:top w:type="dxa" w:w="90"/>
              <w:left w:type="dxa" w:w="120"/>
              <w:bottom w:type="dxa" w:w="90"/>
              <w:right w:type="dxa" w:w="120"/>
            </w:tcMar>
          </w:tcPr>
          <w:p>
            <w:pPr>
              <w:spacing w:after="0" w:line="260"/>
            </w:pPr>
            <w:r>
              <w:rPr>
                <w:sz w:val="20"/>
                <w:szCs w:val="20"/>
              </w:rPr>
              <w:t xml:space="preserve">The no-repair envelope, not wear, sets the clock</w:t>
            </w:r>
          </w:p>
        </w:tc>
      </w:tr>
      <w:tr>
        <w:tc>
          <w:tcPr>
            <w:tcW w:type="dxa" w:w="2150"/>
            <w:tcMar>
              <w:top w:type="dxa" w:w="90"/>
              <w:left w:type="dxa" w:w="120"/>
              <w:bottom w:type="dxa" w:w="90"/>
              <w:right w:type="dxa" w:w="120"/>
            </w:tcMar>
          </w:tcPr>
          <w:p>
            <w:pPr>
              <w:spacing w:after="0" w:line="260"/>
            </w:pPr>
            <w:r>
              <w:rPr>
                <w:sz w:val="20"/>
                <w:szCs w:val="20"/>
              </w:rPr>
              <w:t xml:space="preserve">δ — fab tools; data-center accelerators</w:t>
            </w:r>
          </w:p>
        </w:tc>
        <w:tc>
          <w:tcPr>
            <w:tcW w:type="dxa" w:w="2150"/>
            <w:tcMar>
              <w:top w:type="dxa" w:w="90"/>
              <w:left w:type="dxa" w:w="120"/>
              <w:bottom w:type="dxa" w:w="90"/>
              <w:right w:type="dxa" w:w="120"/>
            </w:tcMar>
          </w:tcPr>
          <w:p>
            <w:pPr>
              <w:spacing w:after="0" w:line="260"/>
            </w:pPr>
            <w:r>
              <w:rPr>
                <w:sz w:val="20"/>
                <w:szCs w:val="20"/>
              </w:rPr>
              <w:t xml:space="preserve">2–5 yr schedules; 3–6 yr lives; ~1 failure per ~2,000 GPU-days</w:t>
            </w:r>
          </w:p>
        </w:tc>
        <w:tc>
          <w:tcPr>
            <w:tcW w:type="dxa" w:w="2560"/>
            <w:tcMar>
              <w:top w:type="dxa" w:w="90"/>
              <w:left w:type="dxa" w:w="120"/>
              <w:bottom w:type="dxa" w:w="90"/>
              <w:right w:type="dxa" w:w="120"/>
            </w:tcMar>
          </w:tcPr>
          <w:p>
            <w:pPr>
              <w:spacing w:after="0" w:line="260"/>
            </w:pPr>
            <w:r>
              <w:rPr>
                <w:sz w:val="20"/>
                <w:szCs w:val="20"/>
              </w:rPr>
              <w:t xml:space="preserve">Foundry reports; large-training-run data (2024)</w:t>
            </w:r>
          </w:p>
        </w:tc>
        <w:tc>
          <w:tcPr>
            <w:tcW w:type="dxa" w:w="2500"/>
            <w:tcMar>
              <w:top w:type="dxa" w:w="90"/>
              <w:left w:type="dxa" w:w="120"/>
              <w:bottom w:type="dxa" w:w="90"/>
              <w:right w:type="dxa" w:w="120"/>
            </w:tcMar>
          </w:tcPr>
          <w:p>
            <w:pPr>
              <w:spacing w:after="0" w:line="260"/>
            </w:pPr>
            <w:r>
              <w:rPr>
                <w:sz w:val="20"/>
                <w:szCs w:val="20"/>
              </w:rPr>
              <w:t xml:space="preserve">Obsolescence-driven, not wear</w:t>
            </w:r>
          </w:p>
        </w:tc>
      </w:tr>
      <w:tr>
        <w:tc>
          <w:tcPr>
            <w:tcW w:type="dxa" w:w="2150"/>
            <w:tcMar>
              <w:top w:type="dxa" w:w="90"/>
              <w:left w:type="dxa" w:w="120"/>
              <w:bottom w:type="dxa" w:w="90"/>
              <w:right w:type="dxa" w:w="120"/>
            </w:tcMar>
          </w:tcPr>
          <w:p>
            <w:pPr>
              <w:spacing w:after="0" w:line="260"/>
            </w:pPr>
            <w:r>
              <w:rPr>
                <w:sz w:val="20"/>
                <w:szCs w:val="20"/>
              </w:rPr>
              <w:t xml:space="preserve">r — solar energy payback</w:t>
            </w:r>
          </w:p>
        </w:tc>
        <w:tc>
          <w:tcPr>
            <w:tcW w:type="dxa" w:w="2150"/>
            <w:tcMar>
              <w:top w:type="dxa" w:w="90"/>
              <w:left w:type="dxa" w:w="120"/>
              <w:bottom w:type="dxa" w:w="90"/>
              <w:right w:type="dxa" w:w="120"/>
            </w:tcMar>
          </w:tcPr>
          <w:p>
            <w:pPr>
              <w:spacing w:after="0" w:line="260"/>
            </w:pPr>
            <w:r>
              <w:rPr>
                <w:sz w:val="20"/>
                <w:szCs w:val="20"/>
              </w:rPr>
              <w:t xml:space="preserve">~0.9–1.1 yr (Europe); 1–4 yr harmonized</w:t>
            </w:r>
          </w:p>
        </w:tc>
        <w:tc>
          <w:tcPr>
            <w:tcW w:type="dxa" w:w="2560"/>
            <w:tcMar>
              <w:top w:type="dxa" w:w="90"/>
              <w:left w:type="dxa" w:w="120"/>
              <w:bottom w:type="dxa" w:w="90"/>
              <w:right w:type="dxa" w:w="120"/>
            </w:tcMar>
          </w:tcPr>
          <w:p>
            <w:pPr>
              <w:spacing w:after="0" w:line="260"/>
            </w:pPr>
            <w:r>
              <w:rPr>
                <w:sz w:val="20"/>
                <w:szCs w:val="20"/>
              </w:rPr>
              <w:t xml:space="preserve">Institute report (2026); peer-reviewed review (2015)</w:t>
            </w:r>
          </w:p>
        </w:tc>
        <w:tc>
          <w:tcPr>
            <w:tcW w:type="dxa" w:w="2500"/>
            <w:tcMar>
              <w:top w:type="dxa" w:w="90"/>
              <w:left w:type="dxa" w:w="120"/>
              <w:bottom w:type="dxa" w:w="90"/>
              <w:right w:type="dxa" w:w="120"/>
            </w:tcMar>
          </w:tcPr>
          <w:p>
            <w:pPr>
              <w:spacing w:after="0" w:line="260"/>
            </w:pPr>
            <w:r>
              <w:rPr>
                <w:sz w:val="20"/>
                <w:szCs w:val="20"/>
              </w:rPr>
              <w:t xml:space="preserve">Implies ~1-year energy doubling capability</w:t>
            </w:r>
          </w:p>
        </w:tc>
      </w:tr>
      <w:tr>
        <w:tc>
          <w:tcPr>
            <w:tcW w:type="dxa" w:w="2150"/>
            <w:tcMar>
              <w:top w:type="dxa" w:w="90"/>
              <w:left w:type="dxa" w:w="120"/>
              <w:bottom w:type="dxa" w:w="90"/>
              <w:right w:type="dxa" w:w="120"/>
            </w:tcMar>
          </w:tcPr>
          <w:p>
            <w:pPr>
              <w:spacing w:after="0" w:line="260"/>
            </w:pPr>
            <w:r>
              <w:rPr>
                <w:sz w:val="20"/>
                <w:szCs w:val="20"/>
              </w:rPr>
              <w:t xml:space="preserve">r — lunar factory replication</w:t>
            </w:r>
          </w:p>
        </w:tc>
        <w:tc>
          <w:tcPr>
            <w:tcW w:type="dxa" w:w="2150"/>
            <w:tcMar>
              <w:top w:type="dxa" w:w="90"/>
              <w:left w:type="dxa" w:w="120"/>
              <w:bottom w:type="dxa" w:w="90"/>
              <w:right w:type="dxa" w:w="120"/>
            </w:tcMar>
          </w:tcPr>
          <w:p>
            <w:pPr>
              <w:spacing w:after="0" w:line="260"/>
            </w:pPr>
            <w:r>
              <w:rPr>
                <w:sz w:val="20"/>
                <w:szCs w:val="20"/>
              </w:rPr>
              <w:t xml:space="preserve">~1 yr (estimate)</w:t>
            </w:r>
          </w:p>
        </w:tc>
        <w:tc>
          <w:tcPr>
            <w:tcW w:type="dxa" w:w="2560"/>
            <w:tcMar>
              <w:top w:type="dxa" w:w="90"/>
              <w:left w:type="dxa" w:w="120"/>
              <w:bottom w:type="dxa" w:w="90"/>
              <w:right w:type="dxa" w:w="120"/>
            </w:tcMar>
          </w:tcPr>
          <w:p>
            <w:pPr>
              <w:spacing w:after="0" w:line="260"/>
            </w:pPr>
            <w:r>
              <w:rPr>
                <w:sz w:val="20"/>
                <w:szCs w:val="20"/>
              </w:rPr>
              <w:t xml:space="preserve">NASA CP-2255 (1980)</w:t>
            </w:r>
          </w:p>
        </w:tc>
        <w:tc>
          <w:tcPr>
            <w:tcW w:type="dxa" w:w="2500"/>
            <w:tcMar>
              <w:top w:type="dxa" w:w="90"/>
              <w:left w:type="dxa" w:w="120"/>
              <w:bottom w:type="dxa" w:w="90"/>
              <w:right w:type="dxa" w:w="120"/>
            </w:tcMar>
          </w:tcPr>
          <w:p>
            <w:pPr>
              <w:spacing w:after="0" w:line="260"/>
            </w:pPr>
            <w:r>
              <w:rPr>
                <w:sz w:val="20"/>
                <w:szCs w:val="20"/>
              </w:rPr>
              <w:t xml:space="preserve">Conceptual; ~100-ton seed</w:t>
            </w:r>
          </w:p>
        </w:tc>
      </w:tr>
      <w:tr>
        <w:tc>
          <w:tcPr>
            <w:tcW w:type="dxa" w:w="2150"/>
            <w:tcMar>
              <w:top w:type="dxa" w:w="90"/>
              <w:left w:type="dxa" w:w="120"/>
              <w:bottom w:type="dxa" w:w="90"/>
              <w:right w:type="dxa" w:w="120"/>
            </w:tcMar>
          </w:tcPr>
          <w:p>
            <w:pPr>
              <w:spacing w:after="0" w:line="260"/>
            </w:pPr>
            <w:r>
              <w:rPr>
                <w:sz w:val="20"/>
                <w:szCs w:val="20"/>
              </w:rPr>
              <w:t xml:space="preserve">r — gigafactory buildout</w:t>
            </w:r>
          </w:p>
        </w:tc>
        <w:tc>
          <w:tcPr>
            <w:tcW w:type="dxa" w:w="2150"/>
            <w:tcMar>
              <w:top w:type="dxa" w:w="90"/>
              <w:left w:type="dxa" w:w="120"/>
              <w:bottom w:type="dxa" w:w="90"/>
              <w:right w:type="dxa" w:w="120"/>
            </w:tcMar>
          </w:tcPr>
          <w:p>
            <w:pPr>
              <w:spacing w:after="0" w:line="260"/>
            </w:pPr>
            <w:r>
              <w:rPr>
                <w:sz w:val="20"/>
                <w:szCs w:val="20"/>
              </w:rPr>
              <w:t xml:space="preserve">~10 months</w:t>
            </w:r>
          </w:p>
        </w:tc>
        <w:tc>
          <w:tcPr>
            <w:tcW w:type="dxa" w:w="2560"/>
            <w:tcMar>
              <w:top w:type="dxa" w:w="90"/>
              <w:left w:type="dxa" w:w="120"/>
              <w:bottom w:type="dxa" w:w="90"/>
              <w:right w:type="dxa" w:w="120"/>
            </w:tcMar>
          </w:tcPr>
          <w:p>
            <w:pPr>
              <w:spacing w:after="0" w:line="260"/>
            </w:pPr>
            <w:r>
              <w:rPr>
                <w:sz w:val="20"/>
                <w:szCs w:val="20"/>
              </w:rPr>
              <w:t xml:space="preserve">Contemporaneous reporting (2019)</w:t>
            </w:r>
          </w:p>
        </w:tc>
        <w:tc>
          <w:tcPr>
            <w:tcW w:type="dxa" w:w="2500"/>
            <w:tcMar>
              <w:top w:type="dxa" w:w="90"/>
              <w:left w:type="dxa" w:w="120"/>
              <w:bottom w:type="dxa" w:w="90"/>
              <w:right w:type="dxa" w:w="120"/>
            </w:tcMar>
          </w:tcPr>
          <w:p>
            <w:pPr>
              <w:spacing w:after="0" w:line="260"/>
            </w:pPr>
            <w:r>
              <w:rPr>
                <w:sz w:val="20"/>
                <w:szCs w:val="20"/>
              </w:rPr>
              <w:t xml:space="preserve">Permits to completion, Shanghai</w:t>
            </w:r>
          </w:p>
        </w:tc>
      </w:tr>
      <w:tr>
        <w:tc>
          <w:tcPr>
            <w:tcW w:type="dxa" w:w="2150"/>
            <w:tcMar>
              <w:top w:type="dxa" w:w="90"/>
              <w:left w:type="dxa" w:w="120"/>
              <w:bottom w:type="dxa" w:w="90"/>
              <w:right w:type="dxa" w:w="120"/>
            </w:tcMar>
          </w:tcPr>
          <w:p>
            <w:pPr>
              <w:spacing w:after="0" w:line="260"/>
            </w:pPr>
            <w:r>
              <w:rPr>
                <w:sz w:val="20"/>
                <w:szCs w:val="20"/>
              </w:rPr>
              <w:t xml:space="preserve">r — humanoid robot ramp</w:t>
            </w:r>
          </w:p>
        </w:tc>
        <w:tc>
          <w:tcPr>
            <w:tcW w:type="dxa" w:w="2150"/>
            <w:tcMar>
              <w:top w:type="dxa" w:w="90"/>
              <w:left w:type="dxa" w:w="120"/>
              <w:bottom w:type="dxa" w:w="90"/>
              <w:right w:type="dxa" w:w="120"/>
            </w:tcMar>
          </w:tcPr>
          <w:p>
            <w:pPr>
              <w:spacing w:after="0" w:line="260"/>
            </w:pPr>
            <w:r>
              <w:rPr>
                <w:sz w:val="20"/>
                <w:szCs w:val="20"/>
              </w:rPr>
              <w:t xml:space="preserve">50,000–100,000 units targeted for 2026</w:t>
            </w:r>
          </w:p>
        </w:tc>
        <w:tc>
          <w:tcPr>
            <w:tcW w:type="dxa" w:w="2560"/>
            <w:tcMar>
              <w:top w:type="dxa" w:w="90"/>
              <w:left w:type="dxa" w:w="120"/>
              <w:bottom w:type="dxa" w:w="90"/>
              <w:right w:type="dxa" w:w="120"/>
            </w:tcMar>
          </w:tcPr>
          <w:p>
            <w:pPr>
              <w:spacing w:after="0" w:line="260"/>
            </w:pPr>
            <w:r>
              <w:rPr>
                <w:sz w:val="20"/>
                <w:szCs w:val="20"/>
              </w:rPr>
              <w:t xml:space="preserve">Company statements (2026)</w:t>
            </w:r>
          </w:p>
        </w:tc>
        <w:tc>
          <w:tcPr>
            <w:tcW w:type="dxa" w:w="2500"/>
            <w:tcMar>
              <w:top w:type="dxa" w:w="90"/>
              <w:left w:type="dxa" w:w="120"/>
              <w:bottom w:type="dxa" w:w="90"/>
              <w:right w:type="dxa" w:w="120"/>
            </w:tcMar>
          </w:tcPr>
          <w:p>
            <w:pPr>
              <w:spacing w:after="0" w:line="260"/>
            </w:pPr>
            <w:r>
              <w:rPr>
                <w:sz w:val="20"/>
                <w:szCs w:val="20"/>
              </w:rPr>
              <w:t xml:space="preserve">Targets only; production not started as of mid-2026 reporting</w:t>
            </w:r>
          </w:p>
        </w:tc>
      </w:tr>
      <w:tr>
        <w:tc>
          <w:tcPr>
            <w:tcW w:type="dxa" w:w="2150"/>
            <w:tcMar>
              <w:top w:type="dxa" w:w="90"/>
              <w:left w:type="dxa" w:w="120"/>
              <w:bottom w:type="dxa" w:w="90"/>
              <w:right w:type="dxa" w:w="120"/>
            </w:tcMar>
          </w:tcPr>
          <w:p>
            <w:pPr>
              <w:spacing w:after="0" w:line="260"/>
            </w:pPr>
            <w:r>
              <w:rPr>
                <w:sz w:val="20"/>
                <w:szCs w:val="20"/>
              </w:rPr>
              <w:t xml:space="preserve">κ — attainable materials closure</w:t>
            </w:r>
          </w:p>
        </w:tc>
        <w:tc>
          <w:tcPr>
            <w:tcW w:type="dxa" w:w="2150"/>
            <w:tcMar>
              <w:top w:type="dxa" w:w="90"/>
              <w:left w:type="dxa" w:w="120"/>
              <w:bottom w:type="dxa" w:w="90"/>
              <w:right w:type="dxa" w:w="120"/>
            </w:tcMar>
          </w:tcPr>
          <w:p>
            <w:pPr>
              <w:spacing w:after="0" w:line="260"/>
            </w:pPr>
            <w:r>
              <w:rPr>
                <w:sz w:val="20"/>
                <w:szCs w:val="20"/>
              </w:rPr>
              <w:t xml:space="preserve">90–96%</w:t>
            </w:r>
          </w:p>
        </w:tc>
        <w:tc>
          <w:tcPr>
            <w:tcW w:type="dxa" w:w="2560"/>
            <w:tcMar>
              <w:top w:type="dxa" w:w="90"/>
              <w:left w:type="dxa" w:w="120"/>
              <w:bottom w:type="dxa" w:w="90"/>
              <w:right w:type="dxa" w:w="120"/>
            </w:tcMar>
          </w:tcPr>
          <w:p>
            <w:pPr>
              <w:spacing w:after="0" w:line="260"/>
            </w:pPr>
            <w:r>
              <w:rPr>
                <w:sz w:val="20"/>
                <w:szCs w:val="20"/>
              </w:rPr>
              <w:t xml:space="preserve">NASA CP-2255 (1980)</w:t>
            </w:r>
          </w:p>
        </w:tc>
        <w:tc>
          <w:tcPr>
            <w:tcW w:type="dxa" w:w="2500"/>
            <w:tcMar>
              <w:top w:type="dxa" w:w="90"/>
              <w:left w:type="dxa" w:w="120"/>
              <w:bottom w:type="dxa" w:w="90"/>
              <w:right w:type="dxa" w:w="120"/>
            </w:tcMar>
          </w:tcPr>
          <w:p>
            <w:pPr>
              <w:spacing w:after="0" w:line="260"/>
            </w:pPr>
            <w:r>
              <w:rPr>
                <w:sz w:val="20"/>
                <w:szCs w:val="20"/>
              </w:rPr>
              <w:t xml:space="preserve">Residual “vitamin parts” imported</w:t>
            </w:r>
          </w:p>
        </w:tc>
      </w:tr>
      <w:tr>
        <w:tc>
          <w:tcPr>
            <w:tcW w:type="dxa" w:w="2150"/>
            <w:tcMar>
              <w:top w:type="dxa" w:w="90"/>
              <w:left w:type="dxa" w:w="120"/>
              <w:bottom w:type="dxa" w:w="90"/>
              <w:right w:type="dxa" w:w="120"/>
            </w:tcMar>
          </w:tcPr>
          <w:p>
            <w:pPr>
              <w:spacing w:after="0" w:line="260"/>
            </w:pPr>
            <w:r>
              <w:rPr>
                <w:sz w:val="20"/>
                <w:szCs w:val="20"/>
              </w:rPr>
              <w:t xml:space="preserve">κ — demonstrated ISRU</w:t>
            </w:r>
          </w:p>
        </w:tc>
        <w:tc>
          <w:tcPr>
            <w:tcW w:type="dxa" w:w="2150"/>
            <w:tcMar>
              <w:top w:type="dxa" w:w="90"/>
              <w:left w:type="dxa" w:w="120"/>
              <w:bottom w:type="dxa" w:w="90"/>
              <w:right w:type="dxa" w:w="120"/>
            </w:tcMar>
          </w:tcPr>
          <w:p>
            <w:pPr>
              <w:spacing w:after="0" w:line="260"/>
            </w:pPr>
            <w:r>
              <w:rPr>
                <w:sz w:val="20"/>
                <w:szCs w:val="20"/>
              </w:rPr>
              <w:t xml:space="preserve">O₂ at 6–12 g/hr on Mars; ~20% lunar yield at TRL 5/6</w:t>
            </w:r>
          </w:p>
        </w:tc>
        <w:tc>
          <w:tcPr>
            <w:tcW w:type="dxa" w:w="2560"/>
            <w:tcMar>
              <w:top w:type="dxa" w:w="90"/>
              <w:left w:type="dxa" w:w="120"/>
              <w:bottom w:type="dxa" w:w="90"/>
              <w:right w:type="dxa" w:w="120"/>
            </w:tcMar>
          </w:tcPr>
          <w:p>
            <w:pPr>
              <w:spacing w:after="0" w:line="260"/>
            </w:pPr>
            <w:r>
              <w:rPr>
                <w:sz w:val="20"/>
                <w:szCs w:val="20"/>
              </w:rPr>
              <w:t xml:space="preserve">Mission results; NASA demos (2021–25)</w:t>
            </w:r>
          </w:p>
        </w:tc>
        <w:tc>
          <w:tcPr>
            <w:tcW w:type="dxa" w:w="2500"/>
            <w:tcMar>
              <w:top w:type="dxa" w:w="90"/>
              <w:left w:type="dxa" w:w="120"/>
              <w:bottom w:type="dxa" w:w="90"/>
              <w:right w:type="dxa" w:w="120"/>
            </w:tcMar>
          </w:tcPr>
          <w:p>
            <w:pPr>
              <w:spacing w:after="0" w:line="260"/>
            </w:pPr>
            <w:r>
              <w:rPr>
                <w:sz w:val="20"/>
                <w:szCs w:val="20"/>
              </w:rPr>
              <w:t xml:space="preserve">Single output, small scale; full-system closure undemonstrated</w:t>
            </w:r>
          </w:p>
        </w:tc>
      </w:tr>
      <w:tr>
        <w:tc>
          <w:tcPr>
            <w:tcW w:type="dxa" w:w="2150"/>
            <w:tcMar>
              <w:top w:type="dxa" w:w="90"/>
              <w:left w:type="dxa" w:w="120"/>
              <w:bottom w:type="dxa" w:w="90"/>
              <w:right w:type="dxa" w:w="120"/>
            </w:tcMar>
          </w:tcPr>
          <w:p>
            <w:pPr>
              <w:spacing w:after="0" w:line="260"/>
            </w:pPr>
            <w:r>
              <w:rPr>
                <w:sz w:val="20"/>
                <w:szCs w:val="20"/>
              </w:rPr>
              <w:t xml:space="preserve">κ_D — fleet data scale</w:t>
            </w:r>
          </w:p>
        </w:tc>
        <w:tc>
          <w:tcPr>
            <w:tcW w:type="dxa" w:w="2150"/>
            <w:tcMar>
              <w:top w:type="dxa" w:w="90"/>
              <w:left w:type="dxa" w:w="120"/>
              <w:bottom w:type="dxa" w:w="90"/>
              <w:right w:type="dxa" w:w="120"/>
            </w:tcMar>
          </w:tcPr>
          <w:p>
            <w:pPr>
              <w:spacing w:after="0" w:line="260"/>
            </w:pPr>
            <w:r>
              <w:rPr>
                <w:sz w:val="20"/>
                <w:szCs w:val="20"/>
              </w:rPr>
              <w:t xml:space="preserve">&gt;10B supervised autonomy miles vs ~220M driverless (rival)</w:t>
            </w:r>
          </w:p>
        </w:tc>
        <w:tc>
          <w:tcPr>
            <w:tcW w:type="dxa" w:w="2560"/>
            <w:tcMar>
              <w:top w:type="dxa" w:w="90"/>
              <w:left w:type="dxa" w:w="120"/>
              <w:bottom w:type="dxa" w:w="90"/>
              <w:right w:type="dxa" w:w="120"/>
            </w:tcMar>
          </w:tcPr>
          <w:p>
            <w:pPr>
              <w:spacing w:after="0" w:line="260"/>
            </w:pPr>
            <w:r>
              <w:rPr>
                <w:sz w:val="20"/>
                <w:szCs w:val="20"/>
              </w:rPr>
              <w:t xml:space="preserve">Company statements; safety disclosures (2026)</w:t>
            </w:r>
          </w:p>
        </w:tc>
        <w:tc>
          <w:tcPr>
            <w:tcW w:type="dxa" w:w="2500"/>
            <w:tcMar>
              <w:top w:type="dxa" w:w="90"/>
              <w:left w:type="dxa" w:w="120"/>
              <w:bottom w:type="dxa" w:w="90"/>
              <w:right w:type="dxa" w:w="120"/>
            </w:tcMar>
          </w:tcPr>
          <w:p>
            <w:pPr>
              <w:spacing w:after="0" w:line="260"/>
            </w:pPr>
            <w:r>
              <w:rPr>
                <w:sz w:val="20"/>
                <w:szCs w:val="20"/>
              </w:rPr>
              <w:t xml:space="preserve">Not equivalent per mile; 13 heavy-lift test flights as the aerospace counterpart</w:t>
            </w:r>
          </w:p>
        </w:tc>
      </w:tr>
    </w:tbl>
    <w:p>
      <w:pPr>
        <w:spacing w:after="160"/>
      </w:pPr>
    </w:p>
    <w:p>
      <w:pPr>
        <w:spacing w:after="160" w:line="276"/>
      </w:pPr>
      <w:r>
        <w:t xml:space="preserve">Three headline readings. </w:t>
      </w:r>
      <w:r>
        <w:rPr>
          <w:b/>
          <w:bCs/>
        </w:rPr>
        <w:t xml:space="preserve">First</w:t>
      </w:r>
      <w:r>
        <w:t xml:space="preserve">, the r rows measure different phenomena — energy payback, a design-study estimate, and project execution — and therefore do not establish a system replication time, which remains </w:t>
      </w:r>
      <w:r>
        <w:rPr>
          <w:b/>
          <w:bCs/>
        </w:rPr>
        <w:t xml:space="preserve">unknown</w:t>
      </w:r>
      <w:r>
        <w:t xml:space="preserve">; one year survives only as the optimistic design assumption of the 1980 study (Section 5). </w:t>
      </w:r>
      <w:r>
        <w:rPr>
          <w:b/>
          <w:bCs/>
        </w:rPr>
        <w:t xml:space="preserve">Second</w:t>
      </w:r>
      <w:r>
        <w:t xml:space="preserve">, δ in space is dominated by irreparability and catastrophic loss, not faster wear: measured degradation runs only two to three times terrestrial, while the most advanced terrestrial capital is retired faster through obsolescence than space hardware physically degrades. </w:t>
      </w:r>
      <w:r>
        <w:rPr>
          <w:b/>
          <w:bCs/>
        </w:rPr>
        <w:t xml:space="preserve">Third</w:t>
      </w:r>
      <w:r>
        <w:t xml:space="preserve">, κ shows a wide theory-versus-demonstration gap — ninety-percent closure on paper, twenty-percent single-output yield in demonstration — and closing that gap is precisely what the indicators of Section 14 track.</w:t>
      </w:r>
    </w:p>
    <w:p>
      <w:r>
        <w:br w:type="page"/>
      </w:r>
    </w:p>
    <w:p>
      <w:pPr>
        <w:pStyle w:val="Heading1"/>
      </w:pPr>
      <w:r>
        <w:t xml:space="preserve">Glossary</w:t>
      </w:r>
    </w:p>
    <w:p>
      <w:pPr>
        <w:spacing w:after="120" w:line="276"/>
      </w:pPr>
      <w:r>
        <w:rPr>
          <w:b/>
          <w:bCs/>
        </w:rPr>
        <w:t xml:space="preserve">Recursive self-improvement (RSI): </w:t>
      </w:r>
      <w:r>
        <w:t xml:space="preserve">A process in which an intelligent system contributes to producing a more capable successor.</w:t>
      </w:r>
    </w:p>
    <w:p>
      <w:pPr>
        <w:spacing w:after="120" w:line="276"/>
      </w:pPr>
      <w:r>
        <w:rPr>
          <w:b/>
          <w:bCs/>
        </w:rPr>
        <w:t xml:space="preserve">Industrial closure: </w:t>
      </w:r>
      <w:r>
        <w:t xml:space="preserve">The degree to which a production network can internally supply the critical inputs required for its own operation.</w:t>
      </w:r>
    </w:p>
    <w:p>
      <w:pPr>
        <w:spacing w:after="120" w:line="276"/>
      </w:pPr>
      <w:r>
        <w:rPr>
          <w:b/>
          <w:bCs/>
        </w:rPr>
        <w:t xml:space="preserve">Closure engineering: </w:t>
      </w:r>
      <w:r>
        <w:t xml:space="preserve">The quantitative discipline, originating in NASA's 1980 summer study, of accounting for every input a replicating industrial system must produce or import.</w:t>
      </w:r>
    </w:p>
    <w:p>
      <w:pPr>
        <w:spacing w:after="120" w:line="276"/>
      </w:pPr>
      <w:r>
        <w:rPr>
          <w:b/>
          <w:bCs/>
        </w:rPr>
        <w:t xml:space="preserve">Self-sustaining: </w:t>
      </w:r>
      <w:r>
        <w:t xml:space="preserve">Able to replace consumed and depreciated productive capacity without essential external supply.</w:t>
      </w:r>
    </w:p>
    <w:p>
      <w:pPr>
        <w:spacing w:after="120" w:line="276"/>
      </w:pPr>
      <w:r>
        <w:rPr>
          <w:b/>
          <w:bCs/>
        </w:rPr>
        <w:t xml:space="preserve">Self-expanding: </w:t>
      </w:r>
      <w:r>
        <w:t xml:space="preserve">Able to produce net additional productive capacity after replacement and losses.</w:t>
      </w:r>
    </w:p>
    <w:p>
      <w:pPr>
        <w:spacing w:after="120" w:line="276"/>
      </w:pPr>
      <w:r>
        <w:rPr>
          <w:b/>
          <w:bCs/>
        </w:rPr>
        <w:t xml:space="preserve">Industrial seed: </w:t>
      </w:r>
      <w:r>
        <w:t xml:space="preserve">A compact initial system intended to grow into a broader local production network.</w:t>
      </w:r>
    </w:p>
    <w:p>
      <w:pPr>
        <w:spacing w:after="120" w:line="276"/>
      </w:pPr>
      <w:r>
        <w:rPr>
          <w:b/>
          <w:bCs/>
        </w:rPr>
        <w:t xml:space="preserve">Clock-setting component: </w:t>
      </w:r>
      <w:r>
        <w:t xml:space="preserve">The component with the shortest replacement horizon that cannot yet be produced or stockpiled locally; it bounds the survival time of the whole complex.</w:t>
      </w:r>
    </w:p>
    <w:p>
      <w:pPr>
        <w:spacing w:after="120" w:line="276"/>
      </w:pPr>
      <w:r>
        <w:rPr>
          <w:b/>
          <w:bCs/>
        </w:rPr>
        <w:t xml:space="preserve">Replication time: </w:t>
      </w:r>
      <w:r>
        <w:t xml:space="preserve">The time a production network needs to reproduce a unit of its own productive capacity; viability requires it to be shorter than the time to critical failure.</w:t>
      </w:r>
    </w:p>
    <w:p>
      <w:pPr>
        <w:spacing w:after="120" w:line="276"/>
      </w:pPr>
      <w:r>
        <w:rPr>
          <w:b/>
          <w:bCs/>
        </w:rPr>
        <w:t xml:space="preserve">Bridge economy: </w:t>
      </w:r>
      <w:r>
        <w:t xml:space="preserve">The sequence of independently financeable products and services that carries the system through the capital-intensive stages before closure.</w:t>
      </w:r>
    </w:p>
    <w:p>
      <w:pPr>
        <w:spacing w:after="120" w:line="276"/>
      </w:pPr>
      <w:r>
        <w:rPr>
          <w:b/>
          <w:bCs/>
        </w:rPr>
        <w:t xml:space="preserve">ISRU: </w:t>
      </w:r>
      <w:r>
        <w:t xml:space="preserve">In-situ resource utilization: obtaining and using materials available at the mission destination rather than importing all supplies from Earth.</w:t>
      </w:r>
    </w:p>
    <w:p>
      <w:pPr>
        <w:spacing w:after="120" w:line="276"/>
      </w:pPr>
      <w:r>
        <w:rPr>
          <w:b/>
          <w:bCs/>
        </w:rPr>
        <w:t xml:space="preserve">Productive throughput: </w:t>
      </w:r>
      <w:r>
        <w:t xml:space="preserve">The rate at which a system converts energy, materials, and machine time into useful output.</w:t>
      </w:r>
    </w:p>
    <w:p>
      <w:pPr>
        <w:spacing w:after="120" w:line="276"/>
      </w:pPr>
      <w:r>
        <w:rPr>
          <w:b/>
          <w:bCs/>
        </w:rPr>
        <w:t xml:space="preserve">Distributed industrial ecology: </w:t>
      </w:r>
      <w:r>
        <w:t xml:space="preserve">A network of specialized, mutually dependent production nodes whose combined input-output system is self-sustaining or self-expanding.</w:t>
      </w:r>
    </w:p>
    <w:p>
      <w:pPr>
        <w:spacing w:after="120" w:line="276"/>
      </w:pPr>
      <w:r>
        <w:rPr>
          <w:b/>
          <w:bCs/>
        </w:rPr>
        <w:t xml:space="preserve">Scarcity becomes latency: </w:t>
      </w:r>
      <w:r>
        <w:t xml:space="preserve">The proposition that, after high closure, the principal limitation on many outputs is production allocation and completion time rather than external purchase price.</w:t>
      </w:r>
    </w:p>
    <w:p>
      <w:pPr>
        <w:spacing w:after="120" w:line="276"/>
      </w:pPr>
      <w:r>
        <w:rPr>
          <w:b/>
          <w:bCs/>
        </w:rPr>
        <w:t xml:space="preserve">Von Neumann replicator: </w:t>
      </w:r>
      <w:r>
        <w:t xml:space="preserve">A machine system capable of constructing a functional copy of itself from available materials; the formal category to which a fully closed industrial complex belongs.</w:t>
      </w:r>
    </w:p>
    <w:p>
      <w:pPr>
        <w:spacing w:after="120" w:line="276"/>
      </w:pPr>
      <w:r>
        <w:rPr>
          <w:b/>
          <w:bCs/>
        </w:rPr>
        <w:t xml:space="preserve">Terafab: </w:t>
      </w:r>
      <w:r>
        <w:t xml:space="preserve">The chip fabrication joint venture of Tesla, SpaceX, and xAI announced in March 2026, targeting advanced AI chips including radiation-tolerant silicon for orbital deployment.</w:t>
      </w:r>
    </w:p>
    <w:p>
      <w:pPr>
        <w:spacing w:after="120" w:line="276"/>
      </w:pPr>
      <w:r>
        <w:rPr>
          <w:b/>
          <w:bCs/>
        </w:rPr>
        <w:t xml:space="preserve">Society-priced costs: </w:t>
      </w:r>
      <w:r>
        <w:t xml:space="preserve">Operating inputs whose price is set by human institutions rather than physics — land, permits, interconnection, litigation, political goodwill. They rise with scale on Earth and largely vanish off-planet, where permission attaches to the gateway rather than the complex.</w:t>
      </w:r>
    </w:p>
    <w:p>
      <w:pPr>
        <w:spacing w:after="120" w:line="276"/>
      </w:pPr>
      <w:r>
        <w:rPr>
          <w:b/>
          <w:bCs/>
        </w:rPr>
        <w:t xml:space="preserve">Threshold-model argument: </w:t>
      </w:r>
      <w:r>
        <w:t xml:space="preserve">The proposition that once a base model crosses the capability needed to run verified improvement loops, a smarter starting model confers only a transient head start of some number of loops, and durable advantage shifts to hardware doubling time and industrial closure.</w:t>
      </w:r>
    </w:p>
    <w:p>
      <w:pPr>
        <w:spacing w:after="120" w:line="276"/>
      </w:pPr>
      <w:r>
        <w:rPr>
          <w:b/>
          <w:bCs/>
        </w:rPr>
        <w:t xml:space="preserve">Architectural convergence: </w:t>
      </w:r>
      <w:r>
        <w:t xml:space="preserve">The point at which the marginal value of a further design improvement falls below the marginal value of another deployed node. Past it, intelligence is produced like a commodity, and growth is deployment-limited — set by energy, physical efficiency, and collector area rather than by discovery.</w:t>
      </w:r>
    </w:p>
    <w:p>
      <w:pPr>
        <w:spacing w:after="120" w:line="276"/>
      </w:pPr>
      <w:r>
        <w:rPr>
          <w:b/>
          <w:bCs/>
        </w:rPr>
        <w:t xml:space="preserve">Paradigm-sensitivity split: </w:t>
      </w:r>
      <w:r>
        <w:t xml:space="preserve">The division of the industrial stack into paradigm-invariant layers (energy, labor, transport, materials), which no compute-paradigm shift can strand, and the paradigm-specific fabrication layer, where stranding and leapfrog risk concentrate.</w:t>
      </w:r>
    </w:p>
    <w:p>
      <w:pPr>
        <w:spacing w:after="120" w:line="276"/>
      </w:pPr>
      <w:r>
        <w:rPr>
          <w:b/>
          <w:bCs/>
        </w:rPr>
        <w:t xml:space="preserve">Retooling speed: </w:t>
      </w:r>
      <w:r>
        <w:t xml:space="preserve">The time a manufacturing complex needs to reconfigure for a new technology paradigm; alongside hardware doubling time, a first-class competitive metric, and the hedge that general-purpose robotic construction provides against being leapfrogged.</w:t>
      </w:r>
    </w:p>
    <w:p>
      <w:pPr>
        <w:spacing w:after="120" w:line="276"/>
      </w:pPr>
      <w:r>
        <w:rPr>
          <w:b/>
          <w:bCs/>
        </w:rPr>
        <w:t xml:space="preserve">Physical-process data: </w:t>
      </w:r>
      <w:r>
        <w:t xml:space="preserve">Training-relevant data generated only by operating physical industry — test telemetry, process parameters, failure archives, fleet and manipulation data. Unlike public text, it cannot be scraped, is partly fenced by export control, and constitutes the exhaust of the physical loop.</w:t>
      </w:r>
    </w:p>
    <w:p>
      <w:pPr>
        <w:spacing w:after="120" w:line="276"/>
      </w:pPr>
      <w:r>
        <w:rPr>
          <w:b/>
          <w:bCs/>
        </w:rPr>
        <w:t xml:space="preserve">Data-closure ratio (κ_D): </w:t>
      </w:r>
      <w:r>
        <w:t xml:space="preserve">The fraction of training-relevant data a complex generates internally versus must acquire externally; the data-layer analogue of the industrial closure ratio κ.</w:t>
      </w:r>
    </w:p>
    <w:p>
      <w:pPr>
        <w:spacing w:after="120" w:line="276"/>
      </w:pPr>
      <w:r>
        <w:rPr>
          <w:b/>
          <w:bCs/>
        </w:rPr>
        <w:t xml:space="preserve">Unified build record: </w:t>
      </w:r>
      <w:r>
        <w:t xml:space="preserve">A per-unit data structure linking design intent (as designed), production parameters (as built), and operational telemetry (as deployed). The integration layer that makes physical-process data causally trainable — the quality dimension of κ_D.</w:t>
      </w:r>
    </w:p>
    <w:p>
      <w:pPr>
        <w:spacing w:after="120" w:line="276"/>
      </w:pPr>
      <w:r>
        <w:rPr>
          <w:b/>
          <w:bCs/>
        </w:rPr>
        <w:t xml:space="preserve">Vitamin parts: </w:t>
      </w:r>
      <w:r>
        <w:t xml:space="preserve">The residual few percent of a self-replicating system's inputs — microelectronics, bearings, precision instruments — that resist local production and must be imported. The NASA 1980 term for the closure gap; achieving the last increment of closure requires disproportionate mass throughput.</w:t>
      </w:r>
    </w:p>
    <w:p>
      <w:pPr>
        <w:spacing w:after="120" w:line="276"/>
      </w:pPr>
      <w:r>
        <w:rPr>
          <w:b/>
          <w:bCs/>
        </w:rPr>
        <w:t xml:space="preserve">Coasean boundary: </w:t>
      </w:r>
      <w:r>
        <w:t xml:space="preserve">The organizational size at which internal coordination costs equal market transaction costs, setting the efficient limit of integration. AI-driven coordination lowers the internal term and expands the boundary; capital-bearing market interfaces set the external term.</w:t>
      </w:r>
    </w:p>
    <w:p>
      <w:pPr>
        <w:spacing w:after="120" w:line="276"/>
      </w:pPr>
      <w:r>
        <w:rPr>
          <w:b/>
          <w:bCs/>
        </w:rPr>
        <w:t xml:space="preserve">Gateway leverage: </w:t>
      </w:r>
      <w:r>
        <w:t xml:space="preserve">The enforceable governance authority concentrated at the points a space complex still depends on — launch, spectrum, export control, financing. Proportional to (1 − κ) and expiring as closure completes.</w:t>
      </w:r>
    </w:p>
    <w:p>
      <w:pPr>
        <w:spacing w:after="120" w:line="276"/>
      </w:pPr>
      <w:r>
        <w:rPr>
          <w:b/>
          <w:bCs/>
        </w:rPr>
        <w:t xml:space="preserve">Minimum cut set: </w:t>
      </w:r>
      <w:r>
        <w:t xml:space="preserve">A smallest combination of imported inputs whose loss collapses the industrial network; the vector-closure generalization of the clock-setting component.</w:t>
      </w:r>
    </w:p>
    <w:p>
      <w:pPr>
        <w:spacing w:after="120" w:line="276"/>
      </w:pPr>
      <w:r>
        <w:rPr>
          <w:b/>
          <w:bCs/>
        </w:rPr>
        <w:t xml:space="preserve">Likelihood ratio (of evidence): </w:t>
      </w:r>
      <w:r>
        <w:t xml:space="preserve">How much more probable an observation is under one hypothesis than under its competitors. Evidence supports the space-industrial thesis only to the extent it is better predicted by that thesis than by ordinary vertical integration or supply-chain hedging.</w:t>
      </w:r>
    </w:p>
    <w:p>
      <w:pPr>
        <w:pStyle w:val="Heading1"/>
      </w:pPr>
      <w:r>
        <w:t xml:space="preserve">Sources</w:t>
      </w:r>
    </w:p>
    <w:p>
      <w:pPr>
        <w:pStyle w:val="Heading2"/>
      </w:pPr>
      <w:r>
        <w:t xml:space="preserve">Primary statements</w:t>
      </w:r>
    </w:p>
    <w:p>
      <w:pPr>
        <w:spacing w:after="20"/>
      </w:pPr>
      <w:r>
        <w:t xml:space="preserve">1. SpaceX, “Mars &amp; Beyond: A City on Mars.” https://www.spacex.com/humanspaceflight/mars</w:t>
      </w:r>
    </w:p>
    <w:p>
      <w:pPr>
        <w:spacing w:after="140"/>
        <w:ind w:left="360"/>
      </w:pPr>
      <w:r>
        <w:rPr>
          <w:i/>
          <w:iCs/>
          <w:color w:val="595959"/>
          <w:sz w:val="20"/>
          <w:szCs w:val="20"/>
        </w:rPr>
        <w:t xml:space="preserve">SpaceX states that establishing a self-sufficient city on Mars will require large-scale cargo and population transfer.</w:t>
      </w:r>
    </w:p>
    <w:p>
      <w:pPr>
        <w:spacing w:after="20"/>
      </w:pPr>
      <w:r>
        <w:t xml:space="preserve">2. Tesla, “Master Plan Part 3.” https://www.tesla.com/master-plan-part-3</w:t>
      </w:r>
    </w:p>
    <w:p>
      <w:pPr>
        <w:spacing w:after="140"/>
        <w:ind w:left="360"/>
      </w:pPr>
      <w:r>
        <w:rPr>
          <w:i/>
          <w:iCs/>
          <w:color w:val="595959"/>
          <w:sz w:val="20"/>
          <w:szCs w:val="20"/>
        </w:rPr>
        <w:t xml:space="preserve">Tesla outlines a proposed path to a sustainable global energy economy through electrification, renewable generation, and storage.</w:t>
      </w:r>
    </w:p>
    <w:p>
      <w:pPr>
        <w:spacing w:after="20"/>
      </w:pPr>
      <w:r>
        <w:t xml:space="preserve">3. xAI, “Company: Accelerating Scientific Discovery.” https://x.ai/company</w:t>
      </w:r>
    </w:p>
    <w:p>
      <w:pPr>
        <w:spacing w:after="140"/>
        <w:ind w:left="360"/>
      </w:pPr>
      <w:r>
        <w:rPr>
          <w:i/>
          <w:iCs/>
          <w:color w:val="595959"/>
          <w:sz w:val="20"/>
          <w:szCs w:val="20"/>
        </w:rPr>
        <w:t xml:space="preserve">xAI describes its mission as accelerating scientific discovery and extending what humanity can know and do.</w:t>
      </w:r>
    </w:p>
    <w:p>
      <w:pPr>
        <w:spacing w:after="20"/>
      </w:pPr>
      <w:r>
        <w:t xml:space="preserve">4. NASA, “Overview: In-Situ Resource Utilization.” https://www.nasa.gov/overview-in-situ-resource-utilization/</w:t>
      </w:r>
    </w:p>
    <w:p>
      <w:pPr>
        <w:spacing w:after="140"/>
        <w:ind w:left="360"/>
      </w:pPr>
      <w:r>
        <w:rPr>
          <w:i/>
          <w:iCs/>
          <w:color w:val="595959"/>
          <w:sz w:val="20"/>
          <w:szCs w:val="20"/>
        </w:rPr>
        <w:t xml:space="preserve">NASA describes technologies for using lunar resources to produce water, fuel, supplies, and construction capability.</w:t>
      </w:r>
    </w:p>
    <w:p>
      <w:pPr>
        <w:spacing w:after="20"/>
      </w:pPr>
      <w:r>
        <w:t xml:space="preserve">5. NASA, “Lunar Surface Technology.” https://www.nasa.gov/lunar-surface-technology/</w:t>
      </w:r>
    </w:p>
    <w:p>
      <w:pPr>
        <w:spacing w:after="140"/>
        <w:ind w:left="360"/>
      </w:pPr>
      <w:r>
        <w:rPr>
          <w:i/>
          <w:iCs/>
          <w:color w:val="595959"/>
          <w:sz w:val="20"/>
          <w:szCs w:val="20"/>
        </w:rPr>
        <w:t xml:space="preserve">NASA describes ISRU, excavation, infrastructure construction, power, robotics, and autonomy as key lunar capabilities.</w:t>
      </w:r>
    </w:p>
    <w:p>
      <w:pPr>
        <w:pStyle w:val="Heading2"/>
      </w:pPr>
      <w:r>
        <w:t xml:space="preserve">Reporting on the 2026 developments</w:t>
      </w:r>
    </w:p>
    <w:p>
      <w:pPr>
        <w:spacing w:after="20"/>
      </w:pPr>
      <w:r>
        <w:t xml:space="preserve">6. Reuters (via Yahoo Finance), March 14, 2026: “Musk says Tesla's mega AI chip fab project to launch in seven days.”</w:t>
      </w:r>
    </w:p>
    <w:p>
      <w:pPr>
        <w:spacing w:after="140"/>
        <w:ind w:left="360"/>
      </w:pPr>
      <w:r>
        <w:rPr>
          <w:i/>
          <w:iCs/>
          <w:color w:val="595959"/>
          <w:sz w:val="20"/>
          <w:szCs w:val="20"/>
        </w:rPr>
        <w:t xml:space="preserve">Confirms the Terafab name, the AI5 chip program, existing TSMC and Samsung partnerships, and earlier remarks about a possible Intel collaboration.</w:t>
      </w:r>
    </w:p>
    <w:p>
      <w:pPr>
        <w:spacing w:after="20"/>
      </w:pPr>
      <w:r>
        <w:t xml:space="preserve">7. CBS News, March 23, 2026: “What is Elon Musk's Terafab chip project?”</w:t>
      </w:r>
    </w:p>
    <w:p>
      <w:pPr>
        <w:spacing w:after="140"/>
        <w:ind w:left="360"/>
      </w:pPr>
      <w:r>
        <w:rPr>
          <w:i/>
          <w:iCs/>
          <w:color w:val="595959"/>
          <w:sz w:val="20"/>
          <w:szCs w:val="20"/>
        </w:rPr>
        <w:t xml:space="preserve">Summarizes the Austin announcement and the stated purpose of supplying chips for vehicles, spacecraft, and Optimus robots.</w:t>
      </w:r>
    </w:p>
    <w:p>
      <w:pPr>
        <w:spacing w:after="20"/>
      </w:pPr>
      <w:r>
        <w:t xml:space="preserve">8. Proactive Investors (via Yahoo Finance), March 2026: “Musk says Tesla, SpaceX to build $20B Terafab chip plant in Texas.”</w:t>
      </w:r>
    </w:p>
    <w:p>
      <w:pPr>
        <w:spacing w:after="140"/>
        <w:ind w:left="360"/>
      </w:pPr>
      <w:r>
        <w:rPr>
          <w:i/>
          <w:iCs/>
          <w:color w:val="595959"/>
          <w:sz w:val="20"/>
          <w:szCs w:val="20"/>
        </w:rPr>
        <w:t xml:space="preserve">Reports the 2-nanometer target, dual chip lines for terrestrial and space use, and the 2028 mass-production goal.</w:t>
      </w:r>
    </w:p>
    <w:p>
      <w:pPr>
        <w:spacing w:after="20"/>
      </w:pPr>
      <w:r>
        <w:t xml:space="preserve">9. CNBC, May 6, 2026: “Elon Musk's Terafab chip factory in Texas could cost up to $119 billion, filing shows.”</w:t>
      </w:r>
    </w:p>
    <w:p>
      <w:pPr>
        <w:spacing w:after="140"/>
        <w:ind w:left="360"/>
      </w:pPr>
      <w:r>
        <w:rPr>
          <w:i/>
          <w:iCs/>
          <w:color w:val="595959"/>
          <w:sz w:val="20"/>
          <w:szCs w:val="20"/>
        </w:rPr>
        <w:t xml:space="preserve">Reports the filing-based cost ceiling, the ~$3B research fab, SpaceX's lead role in the scaled phase, and public-offering preparations.</w:t>
      </w:r>
    </w:p>
    <w:p>
      <w:pPr>
        <w:spacing w:after="20"/>
      </w:pPr>
      <w:r>
        <w:t xml:space="preserve">10. Teslarati and Electrek, March 22, 2026: launch coverage and critical commentary.</w:t>
      </w:r>
    </w:p>
    <w:p>
      <w:pPr>
        <w:spacing w:after="140"/>
        <w:ind w:left="360"/>
      </w:pPr>
      <w:r>
        <w:rPr>
          <w:i/>
          <w:iCs/>
          <w:color w:val="595959"/>
          <w:sz w:val="20"/>
          <w:szCs w:val="20"/>
        </w:rPr>
        <w:t xml:space="preserve">Together report the joint-venture structure, the SpaceX–xAI merger, the D3 orbital chip line, wafer-start ambitions, the Optimus construction role, and skeptical assessments of feasibility.</w:t>
      </w:r>
    </w:p>
    <w:p>
      <w:pPr>
        <w:spacing w:after="20"/>
      </w:pPr>
      <w:r>
        <w:t xml:space="preserve">11. SpaceXAI, “Introducing Grok 4.5,” July 2026, with contemporaneous coverage by Axios and others.</w:t>
      </w:r>
    </w:p>
    <w:p>
      <w:pPr>
        <w:spacing w:after="140"/>
        <w:ind w:left="360"/>
      </w:pPr>
      <w:r>
        <w:rPr>
          <w:i/>
          <w:iCs/>
          <w:color w:val="595959"/>
          <w:sz w:val="20"/>
          <w:szCs w:val="20"/>
        </w:rPr>
        <w:t xml:space="preserve">Documents the in-house engineering-focused model trained in SpaceXAI's data centers, its use in internal engineering work, and reports of SpaceX engineering data feeding subsequent training runs.</w:t>
      </w:r>
    </w:p>
    <w:p>
      <w:pPr>
        <w:spacing w:after="20"/>
      </w:pPr>
      <w:r>
        <w:t xml:space="preserve">12. VentureBeat and Northflank, July 2026: coverage of Moonshot AI's Kimi K3 release.</w:t>
      </w:r>
    </w:p>
    <w:p>
      <w:pPr>
        <w:spacing w:after="140"/>
        <w:ind w:left="360"/>
      </w:pPr>
      <w:r>
        <w:rPr>
          <w:i/>
          <w:iCs/>
          <w:color w:val="595959"/>
          <w:sz w:val="20"/>
          <w:szCs w:val="20"/>
        </w:rPr>
        <w:t xml:space="preserve">Report a 2.8-trillion-parameter open-weight model benchmarking near the proprietary frontier on agentic and coding tasks, with full weights scheduled for public release in late July 2026.</w:t>
      </w:r>
    </w:p>
    <w:p>
      <w:pPr>
        <w:spacing w:after="20"/>
      </w:pPr>
      <w:r>
        <w:t xml:space="preserve">13. Public statements and reporting, July 2026: SpaceX engineering data entering the ~2-trillion-parameter supplemental training run (Teslarati; Yahoo Tech; contemporaneous posts on X).</w:t>
      </w:r>
    </w:p>
    <w:p>
      <w:pPr>
        <w:spacing w:after="140"/>
        <w:ind w:left="360"/>
      </w:pPr>
      <w:r>
        <w:rPr>
          <w:i/>
          <w:iCs/>
          <w:color w:val="595959"/>
          <w:sz w:val="20"/>
          <w:szCs w:val="20"/>
        </w:rPr>
        <w:t xml:space="preserve">Musk states SpaceX's engineering corpus, excluding ITAR-restricted material, will enter supplemental training of the next in-house model — the same mechanism used with acquired coding data for the prior model. Reporting notes the exclusion likely covers propulsion and guidance-and-control detail.</w:t>
      </w:r>
    </w:p>
    <w:p>
      <w:pPr>
        <w:spacing w:after="20"/>
      </w:pPr>
      <w:r>
        <w:t xml:space="preserve">14. Connecting The Dots (video commentary), 2026: overview of Tesla's internal engineering systems.</w:t>
      </w:r>
    </w:p>
    <w:p>
      <w:pPr>
        <w:spacing w:after="140"/>
        <w:ind w:left="360"/>
      </w:pPr>
      <w:r>
        <w:rPr>
          <w:i/>
          <w:iCs/>
          <w:color w:val="595959"/>
          <w:sz w:val="20"/>
          <w:szCs w:val="20"/>
        </w:rPr>
        <w:t xml:space="preserve">Commentary-level source. Its integrated-systems core is corroborated by items 15–17; its specific claims of a “Tesla One” branding and an internal manufacturing-CAD AI lack independent confirmation and are excluded from this document's claims.</w:t>
      </w:r>
    </w:p>
    <w:p>
      <w:pPr>
        <w:spacing w:after="20"/>
      </w:pPr>
      <w:r>
        <w:t xml:space="preserve">15. Jay Vijayan, on-record interviews and profiles (The Neon Show podcast; Indiaspora; Forbes India).</w:t>
      </w:r>
    </w:p>
    <w:p>
      <w:pPr>
        <w:spacing w:after="140"/>
        <w:ind w:left="360"/>
      </w:pPr>
      <w:r>
        <w:rPr>
          <w:i/>
          <w:iCs/>
          <w:color w:val="595959"/>
          <w:sz w:val="20"/>
          <w:szCs w:val="20"/>
        </w:rPr>
        <w:t xml:space="preserve">Tesla's first CIO describes building the custom Warp enterprise system in about four months in 2012 after the company rejected off-the-shelf ERP, and its continuous extension thereafter.</w:t>
      </w:r>
    </w:p>
    <w:p>
      <w:pPr>
        <w:spacing w:after="20"/>
      </w:pPr>
      <w:r>
        <w:t xml:space="preserve">16. Stack Overflow engineering blog, “Building the software that helps build SpaceX,” 2021; corroborating former-engineer accounts.</w:t>
      </w:r>
    </w:p>
    <w:p>
      <w:pPr>
        <w:spacing w:after="140"/>
        <w:ind w:left="360"/>
      </w:pPr>
      <w:r>
        <w:rPr>
          <w:i/>
          <w:iCs/>
          <w:color w:val="595959"/>
          <w:sz w:val="20"/>
          <w:szCs w:val="20"/>
        </w:rPr>
        <w:t xml:space="preserve">Documents SpaceX's own internal ERP, also named Warp Drive, and the in-house manufacturing-execution systems built alongside it.</w:t>
      </w:r>
    </w:p>
    <w:p>
      <w:pPr>
        <w:spacing w:after="20"/>
      </w:pPr>
      <w:r>
        <w:t xml:space="preserve">17. Tesla AI Day presentations, 2021–2022.</w:t>
      </w:r>
    </w:p>
    <w:p>
      <w:pPr>
        <w:spacing w:after="140"/>
        <w:ind w:left="360"/>
      </w:pPr>
      <w:r>
        <w:rPr>
          <w:i/>
          <w:iCs/>
          <w:color w:val="595959"/>
          <w:sz w:val="20"/>
          <w:szCs w:val="20"/>
        </w:rPr>
        <w:t xml:space="preserve">First-party documentation of fleet-learning infrastructure: an occupancy network trained on 1.4 billion fleet frames and auto-labeling replacing roughly five million hours of manual annotation.</w:t>
      </w:r>
    </w:p>
    <w:p>
      <w:pPr>
        <w:pStyle w:val="Heading2"/>
      </w:pPr>
      <w:r>
        <w:t xml:space="preserve">Parameter literature</w:t>
      </w:r>
    </w:p>
    <w:p>
      <w:pPr>
        <w:spacing w:after="20"/>
      </w:pPr>
      <w:r>
        <w:t xml:space="preserve">18. D. Jordan et al., “Compendium of Photovoltaic Degradation Rates,” Progress in Photovoltaics 24(7), 2016.</w:t>
      </w:r>
    </w:p>
    <w:p>
      <w:pPr>
        <w:spacing w:after="140"/>
        <w:ind w:left="360"/>
      </w:pPr>
      <w:r>
        <w:rPr>
          <w:i/>
          <w:iCs/>
          <w:color w:val="595959"/>
          <w:sz w:val="20"/>
          <w:szCs w:val="20"/>
        </w:rPr>
        <w:t xml:space="preserve">Meta-study of more than 11,000 measured degradation rates; terrestrial crystalline-silicon median 0.5–0.6% per year.</w:t>
      </w:r>
    </w:p>
    <w:p>
      <w:pPr>
        <w:spacing w:after="20"/>
      </w:pPr>
      <w:r>
        <w:t xml:space="preserve">19. Peer-reviewed GEO telemetry study of solar-array degradation across eleven satellites, Int. J. Space Science and Engineering, 2018.</w:t>
      </w:r>
    </w:p>
    <w:p>
      <w:pPr>
        <w:spacing w:after="140"/>
        <w:ind w:left="360"/>
      </w:pPr>
      <w:r>
        <w:rPr>
          <w:i/>
          <w:iCs/>
          <w:color w:val="595959"/>
          <w:sz w:val="20"/>
          <w:szCs w:val="20"/>
        </w:rPr>
        <w:t xml:space="preserve">Gallium-arsenide arrays 0.44–1.03% per year; silicon arrays 0.71–1.69% per year.</w:t>
      </w:r>
    </w:p>
    <w:p>
      <w:pPr>
        <w:spacing w:after="20"/>
      </w:pPr>
      <w:r>
        <w:t xml:space="preserve">20. Fraunhofer ISE, Photovoltaics Report (2026 update); Bhandari et al., Renewable and Sustainable Energy Reviews 47, 2015.</w:t>
      </w:r>
    </w:p>
    <w:p>
      <w:pPr>
        <w:spacing w:after="140"/>
        <w:ind w:left="360"/>
      </w:pPr>
      <w:r>
        <w:rPr>
          <w:i/>
          <w:iCs/>
          <w:color w:val="595959"/>
          <w:sz w:val="20"/>
          <w:szCs w:val="20"/>
        </w:rPr>
        <w:t xml:space="preserve">Energy payback time roughly 0.9–1.1 years in Europe; harmonized range 1.0–4.1 years across technologies.</w:t>
      </w:r>
    </w:p>
    <w:p>
      <w:pPr>
        <w:spacing w:after="20"/>
      </w:pPr>
      <w:r>
        <w:t xml:space="preserve">21. M. Hecht, J. Hoffman et al., MOXIE results, Science Advances, 2022; NASA NTRS carbothermal ISRU reports, 2024–25.</w:t>
      </w:r>
    </w:p>
    <w:p>
      <w:pPr>
        <w:spacing w:after="140"/>
        <w:ind w:left="360"/>
      </w:pPr>
      <w:r>
        <w:rPr>
          <w:i/>
          <w:iCs/>
          <w:color w:val="595959"/>
          <w:sz w:val="20"/>
          <w:szCs w:val="20"/>
        </w:rPr>
        <w:t xml:space="preserve">Oxygen produced on Mars at gram-per-hour scale at ≥98% purity; lunar oxygen extraction demonstrated at ~20% yield, TRL 5/6.</w:t>
      </w:r>
    </w:p>
    <w:p>
      <w:pPr>
        <w:spacing w:after="20"/>
      </w:pPr>
      <w:r>
        <w:t xml:space="preserve">22. Independent satellite tracking and reporting (J. McDowell, Harvard-Smithsonian CfA), 2020–2026.</w:t>
      </w:r>
    </w:p>
    <w:p>
      <w:pPr>
        <w:spacing w:after="140"/>
        <w:ind w:left="360"/>
      </w:pPr>
      <w:r>
        <w:rPr>
          <w:i/>
          <w:iCs/>
          <w:color w:val="595959"/>
          <w:sz w:val="20"/>
          <w:szCs w:val="20"/>
        </w:rPr>
        <w:t xml:space="preserve">Observed Starlink failure rates near 2.5–3% and deorbit statistics for the aging constellation; the basis for the δ discrete-failure anchor.</w:t>
      </w:r>
    </w:p>
    <w:p>
      <w:pPr>
        <w:pStyle w:val="Heading2"/>
      </w:pPr>
      <w:r>
        <w:t xml:space="preserve">Closure-engineering literature</w:t>
      </w:r>
    </w:p>
    <w:p>
      <w:pPr>
        <w:spacing w:after="20"/>
      </w:pPr>
      <w:r>
        <w:t xml:space="preserve">23. NASA, Advanced Automation for Space Missions (NASA CP-2255), 1980 NASA/ASEE summer study.</w:t>
      </w:r>
    </w:p>
    <w:p>
      <w:pPr>
        <w:spacing w:after="140"/>
        <w:ind w:left="360"/>
      </w:pPr>
      <w:r>
        <w:rPr>
          <w:i/>
          <w:iCs/>
          <w:color w:val="595959"/>
          <w:sz w:val="20"/>
          <w:szCs w:val="20"/>
        </w:rPr>
        <w:t xml:space="preserve">Designs a self-replicating lunar factory growing from a ~100-ton seed, estimates ~1-year replication and 90–96% attainable materials closure, and introduces quantitative closure analysis.</w:t>
      </w:r>
    </w:p>
    <w:p>
      <w:pPr>
        <w:spacing w:after="20"/>
      </w:pPr>
      <w:r>
        <w:t xml:space="preserve">24. R. A. Freitas Jr. and R. C. Merkle, Kinematic Self-Replicating Machines, Landes Bioscience, 2004.</w:t>
      </w:r>
    </w:p>
    <w:p>
      <w:pPr>
        <w:spacing w:after="140"/>
        <w:ind w:left="360"/>
      </w:pPr>
      <w:r>
        <w:rPr>
          <w:i/>
          <w:iCs/>
          <w:color w:val="595959"/>
          <w:sz w:val="20"/>
          <w:szCs w:val="20"/>
        </w:rPr>
        <w:t xml:space="preserve">Comprehensive survey of the design space for physical self-replicating systems.</w:t>
      </w:r>
    </w:p>
    <w:p>
      <w:pPr>
        <w:pStyle w:val="Heading2"/>
      </w:pPr>
      <w:r>
        <w:t xml:space="preserve">Economics and progress-rate literature</w:t>
      </w:r>
    </w:p>
    <w:p>
      <w:pPr>
        <w:spacing w:after="20"/>
      </w:pPr>
      <w:r>
        <w:t xml:space="preserve">25. R. H. Coase, “The Nature of the Firm,” Economica 4(16), 1937.</w:t>
      </w:r>
    </w:p>
    <w:p>
      <w:pPr>
        <w:spacing w:after="140"/>
        <w:ind w:left="360"/>
      </w:pPr>
      <w:r>
        <w:rPr>
          <w:i/>
          <w:iCs/>
          <w:color w:val="595959"/>
          <w:sz w:val="20"/>
          <w:szCs w:val="20"/>
        </w:rPr>
        <w:t xml:space="preserve">The transaction-cost account of firm boundaries used in Section 10's integration-versus-modularity analysis.</w:t>
      </w:r>
    </w:p>
    <w:p>
      <w:pPr>
        <w:spacing w:after="20"/>
      </w:pPr>
      <w:r>
        <w:t xml:space="preserve">26. Epoch AI (Ho et al.), “Algorithmic Progress in Language Models,” 2024.</w:t>
      </w:r>
    </w:p>
    <w:p>
      <w:pPr>
        <w:spacing w:after="140"/>
        <w:ind w:left="360"/>
      </w:pPr>
      <w:r>
        <w:rPr>
          <w:i/>
          <w:iCs/>
          <w:color w:val="595959"/>
          <w:sz w:val="20"/>
          <w:szCs w:val="20"/>
        </w:rPr>
        <w:t xml:space="preserve">Estimates that the compute required for fixed performance halves roughly every eight months — the ~3×-per-year efficiency compounding rate cited in Section 16.</w:t>
      </w:r>
    </w:p>
    <w:p>
      <w:pPr>
        <w:pStyle w:val="Heading2"/>
      </w:pPr>
      <w:r>
        <w:t xml:space="preserve">Primary regulatory filings</w:t>
      </w:r>
    </w:p>
    <w:p>
      <w:pPr>
        <w:spacing w:after="20"/>
      </w:pPr>
      <w:r>
        <w:t xml:space="preserve">27. SpaceX, Form S-1 registration statement, filed with the U.S. Securities and Exchange Commission, May 20, 2026 (with contemporaneous analysis by Electrek, Tom's Hardware, Forbes, and KBTX).</w:t>
      </w:r>
    </w:p>
    <w:p>
      <w:pPr>
        <w:spacing w:after="140"/>
        <w:ind w:left="360"/>
      </w:pPr>
      <w:r>
        <w:rPr>
          <w:i/>
          <w:iCs/>
          <w:color w:val="595959"/>
          <w:sz w:val="20"/>
          <w:szCs w:val="20"/>
        </w:rPr>
        <w:t xml:space="preserve">This document's first primary corporate source on Terafab: a general framework with Tesla; timelines, milestones, and capital expenditures not yet determined; no binding obligations on Tesla or Intel (which joined April 2026); a general warning that some initiatives may not achieve commercial viability; stated orbital data-center plans from as early as 2028; and an acknowledged present shortfall in chip supply for orbital 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Recursive Industrial Intelligence · Second Edition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352"/>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3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2026-07-27T01:24:00.245Z</dcterms:created>
  <dcterms:modified xsi:type="dcterms:W3CDTF">2026-07-27T01:24:00.261Z</dcterms:modified>
</cp:coreProperties>
</file>

<file path=docProps/custom.xml><?xml version="1.0" encoding="utf-8"?>
<Properties xmlns="http://schemas.openxmlformats.org/officeDocument/2006/custom-properties" xmlns:vt="http://schemas.openxmlformats.org/officeDocument/2006/docPropsVTypes"/>
</file>