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Referencia de estilos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7"/>
        <w:szCs w:val="17"/>
      </w:rPr>
      <w:t xml:space="preserve">Dirección General de Aeronáutica Civil  •  Página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7"/>
        <w:szCs w:val="17"/>
      </w:rPr>
      <w:t xml:space="preserve">DGAC  |  Sistema de trámites  |  Manual de usuario externo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Subtitle"/>
    <w:qFormat/>
    <w:pPr>
      <w:spacing w:before="480" w:after="160"/>
      <w:jc w:val="center"/>
    </w:pPr>
    <w:rPr>
      <w:rFonts w:ascii="Calibri" w:cs="Calibri" w:eastAsia="Calibri" w:hAnsi="Calibri"/>
      <w:b/>
      <w:bCs/>
      <w:color w:val="0B2545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color w:val="2E74B5"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Caption">
    <w:name w:val="Caption"/>
    <w:basedOn w:val="Normal"/>
    <w:next w:val="Normal"/>
    <w:qFormat/>
    <w:pPr>
      <w:spacing w:after="140"/>
      <w:jc w:val="center"/>
    </w:pPr>
    <w:rPr>
      <w:rFonts w:ascii="Calibri" w:cs="Calibri" w:eastAsia="Calibri" w:hAnsi="Calibri"/>
      <w:i/>
      <w:iC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2026-06-22T21:51:04.124Z</dcterms:created>
  <dcterms:modified xsi:type="dcterms:W3CDTF">2026-06-22T21:51:04.124Z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