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117207</w:t>
      </w:r>
      <w:r w:rsidDel="00000000" w:rsidR="00000000" w:rsidRPr="00000000">
        <w:rPr>
          <w:rtl w:val="0"/>
        </w:rPr>
      </w:r>
    </w:p>
    <w:p w:rsidR="00000000" w:rsidDel="00000000" w:rsidP="00000000" w:rsidRDefault="00000000" w:rsidRPr="00000000" w14:paraId="00000002">
      <w:pPr>
        <w:jc w:val="both"/>
        <w:rPr>
          <w:highlight w:val="white"/>
        </w:rPr>
      </w:pPr>
      <w:r w:rsidDel="00000000" w:rsidR="00000000" w:rsidRPr="00000000">
        <w:rPr>
          <w:rtl w:val="0"/>
        </w:rPr>
        <w:t xml:space="preserve">HD 117207 is a 1.04 M</w:t>
      </w:r>
      <w:r w:rsidDel="00000000" w:rsidR="00000000" w:rsidRPr="00000000">
        <w:rPr>
          <w:vertAlign w:val="subscript"/>
          <w:rtl w:val="0"/>
        </w:rPr>
        <w:t xml:space="preserve">☉</w:t>
      </w:r>
      <w:r w:rsidDel="00000000" w:rsidR="00000000" w:rsidRPr="00000000">
        <w:rPr>
          <w:rtl w:val="0"/>
        </w:rPr>
        <w:t xml:space="preserve">, G8 IV star</w:t>
      </w:r>
      <w:r w:rsidDel="00000000" w:rsidR="00000000" w:rsidRPr="00000000">
        <w:rPr>
          <w:color w:val="0000ff"/>
          <w:vertAlign w:val="superscript"/>
          <w:rtl w:val="0"/>
        </w:rPr>
        <w:t xml:space="preserve">59</w:t>
      </w:r>
      <w:r w:rsidDel="00000000" w:rsidR="00000000" w:rsidRPr="00000000">
        <w:rPr>
          <w:rtl w:val="0"/>
        </w:rPr>
        <w:t xml:space="preserve">. Based on 42 RV HIRES measurements obtained between 1997 and 2004, a study performed in 2005 (hereafter M05)</w:t>
      </w:r>
      <w:r w:rsidDel="00000000" w:rsidR="00000000" w:rsidRPr="00000000">
        <w:rPr>
          <w:color w:val="0000ff"/>
          <w:vertAlign w:val="superscript"/>
          <w:rtl w:val="0"/>
        </w:rPr>
        <w:t xml:space="preserve">59</w:t>
      </w:r>
      <w:r w:rsidDel="00000000" w:rsidR="00000000" w:rsidRPr="00000000">
        <w:rPr>
          <w:rtl w:val="0"/>
        </w:rPr>
        <w:t xml:space="preserve"> reported a GP signal with a period of 2627 ± 63.51 days, a minimum mass of 2.06 M</w:t>
      </w:r>
      <w:r w:rsidDel="00000000" w:rsidR="00000000" w:rsidRPr="00000000">
        <w:rPr>
          <w:vertAlign w:val="subscript"/>
          <w:rtl w:val="0"/>
        </w:rPr>
        <w:t xml:space="preserve">Jup</w:t>
      </w:r>
      <w:r w:rsidDel="00000000" w:rsidR="00000000" w:rsidRPr="00000000">
        <w:rPr>
          <w:rtl w:val="0"/>
        </w:rPr>
        <w:t xml:space="preserve"> and an eccentricity of 0.16 ± 0.05. The CH survey reported a GP signal with properties close to those reported in the M05 </w:t>
      </w:r>
      <w:r w:rsidDel="00000000" w:rsidR="00000000" w:rsidRPr="00000000">
        <w:rPr>
          <w:highlight w:val="white"/>
          <w:rtl w:val="0"/>
        </w:rPr>
        <w:t xml:space="preserve">study.</w:t>
      </w:r>
    </w:p>
    <w:p w:rsidR="00000000" w:rsidDel="00000000" w:rsidP="00000000" w:rsidRDefault="00000000" w:rsidRPr="00000000" w14:paraId="00000003">
      <w:pPr>
        <w:jc w:val="both"/>
        <w:rPr/>
      </w:pPr>
      <w:r w:rsidDel="00000000" w:rsidR="00000000" w:rsidRPr="00000000">
        <w:rPr>
          <w:rtl w:val="0"/>
        </w:rPr>
        <w:t xml:space="preserve">In the present study, in addition to the M05’s dataset, 96 RV HARPS measurements obtained between 2004 and 2019 were used. DPASS and MCMC (1000 walkers and 300000 iterations) were used to fit the data. The properties of HD 117207b are close to those reported in the CH survey.</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 The properties used in the CH survey for HD 117207b are confirmed. </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1</w:t>
      </w:r>
      <w:r w:rsidDel="00000000" w:rsidR="00000000" w:rsidRPr="00000000">
        <w:rPr>
          <w:rtl w:val="0"/>
        </w:rPr>
        <w:t xml:space="preserve">17207</w:t>
      </w:r>
      <w:r w:rsidDel="00000000" w:rsidR="00000000" w:rsidRPr="00000000">
        <w:rPr>
          <w:color w:val="010101"/>
          <w:rtl w:val="0"/>
        </w:rPr>
        <w:t xml:space="preserve"> RV with DPASS. </w:t>
      </w:r>
      <w:r w:rsidDel="00000000" w:rsidR="00000000" w:rsidRPr="00000000">
        <w:rPr>
          <w:rtl w:val="0"/>
        </w:rPr>
        <w:t xml:space="preserve">Red - Hir94, green - H03, blue - H15. The blue curve shows the best fit. </w:t>
      </w:r>
      <w:r w:rsidDel="00000000" w:rsidR="00000000" w:rsidRPr="00000000">
        <w:rPr>
          <w:color w:val="010101"/>
          <w:rtl w:val="0"/>
        </w:rPr>
        <w:t xml:space="preserve">Right: fit of the HD 1</w:t>
      </w:r>
      <w:r w:rsidDel="00000000" w:rsidR="00000000" w:rsidRPr="00000000">
        <w:rPr>
          <w:rtl w:val="0"/>
        </w:rPr>
        <w:t xml:space="preserve">17207</w:t>
      </w:r>
      <w:r w:rsidDel="00000000" w:rsidR="00000000" w:rsidRPr="00000000">
        <w:rPr>
          <w:color w:val="010101"/>
          <w:rtl w:val="0"/>
        </w:rPr>
        <w:t xml:space="preserve"> RV using MCMC</w:t>
      </w:r>
      <w:r w:rsidDel="00000000" w:rsidR="00000000" w:rsidRPr="00000000">
        <w:rPr>
          <w:rtl w:val="0"/>
        </w:rPr>
        <w:t xml:space="preserve">. The black curve shows the best fit. The colorbar corresponds to the log-likelihood of the fits.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161925</wp:posOffset>
            </wp:positionV>
            <wp:extent cx="2847975" cy="192925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6"/>
                    <a:srcRect b="0" l="0" r="8392" t="8948"/>
                    <a:stretch>
                      <a:fillRect/>
                    </a:stretch>
                  </pic:blipFill>
                  <pic:spPr>
                    <a:xfrm>
                      <a:off x="0" y="0"/>
                      <a:ext cx="2847975" cy="1929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200025</wp:posOffset>
            </wp:positionV>
            <wp:extent cx="2490289" cy="1857375"/>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90289" cy="1857375"/>
                    </a:xfrm>
                    <a:prstGeom prst="rect"/>
                    <a:ln/>
                  </pic:spPr>
                </pic:pic>
              </a:graphicData>
            </a:graphic>
          </wp:anchor>
        </w:drawing>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4878225" cy="48782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78225" cy="48782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Figure 2: Corner plot of posteriors for the one-planet model MCMC fit of HD 117207 RV data.</w:t>
      </w:r>
    </w:p>
    <w:p w:rsidR="00000000" w:rsidDel="00000000" w:rsidP="00000000" w:rsidRDefault="00000000" w:rsidRPr="00000000" w14:paraId="0000000F">
      <w:pPr>
        <w:jc w:val="both"/>
        <w:rPr/>
      </w:pPr>
      <w:r w:rsidDel="00000000" w:rsidR="00000000" w:rsidRPr="00000000">
        <w:rPr>
          <w:rtl w:val="0"/>
        </w:rPr>
      </w:r>
    </w:p>
    <w:tbl>
      <w:tblPr>
        <w:tblStyle w:val="Table1"/>
        <w:tblW w:w="1069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45"/>
        <w:gridCol w:w="1650"/>
        <w:gridCol w:w="1830"/>
        <w:gridCol w:w="2400"/>
        <w:gridCol w:w="1080"/>
        <w:tblGridChange w:id="0">
          <w:tblGrid>
            <w:gridCol w:w="2490"/>
            <w:gridCol w:w="1245"/>
            <w:gridCol w:w="1650"/>
            <w:gridCol w:w="1830"/>
            <w:gridCol w:w="2400"/>
            <w:gridCol w:w="108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shd w:fill="ff9900" w:val="clear"/>
              </w:rPr>
            </w:pPr>
            <w:r w:rsidDel="00000000" w:rsidR="00000000" w:rsidRPr="00000000">
              <w:rPr>
                <w:sz w:val="18"/>
                <w:szCs w:val="18"/>
                <w:rtl w:val="0"/>
              </w:rPr>
              <w:t xml:space="preserve">[0,100]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u w:val="single"/>
              </w:rPr>
            </w:pPr>
            <w:r w:rsidDel="00000000" w:rsidR="00000000" w:rsidRPr="00000000">
              <w:rPr>
                <w:sz w:val="18"/>
                <w:szCs w:val="18"/>
                <w:rtl w:val="0"/>
              </w:rPr>
              <w:t xml:space="preserve">[2,10]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3.76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u w:val="single"/>
                <w:vertAlign w:val="subscript"/>
              </w:rPr>
            </w:pPr>
            <w:r w:rsidDel="00000000" w:rsidR="00000000" w:rsidRPr="00000000">
              <w:rPr>
                <w:sz w:val="18"/>
                <w:szCs w:val="18"/>
                <w:rtl w:val="0"/>
              </w:rPr>
              <w:t xml:space="preserve">3.76 ±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u w:val="single"/>
              </w:rPr>
            </w:pPr>
            <w:r w:rsidDel="00000000" w:rsidR="00000000" w:rsidRPr="00000000">
              <w:rPr>
                <w:sz w:val="18"/>
                <w:szCs w:val="18"/>
                <w:rtl w:val="0"/>
              </w:rPr>
              <w:t xml:space="preserve">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u w:val="single"/>
              </w:rPr>
            </w:pPr>
            <w:r w:rsidDel="00000000" w:rsidR="00000000" w:rsidRPr="00000000">
              <w:rPr>
                <w:sz w:val="18"/>
                <w:szCs w:val="18"/>
                <w:rtl w:val="0"/>
              </w:rPr>
              <w:t xml:space="preserve">[0,10]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u w:val="single"/>
              </w:rPr>
            </w:pPr>
            <w:r w:rsidDel="00000000" w:rsidR="00000000" w:rsidRPr="00000000">
              <w:rPr>
                <w:sz w:val="18"/>
                <w:szCs w:val="18"/>
                <w:rtl w:val="0"/>
              </w:rPr>
              <w:t xml:space="preserve">1.97 ± 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1.82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sz w:val="18"/>
                <w:szCs w:val="18"/>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u w:val="single"/>
              </w:rPr>
            </w:pPr>
            <w:r w:rsidDel="00000000" w:rsidR="00000000" w:rsidRPr="00000000">
              <w:rPr>
                <w:sz w:val="18"/>
                <w:szCs w:val="18"/>
                <w:rtl w:val="0"/>
              </w:rPr>
              <w:t xml:space="preserve">[0,0.95]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u w:val="single"/>
                <w:vertAlign w:val="subscript"/>
              </w:rPr>
            </w:pPr>
            <w:r w:rsidDel="00000000" w:rsidR="00000000" w:rsidRPr="00000000">
              <w:rPr>
                <w:sz w:val="18"/>
                <w:szCs w:val="18"/>
                <w:rtl w:val="0"/>
              </w:rPr>
              <w:t xml:space="preserve">0.16 ± 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Hir94: [-1,1]</w:t>
            </w:r>
          </w:p>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H03: [-18,-16]</w:t>
            </w:r>
          </w:p>
          <w:p w:rsidR="00000000" w:rsidDel="00000000" w:rsidP="00000000" w:rsidRDefault="00000000" w:rsidRPr="00000000" w14:paraId="00000032">
            <w:pPr>
              <w:widowControl w:val="0"/>
              <w:spacing w:line="240" w:lineRule="auto"/>
              <w:jc w:val="both"/>
              <w:rPr>
                <w:sz w:val="18"/>
                <w:szCs w:val="18"/>
                <w:u w:val="single"/>
              </w:rPr>
            </w:pPr>
            <w:r w:rsidDel="00000000" w:rsidR="00000000" w:rsidRPr="00000000">
              <w:rPr>
                <w:sz w:val="18"/>
                <w:szCs w:val="18"/>
                <w:rtl w:val="0"/>
              </w:rPr>
              <w:t xml:space="preserve">H15: [-18,-16]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Hir94: -0.005</w:t>
            </w:r>
          </w:p>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H03: -17.369</w:t>
            </w:r>
          </w:p>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H15: -17.353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Hir94: -0.005</w:t>
            </w:r>
            <w:r w:rsidDel="00000000" w:rsidR="00000000" w:rsidRPr="00000000">
              <w:rPr>
                <w:sz w:val="18"/>
                <w:szCs w:val="18"/>
                <w:vertAlign w:val="superscript"/>
                <w:rtl w:val="0"/>
              </w:rPr>
              <w:t xml:space="preserve"> </w:t>
            </w:r>
            <w:r w:rsidDel="00000000" w:rsidR="00000000" w:rsidRPr="00000000">
              <w:rPr>
                <w:sz w:val="18"/>
                <w:szCs w:val="18"/>
                <w:rtl w:val="0"/>
              </w:rPr>
              <w:t xml:space="preserve">± 0.001</w:t>
            </w:r>
          </w:p>
          <w:p w:rsidR="00000000" w:rsidDel="00000000" w:rsidP="00000000" w:rsidRDefault="00000000" w:rsidRPr="00000000" w14:paraId="00000037">
            <w:pPr>
              <w:widowControl w:val="0"/>
              <w:spacing w:line="240" w:lineRule="auto"/>
              <w:jc w:val="both"/>
              <w:rPr>
                <w:color w:val="010101"/>
                <w:sz w:val="18"/>
                <w:szCs w:val="18"/>
              </w:rPr>
            </w:pPr>
            <w:r w:rsidDel="00000000" w:rsidR="00000000" w:rsidRPr="00000000">
              <w:rPr>
                <w:sz w:val="18"/>
                <w:szCs w:val="18"/>
                <w:rtl w:val="0"/>
              </w:rPr>
              <w:t xml:space="preserve">H03: </w:t>
            </w:r>
            <w:r w:rsidDel="00000000" w:rsidR="00000000" w:rsidRPr="00000000">
              <w:rPr>
                <w:color w:val="010101"/>
                <w:sz w:val="18"/>
                <w:szCs w:val="18"/>
                <w:rtl w:val="0"/>
              </w:rPr>
              <w:t xml:space="preserve">-17.369</w:t>
            </w:r>
            <w:r w:rsidDel="00000000" w:rsidR="00000000" w:rsidRPr="00000000">
              <w:rPr>
                <w:color w:val="010101"/>
                <w:sz w:val="18"/>
                <w:szCs w:val="18"/>
                <w:vertAlign w:val="superscript"/>
                <w:rtl w:val="0"/>
              </w:rPr>
              <w:t xml:space="preserve"> </w:t>
            </w:r>
            <w:r w:rsidDel="00000000" w:rsidR="00000000" w:rsidRPr="00000000">
              <w:rPr>
                <w:color w:val="010101"/>
                <w:sz w:val="18"/>
                <w:szCs w:val="18"/>
                <w:rtl w:val="0"/>
              </w:rPr>
              <w:t xml:space="preserve">± 0.001</w:t>
            </w:r>
          </w:p>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H15: -17.353</w:t>
            </w:r>
            <w:r w:rsidDel="00000000" w:rsidR="00000000" w:rsidRPr="00000000">
              <w:rPr>
                <w:sz w:val="18"/>
                <w:szCs w:val="18"/>
                <w:vertAlign w:val="superscript"/>
                <w:rtl w:val="0"/>
              </w:rPr>
              <w:t xml:space="preserve"> </w:t>
            </w:r>
            <w:r w:rsidDel="00000000" w:rsidR="00000000" w:rsidRPr="00000000">
              <w:rPr>
                <w:sz w:val="18"/>
                <w:szCs w:val="18"/>
                <w:rtl w:val="0"/>
              </w:rPr>
              <w:t xml:space="preserve">±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vertAlign w:val="subscript"/>
              </w:rPr>
            </w:pPr>
            <w:r w:rsidDel="00000000" w:rsidR="00000000" w:rsidRPr="00000000">
              <w:rPr>
                <w:sz w:val="18"/>
                <w:szCs w:val="18"/>
                <w:rtl w:val="0"/>
              </w:rPr>
              <w:t xml:space="preserve">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vertAlign w:val="subscript"/>
              </w:rPr>
            </w:pPr>
            <w:r w:rsidDel="00000000" w:rsidR="00000000" w:rsidRPr="00000000">
              <w:rPr>
                <w:sz w:val="18"/>
                <w:szCs w:val="18"/>
                <w:rtl w:val="0"/>
              </w:rPr>
              <w:t xml:space="preserve">3.2 ± 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vertAlign w:val="subscript"/>
              </w:rPr>
            </w:pPr>
            <w:r w:rsidDel="00000000" w:rsidR="00000000" w:rsidRPr="00000000">
              <w:rPr>
                <w:sz w:val="18"/>
                <w:szCs w:val="18"/>
                <w:rtl w:val="0"/>
              </w:rPr>
              <w:t xml:space="preserve">92</w:t>
            </w:r>
            <w:r w:rsidDel="00000000" w:rsidR="00000000" w:rsidRPr="00000000">
              <w:rPr>
                <w:sz w:val="18"/>
                <w:szCs w:val="18"/>
                <w:vertAlign w:val="superscript"/>
                <w:rtl w:val="0"/>
              </w:rPr>
              <w:t xml:space="preserve"> </w:t>
            </w:r>
            <w:r w:rsidDel="00000000" w:rsidR="00000000" w:rsidRPr="00000000">
              <w:rPr>
                <w:sz w:val="18"/>
                <w:szCs w:val="18"/>
                <w:rtl w:val="0"/>
              </w:rPr>
              <w:t xml:space="preserve">±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u w:val="single"/>
              </w:rPr>
            </w:pPr>
            <w:r w:rsidDel="00000000" w:rsidR="00000000" w:rsidRPr="00000000">
              <w:rPr>
                <w:sz w:val="18"/>
                <w:szCs w:val="18"/>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0.76 ± 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color w:val="010101"/>
        </w:rPr>
      </w:pPr>
      <w:r w:rsidDel="00000000" w:rsidR="00000000" w:rsidRPr="00000000">
        <w:rPr>
          <w:rtl w:val="0"/>
        </w:rPr>
        <w:t xml:space="preserve">Table 1: HD 117207.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References</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numPr>
          <w:ilvl w:val="0"/>
          <w:numId w:val="1"/>
        </w:numPr>
        <w:ind w:left="720" w:hanging="360"/>
      </w:pPr>
      <w:r w:rsidDel="00000000" w:rsidR="00000000" w:rsidRPr="00000000">
        <w:rPr>
          <w:rtl w:val="0"/>
        </w:rPr>
        <w:t xml:space="preserve">Marcy, G. Five New Extrasolar Planets. </w:t>
      </w:r>
      <w:r w:rsidDel="00000000" w:rsidR="00000000" w:rsidRPr="00000000">
        <w:rPr>
          <w:i w:val="1"/>
          <w:rtl w:val="0"/>
        </w:rPr>
        <w:t xml:space="preserve">Astrophys. J.</w:t>
      </w:r>
      <w:r w:rsidDel="00000000" w:rsidR="00000000" w:rsidRPr="00000000">
        <w:rPr>
          <w:rtl w:val="0"/>
        </w:rPr>
        <w:t xml:space="preserve"> 619, 570-584 (2005).</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