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215456</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215456 is a 1.264 M</w:t>
      </w:r>
      <w:r w:rsidDel="00000000" w:rsidR="00000000" w:rsidRPr="00000000">
        <w:rPr>
          <w:vertAlign w:val="subscript"/>
          <w:rtl w:val="0"/>
        </w:rPr>
        <w:t xml:space="preserve">☉</w:t>
      </w:r>
      <w:r w:rsidDel="00000000" w:rsidR="00000000" w:rsidRPr="00000000">
        <w:rPr>
          <w:rtl w:val="0"/>
        </w:rPr>
        <w:t xml:space="preserve">, G0.5 V star</w:t>
      </w:r>
      <w:r w:rsidDel="00000000" w:rsidR="00000000" w:rsidRPr="00000000">
        <w:rPr>
          <w:color w:val="0000ff"/>
          <w:vertAlign w:val="superscript"/>
          <w:rtl w:val="0"/>
        </w:rPr>
        <w:t xml:space="preserve">1</w:t>
      </w:r>
      <w:r w:rsidDel="00000000" w:rsidR="00000000" w:rsidRPr="00000000">
        <w:rPr>
          <w:rtl w:val="0"/>
        </w:rPr>
        <w:t xml:space="preserve">. The CH survey reported a GP (HD 215456b) with a period of 192 days, a minimum mass of 0.1 M</w:t>
      </w:r>
      <w:r w:rsidDel="00000000" w:rsidR="00000000" w:rsidRPr="00000000">
        <w:rPr>
          <w:vertAlign w:val="subscript"/>
          <w:rtl w:val="0"/>
        </w:rPr>
        <w:t xml:space="preserve">Jup</w:t>
      </w:r>
      <w:r w:rsidDel="00000000" w:rsidR="00000000" w:rsidRPr="00000000">
        <w:rPr>
          <w:rtl w:val="0"/>
        </w:rPr>
        <w:t xml:space="preserve"> and an eccentricity of 0.13, as well as a GP (HD 215456c) signal with a period of 2268 days, a minimum mass of 0.24 M</w:t>
      </w:r>
      <w:r w:rsidDel="00000000" w:rsidR="00000000" w:rsidRPr="00000000">
        <w:rPr>
          <w:vertAlign w:val="subscript"/>
          <w:rtl w:val="0"/>
        </w:rPr>
        <w:t xml:space="preserve">Jup</w:t>
      </w:r>
      <w:r w:rsidDel="00000000" w:rsidR="00000000" w:rsidRPr="00000000">
        <w:rPr>
          <w:rtl w:val="0"/>
        </w:rPr>
        <w:t xml:space="preserve"> and an eccentricity of 0.17.</w:t>
      </w:r>
    </w:p>
    <w:p w:rsidR="00000000" w:rsidDel="00000000" w:rsidP="00000000" w:rsidRDefault="00000000" w:rsidRPr="00000000" w14:paraId="00000003">
      <w:pPr>
        <w:jc w:val="both"/>
        <w:rPr/>
      </w:pPr>
      <w:r w:rsidDel="00000000" w:rsidR="00000000" w:rsidRPr="00000000">
        <w:rPr>
          <w:rtl w:val="0"/>
        </w:rPr>
        <w:t xml:space="preserve">In the present study, 267 RV HARPS measurements obtained between 2003 and 2017 were considered. DPASS and MCMC (1000 walkers and 400000 iterations) were used to fit the present RV data. The properties of planets b and c are close to those reported in the CH survey. </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color w:val="ff0000"/>
        </w:rPr>
      </w:pPr>
      <w:r w:rsidDel="00000000" w:rsidR="00000000" w:rsidRPr="00000000">
        <w:rPr>
          <w:rtl w:val="0"/>
        </w:rPr>
        <w:t xml:space="preserve">Conclus</w:t>
      </w:r>
      <w:r w:rsidDel="00000000" w:rsidR="00000000" w:rsidRPr="00000000">
        <w:rPr>
          <w:color w:val="010101"/>
          <w:rtl w:val="0"/>
        </w:rPr>
        <w:t xml:space="preserve">ion: The properties found in the CH survey for both planets are confirmed.</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190500</wp:posOffset>
            </wp:positionV>
            <wp:extent cx="3005138" cy="199072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6428" t="9172"/>
                    <a:stretch>
                      <a:fillRect/>
                    </a:stretch>
                  </pic:blipFill>
                  <pic:spPr>
                    <a:xfrm>
                      <a:off x="0" y="0"/>
                      <a:ext cx="3005138" cy="1990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190500</wp:posOffset>
            </wp:positionV>
            <wp:extent cx="2665547" cy="1990725"/>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65547" cy="1990725"/>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w:t>
      </w:r>
      <w:r w:rsidDel="00000000" w:rsidR="00000000" w:rsidRPr="00000000">
        <w:rPr>
          <w:rtl w:val="0"/>
        </w:rPr>
        <w:t xml:space="preserve">215456</w:t>
      </w:r>
      <w:r w:rsidDel="00000000" w:rsidR="00000000" w:rsidRPr="00000000">
        <w:rPr>
          <w:color w:val="010101"/>
          <w:rtl w:val="0"/>
        </w:rPr>
        <w:t xml:space="preserve"> RV with DPASS. </w:t>
      </w:r>
      <w:r w:rsidDel="00000000" w:rsidR="00000000" w:rsidRPr="00000000">
        <w:rPr>
          <w:rtl w:val="0"/>
        </w:rPr>
        <w:t xml:space="preserve">Red - H03, green - H15. The blue curve shows the best fit.</w:t>
      </w:r>
      <w:r w:rsidDel="00000000" w:rsidR="00000000" w:rsidRPr="00000000">
        <w:rPr>
          <w:color w:val="010101"/>
          <w:rtl w:val="0"/>
        </w:rPr>
        <w:t xml:space="preserve"> Right: fit of the HD </w:t>
      </w:r>
      <w:r w:rsidDel="00000000" w:rsidR="00000000" w:rsidRPr="00000000">
        <w:rPr>
          <w:rtl w:val="0"/>
        </w:rPr>
        <w:t xml:space="preserve">215456</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6202200" cy="6202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02200" cy="6202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Figure 2: Corner plot of posteriors for the two-planets model MCMC fit of HD215456 RV data.</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tbl>
      <w:tblPr>
        <w:tblStyle w:val="Table1"/>
        <w:tblW w:w="1155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650"/>
        <w:gridCol w:w="1725"/>
        <w:gridCol w:w="1875"/>
        <w:gridCol w:w="2775"/>
        <w:gridCol w:w="1620"/>
        <w:tblGridChange w:id="0">
          <w:tblGrid>
            <w:gridCol w:w="1905"/>
            <w:gridCol w:w="1650"/>
            <w:gridCol w:w="1725"/>
            <w:gridCol w:w="1875"/>
            <w:gridCol w:w="2775"/>
            <w:gridCol w:w="16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c: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color w:val="010101"/>
                <w:sz w:val="18"/>
                <w:szCs w:val="18"/>
              </w:rPr>
            </w:pPr>
            <w:r w:rsidDel="00000000" w:rsidR="00000000" w:rsidRPr="00000000">
              <w:rPr>
                <w:color w:val="010101"/>
                <w:sz w:val="18"/>
                <w:szCs w:val="18"/>
                <w:rtl w:val="0"/>
              </w:rPr>
              <w:t xml:space="preserve">b: [0.01,1]</w:t>
            </w:r>
          </w:p>
          <w:p w:rsidR="00000000" w:rsidDel="00000000" w:rsidP="00000000" w:rsidRDefault="00000000" w:rsidRPr="00000000" w14:paraId="0000002D">
            <w:pPr>
              <w:widowControl w:val="0"/>
              <w:spacing w:line="240" w:lineRule="auto"/>
              <w:jc w:val="both"/>
              <w:rPr>
                <w:color w:val="010101"/>
                <w:sz w:val="18"/>
                <w:szCs w:val="18"/>
              </w:rPr>
            </w:pPr>
            <w:r w:rsidDel="00000000" w:rsidR="00000000" w:rsidRPr="00000000">
              <w:rPr>
                <w:color w:val="010101"/>
                <w:sz w:val="18"/>
                <w:szCs w:val="18"/>
                <w:rtl w:val="0"/>
              </w:rPr>
              <w:t xml:space="preserve">c: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b = 0.7</w:t>
            </w:r>
          </w:p>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 =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color w:val="010101"/>
                <w:sz w:val="18"/>
                <w:szCs w:val="18"/>
              </w:rPr>
            </w:pPr>
            <w:r w:rsidDel="00000000" w:rsidR="00000000" w:rsidRPr="00000000">
              <w:rPr>
                <w:color w:val="010101"/>
                <w:sz w:val="18"/>
                <w:szCs w:val="18"/>
                <w:rtl w:val="0"/>
              </w:rPr>
              <w:t xml:space="preserve">b = 0.706 ± 0.001</w:t>
            </w:r>
          </w:p>
          <w:p w:rsidR="00000000" w:rsidDel="00000000" w:rsidP="00000000" w:rsidRDefault="00000000" w:rsidRPr="00000000" w14:paraId="00000031">
            <w:pPr>
              <w:widowControl w:val="0"/>
              <w:spacing w:line="240" w:lineRule="auto"/>
              <w:jc w:val="both"/>
              <w:rPr>
                <w:color w:val="010101"/>
                <w:sz w:val="18"/>
                <w:szCs w:val="18"/>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3.60</m:t>
                  </m:r>
                </m:e>
                <m:sub>
                  <m:r>
                    <w:rPr>
                      <w:color w:val="010101"/>
                      <w:sz w:val="18"/>
                      <w:szCs w:val="18"/>
                    </w:rPr>
                    <m:t xml:space="preserve">-0.05</m:t>
                  </m:r>
                </m:sub>
                <m:sup>
                  <m:r>
                    <w:rPr>
                      <w:color w:val="010101"/>
                      <w:sz w:val="18"/>
                      <w:szCs w:val="18"/>
                    </w:rPr>
                    <m:t xml:space="preserve">+0.06</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b = 0.7</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c = 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color w:val="010101"/>
                <w:sz w:val="18"/>
                <w:szCs w:val="18"/>
                <w:rtl w:val="0"/>
              </w:rPr>
              <w:t xml:space="preserve">b: [0.01,1]</w:t>
            </w:r>
          </w:p>
          <w:p w:rsidR="00000000" w:rsidDel="00000000" w:rsidP="00000000" w:rsidRDefault="00000000" w:rsidRPr="00000000" w14:paraId="00000038">
            <w:pPr>
              <w:widowControl w:val="0"/>
              <w:spacing w:line="240" w:lineRule="auto"/>
              <w:jc w:val="both"/>
              <w:rPr>
                <w:color w:val="010101"/>
                <w:sz w:val="18"/>
                <w:szCs w:val="18"/>
              </w:rPr>
            </w:pPr>
            <w:r w:rsidDel="00000000" w:rsidR="00000000" w:rsidRPr="00000000">
              <w:rPr>
                <w:color w:val="010101"/>
                <w:sz w:val="18"/>
                <w:szCs w:val="18"/>
                <w:rtl w:val="0"/>
              </w:rPr>
              <w:t xml:space="preserve">c: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b = 0.12</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color w:val="010101"/>
                <w:sz w:val="18"/>
                <w:szCs w:val="18"/>
              </w:rPr>
            </w:pPr>
            <w:r w:rsidDel="00000000" w:rsidR="00000000" w:rsidRPr="00000000">
              <w:rPr>
                <w:color w:val="010101"/>
                <w:sz w:val="18"/>
                <w:szCs w:val="18"/>
                <w:rtl w:val="0"/>
              </w:rPr>
              <w:t xml:space="preserve">b = 0.12 ± 0.01</w:t>
            </w:r>
          </w:p>
          <w:p w:rsidR="00000000" w:rsidDel="00000000" w:rsidP="00000000" w:rsidRDefault="00000000" w:rsidRPr="00000000" w14:paraId="0000003C">
            <w:pPr>
              <w:widowControl w:val="0"/>
              <w:spacing w:line="240" w:lineRule="auto"/>
              <w:jc w:val="both"/>
              <w:rPr>
                <w:color w:val="010101"/>
                <w:sz w:val="18"/>
                <w:szCs w:val="18"/>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0.30</m:t>
                  </m:r>
                </m:e>
                <m:sub>
                  <m:r>
                    <w:rPr>
                      <w:color w:val="010101"/>
                      <w:sz w:val="18"/>
                      <w:szCs w:val="18"/>
                    </w:rPr>
                    <m:t xml:space="preserve">-0.02</m:t>
                  </m:r>
                </m:sub>
                <m:sup>
                  <m:r>
                    <w:rPr>
                      <w:color w:val="010101"/>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b = 0.1</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 = 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b: [0,0.5]</w:t>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color w:val="010101"/>
                <w:sz w:val="18"/>
                <w:szCs w:val="18"/>
              </w:rPr>
            </w:pPr>
            <w:r w:rsidDel="00000000" w:rsidR="00000000" w:rsidRPr="00000000">
              <w:rPr>
                <w:color w:val="010101"/>
                <w:sz w:val="18"/>
                <w:szCs w:val="18"/>
                <w:rtl w:val="0"/>
              </w:rPr>
              <w:t xml:space="preserve">b: [0,0.5]</w:t>
            </w:r>
          </w:p>
          <w:p w:rsidR="00000000" w:rsidDel="00000000" w:rsidP="00000000" w:rsidRDefault="00000000" w:rsidRPr="00000000" w14:paraId="00000043">
            <w:pPr>
              <w:widowControl w:val="0"/>
              <w:spacing w:line="240" w:lineRule="auto"/>
              <w:jc w:val="both"/>
              <w:rPr>
                <w:color w:val="010101"/>
                <w:sz w:val="18"/>
                <w:szCs w:val="18"/>
              </w:rPr>
            </w:pPr>
            <w:r w:rsidDel="00000000" w:rsidR="00000000" w:rsidRPr="00000000">
              <w:rPr>
                <w:color w:val="010101"/>
                <w:sz w:val="18"/>
                <w:szCs w:val="18"/>
                <w:rtl w:val="0"/>
              </w:rPr>
              <w:t xml:space="preserve">c: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b = 0.1</w:t>
            </w:r>
          </w:p>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c =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&lt; 0.14</w:t>
            </w:r>
            <w:r w:rsidDel="00000000" w:rsidR="00000000" w:rsidRPr="00000000">
              <w:rPr>
                <w:rtl w:val="0"/>
              </w:rPr>
            </w:r>
          </w:p>
          <w:p w:rsidR="00000000" w:rsidDel="00000000" w:rsidP="00000000" w:rsidRDefault="00000000" w:rsidRPr="00000000" w14:paraId="00000047">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&lt; 0.14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b = 0.13</w:t>
            </w:r>
          </w:p>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c = 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color w:val="010101"/>
                <w:sz w:val="18"/>
                <w:szCs w:val="18"/>
                <w:u w:val="single"/>
              </w:rPr>
            </w:pPr>
            <w:r w:rsidDel="00000000" w:rsidR="00000000" w:rsidRPr="00000000">
              <w:rPr>
                <w:color w:val="010101"/>
                <w:sz w:val="18"/>
                <w:szCs w:val="18"/>
                <w:rtl w:val="0"/>
              </w:rPr>
              <w:t xml:space="preserve">[-20,-18]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H03: -18.854</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H15: -18.837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H03: -18.854 ± 0.001</w:t>
            </w:r>
            <w:r w:rsidDel="00000000" w:rsidR="00000000" w:rsidRPr="00000000">
              <w:rPr>
                <w:rtl w:val="0"/>
              </w:rPr>
            </w:r>
          </w:p>
          <w:p w:rsidR="00000000" w:rsidDel="00000000" w:rsidP="00000000" w:rsidRDefault="00000000" w:rsidRPr="00000000" w14:paraId="00000050">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H15: -18.837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vertAlign w:val="subscript"/>
              </w:rPr>
            </w:pPr>
            <w:r w:rsidDel="00000000" w:rsidR="00000000" w:rsidRPr="00000000">
              <w:rPr>
                <w:sz w:val="18"/>
                <w:szCs w:val="18"/>
                <w:rtl w:val="0"/>
              </w:rPr>
              <w:t xml:space="preserve">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3.2</m:t>
                  </m:r>
                </m:e>
                <m:sub>
                  <m:r>
                    <w:rPr>
                      <w:color w:val="010101"/>
                      <w:sz w:val="18"/>
                      <w:szCs w:val="18"/>
                    </w:rPr>
                    <m:t xml:space="preserve">-0.2</m:t>
                  </m:r>
                </m:sub>
                <m:sup>
                  <m:r>
                    <w:rPr>
                      <w:color w:val="010101"/>
                      <w:sz w:val="18"/>
                      <w:szCs w:val="18"/>
                    </w:rPr>
                    <m:t xml:space="preserve">+0.3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b = 93</w:t>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c = 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vertAlign w:val="subscript"/>
              </w:rPr>
            </w:pPr>
            <w:r w:rsidDel="00000000" w:rsidR="00000000" w:rsidRPr="00000000">
              <w:rPr>
                <w:sz w:val="18"/>
                <w:szCs w:val="18"/>
                <w:rtl w:val="0"/>
              </w:rPr>
              <w:t xml:space="preserve">b = 33 </w:t>
            </w:r>
            <w:r w:rsidDel="00000000" w:rsidR="00000000" w:rsidRPr="00000000">
              <w:rPr>
                <w:color w:val="010101"/>
                <w:sz w:val="18"/>
                <w:szCs w:val="18"/>
                <w:rtl w:val="0"/>
              </w:rPr>
              <w:t xml:space="preserve">– 327</w:t>
            </w:r>
            <w:r w:rsidDel="00000000" w:rsidR="00000000" w:rsidRPr="00000000">
              <w:rPr>
                <w:rtl w:val="0"/>
              </w:rPr>
            </w:r>
          </w:p>
          <w:p w:rsidR="00000000" w:rsidDel="00000000" w:rsidP="00000000" w:rsidRDefault="00000000" w:rsidRPr="00000000" w14:paraId="00000060">
            <w:pPr>
              <w:widowControl w:val="0"/>
              <w:spacing w:line="240" w:lineRule="auto"/>
              <w:jc w:val="both"/>
              <w:rPr>
                <w:sz w:val="18"/>
                <w:szCs w:val="18"/>
                <w:vertAlign w:val="subscript"/>
              </w:rPr>
            </w:pPr>
            <w:r w:rsidDel="00000000" w:rsidR="00000000" w:rsidRPr="00000000">
              <w:rPr>
                <w:sz w:val="18"/>
                <w:szCs w:val="18"/>
                <w:rtl w:val="0"/>
              </w:rPr>
              <w:t xml:space="preserve">c = 63 </w:t>
            </w:r>
            <w:r w:rsidDel="00000000" w:rsidR="00000000" w:rsidRPr="00000000">
              <w:rPr>
                <w:color w:val="010101"/>
                <w:sz w:val="18"/>
                <w:szCs w:val="18"/>
                <w:rtl w:val="0"/>
              </w:rPr>
              <w:t xml:space="preserve">– 258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b = 0.66</w:t>
            </w:r>
          </w:p>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c = 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vertAlign w:val="subscript"/>
              </w:rPr>
            </w:pPr>
            <w:r w:rsidDel="00000000" w:rsidR="00000000" w:rsidRPr="00000000">
              <w:rPr>
                <w:sz w:val="18"/>
                <w:szCs w:val="18"/>
                <w:rtl w:val="0"/>
              </w:rPr>
              <w:t xml:space="preserve">b = 0.18 </w:t>
            </w:r>
            <w:r w:rsidDel="00000000" w:rsidR="00000000" w:rsidRPr="00000000">
              <w:rPr>
                <w:color w:val="010101"/>
                <w:sz w:val="18"/>
                <w:szCs w:val="18"/>
                <w:rtl w:val="0"/>
              </w:rPr>
              <w:t xml:space="preserve">– 0.69</w:t>
            </w:r>
            <w:r w:rsidDel="00000000" w:rsidR="00000000" w:rsidRPr="00000000">
              <w:rPr>
                <w:rtl w:val="0"/>
              </w:rPr>
            </w:r>
          </w:p>
          <w:p w:rsidR="00000000" w:rsidDel="00000000" w:rsidP="00000000" w:rsidRDefault="00000000" w:rsidRPr="00000000" w14:paraId="0000006A">
            <w:pPr>
              <w:widowControl w:val="0"/>
              <w:spacing w:line="240" w:lineRule="auto"/>
              <w:jc w:val="both"/>
              <w:rPr>
                <w:sz w:val="18"/>
                <w:szCs w:val="18"/>
                <w:vertAlign w:val="subscript"/>
              </w:rPr>
            </w:pPr>
            <w:r w:rsidDel="00000000" w:rsidR="00000000" w:rsidRPr="00000000">
              <w:rPr>
                <w:sz w:val="18"/>
                <w:szCs w:val="18"/>
                <w:rtl w:val="0"/>
              </w:rPr>
              <w:t xml:space="preserve">c = 0.30 </w:t>
            </w:r>
            <w:r w:rsidDel="00000000" w:rsidR="00000000" w:rsidRPr="00000000">
              <w:rPr>
                <w:color w:val="010101"/>
                <w:sz w:val="18"/>
                <w:szCs w:val="18"/>
                <w:rtl w:val="0"/>
              </w:rPr>
              <w:t xml:space="preserve">– 0.84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6C">
      <w:pPr>
        <w:jc w:val="both"/>
        <w:rPr>
          <w:color w:val="010101"/>
        </w:rPr>
      </w:pPr>
      <w:r w:rsidDel="00000000" w:rsidR="00000000" w:rsidRPr="00000000">
        <w:rPr>
          <w:rtl w:val="0"/>
        </w:rPr>
        <w:t xml:space="preserve">Table 1: HD215456.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6D">
      <w:pPr>
        <w:jc w:val="both"/>
        <w:rPr>
          <w:color w:val="010101"/>
        </w:rPr>
      </w:pPr>
      <w:r w:rsidDel="00000000" w:rsidR="00000000" w:rsidRPr="00000000">
        <w:rPr>
          <w:rtl w:val="0"/>
        </w:rPr>
      </w:r>
    </w:p>
    <w:p w:rsidR="00000000" w:rsidDel="00000000" w:rsidP="00000000" w:rsidRDefault="00000000" w:rsidRPr="00000000" w14:paraId="0000006E">
      <w:pPr>
        <w:jc w:val="both"/>
        <w:rPr>
          <w:color w:val="010101"/>
        </w:rPr>
      </w:pPr>
      <w:r w:rsidDel="00000000" w:rsidR="00000000" w:rsidRPr="00000000">
        <w:rPr>
          <w:rtl w:val="0"/>
        </w:rPr>
      </w:r>
    </w:p>
    <w:p w:rsidR="00000000" w:rsidDel="00000000" w:rsidP="00000000" w:rsidRDefault="00000000" w:rsidRPr="00000000" w14:paraId="0000006F">
      <w:pPr>
        <w:jc w:val="both"/>
        <w:rPr>
          <w:color w:val="010101"/>
        </w:rPr>
      </w:pPr>
      <w:r w:rsidDel="00000000" w:rsidR="00000000" w:rsidRPr="00000000">
        <w:rPr>
          <w:rtl w:val="0"/>
        </w:rPr>
      </w:r>
    </w:p>
    <w:p w:rsidR="00000000" w:rsidDel="00000000" w:rsidP="00000000" w:rsidRDefault="00000000" w:rsidRPr="00000000" w14:paraId="00000070">
      <w:pPr>
        <w:jc w:val="both"/>
        <w:rPr>
          <w:color w:val="010101"/>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References</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Kervella, P. et al. Stellar and substellar companions of nearby stars from Gaia DR2. Binarity from proper motion anomaly. </w:t>
      </w:r>
      <w:r w:rsidDel="00000000" w:rsidR="00000000" w:rsidRPr="00000000">
        <w:rPr>
          <w:i w:val="1"/>
          <w:rtl w:val="0"/>
        </w:rPr>
        <w:t xml:space="preserve">Astron. Astrophys.</w:t>
      </w:r>
      <w:r w:rsidDel="00000000" w:rsidR="00000000" w:rsidRPr="00000000">
        <w:rPr>
          <w:rtl w:val="0"/>
        </w:rPr>
        <w:t xml:space="preserve"> 623, A72 (2019).</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