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220689</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220689 is a 1.04 M</w:t>
      </w:r>
      <w:r w:rsidDel="00000000" w:rsidR="00000000" w:rsidRPr="00000000">
        <w:rPr>
          <w:vertAlign w:val="subscript"/>
          <w:rtl w:val="0"/>
        </w:rPr>
        <w:t xml:space="preserve">☉</w:t>
      </w:r>
      <w:r w:rsidDel="00000000" w:rsidR="00000000" w:rsidRPr="00000000">
        <w:rPr>
          <w:rtl w:val="0"/>
        </w:rPr>
        <w:t xml:space="preserve">, G3 V star</w:t>
      </w:r>
      <w:r w:rsidDel="00000000" w:rsidR="00000000" w:rsidRPr="00000000">
        <w:rPr>
          <w:color w:val="0000ff"/>
          <w:vertAlign w:val="superscript"/>
          <w:rtl w:val="0"/>
        </w:rPr>
        <w:t xml:space="preserve">1</w:t>
      </w:r>
      <w:r w:rsidDel="00000000" w:rsidR="00000000" w:rsidRPr="00000000">
        <w:rPr>
          <w:rtl w:val="0"/>
        </w:rPr>
        <w:t xml:space="preserve">. Based on 44 RV CORALIE measurements obtained between 2000 and 2012, a study performed in 2013 (hereafter M13)</w:t>
      </w:r>
      <w:r w:rsidDel="00000000" w:rsidR="00000000" w:rsidRPr="00000000">
        <w:rPr>
          <w:color w:val="0000ff"/>
          <w:vertAlign w:val="superscript"/>
          <w:rtl w:val="0"/>
        </w:rPr>
        <w:t xml:space="preserve">1</w:t>
      </w:r>
      <w:r w:rsidDel="00000000" w:rsidR="00000000" w:rsidRPr="00000000">
        <w:rPr>
          <w:rtl w:val="0"/>
        </w:rPr>
        <w:t xml:space="preserve"> reported a GP signal with a period of </w:t>
      </w:r>
      <m:oMath>
        <m:sSubSup>
          <m:sSubSupPr>
            <m:ctrlPr>
              <w:rPr/>
            </m:ctrlPr>
          </m:sSubSupPr>
          <m:e>
            <m:r>
              <w:rPr/>
              <m:t xml:space="preserve">2209</m:t>
            </m:r>
          </m:e>
          <m:sub>
            <m:r>
              <w:rPr/>
              <m:t xml:space="preserve">-81</m:t>
            </m:r>
          </m:sub>
          <m:sup>
            <m:r>
              <w:rPr/>
              <m:t xml:space="preserve">+103</m:t>
            </m:r>
          </m:sup>
        </m:sSubSup>
      </m:oMath>
      <w:r w:rsidDel="00000000" w:rsidR="00000000" w:rsidRPr="00000000">
        <w:rPr>
          <w:rtl w:val="0"/>
        </w:rPr>
        <w:t xml:space="preserve"> days, a minimum mass of 1.06 ± 0.09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0.16</m:t>
            </m:r>
          </m:e>
          <m:sub>
            <m:r>
              <w:rPr/>
              <m:t xml:space="preserve">-0.07</m:t>
            </m:r>
          </m:sub>
          <m:sup>
            <m:r>
              <w:rPr/>
              <m:t xml:space="preserve">+0.1</m:t>
            </m:r>
          </m:sup>
        </m:sSubSup>
      </m:oMath>
      <w:r w:rsidDel="00000000" w:rsidR="00000000" w:rsidRPr="00000000">
        <w:rPr>
          <w:rtl w:val="0"/>
        </w:rPr>
        <w:t xml:space="preserve">. The CH survey reported a GP signal with properties close to those reported in the M13 study.</w:t>
      </w:r>
    </w:p>
    <w:p w:rsidR="00000000" w:rsidDel="00000000" w:rsidP="00000000" w:rsidRDefault="00000000" w:rsidRPr="00000000" w14:paraId="00000003">
      <w:pPr>
        <w:jc w:val="both"/>
        <w:rPr/>
      </w:pPr>
      <w:r w:rsidDel="00000000" w:rsidR="00000000" w:rsidRPr="00000000">
        <w:rPr>
          <w:rtl w:val="0"/>
        </w:rPr>
        <w:t xml:space="preserve">In the present study, in addition to the M13’s dataset</w:t>
      </w:r>
      <w:r w:rsidDel="00000000" w:rsidR="00000000" w:rsidRPr="00000000">
        <w:rPr>
          <w:vertAlign w:val="superscript"/>
        </w:rPr>
        <w:footnoteReference w:customMarkFollows="0" w:id="0"/>
      </w:r>
      <w:r w:rsidDel="00000000" w:rsidR="00000000" w:rsidRPr="00000000">
        <w:rPr>
          <w:rtl w:val="0"/>
        </w:rPr>
        <w:t xml:space="preserve">, 43 RV HARPS measurements obtained between 2014 and 2019 were used. DPASS and MCMC (1000 walkers and 400000 iterations) were used to fit the data. The properties of HD 220689b are close to those reported in the CH survey.</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r w:rsidDel="00000000" w:rsidR="00000000" w:rsidRPr="00000000">
        <w:rPr>
          <w:rtl w:val="0"/>
        </w:rPr>
      </w:r>
    </w:p>
    <w:p w:rsidR="00000000" w:rsidDel="00000000" w:rsidP="00000000" w:rsidRDefault="00000000" w:rsidRPr="00000000" w14:paraId="00000005">
      <w:pPr>
        <w:jc w:val="both"/>
        <w:rPr>
          <w:color w:val="010101"/>
        </w:rPr>
      </w:pPr>
      <w:r w:rsidDel="00000000" w:rsidR="00000000" w:rsidRPr="00000000">
        <w:rPr>
          <w:rtl w:val="0"/>
        </w:rPr>
      </w:r>
    </w:p>
    <w:p w:rsidR="00000000" w:rsidDel="00000000" w:rsidP="00000000" w:rsidRDefault="00000000" w:rsidRPr="00000000" w14:paraId="00000006">
      <w:pPr>
        <w:jc w:val="both"/>
        <w:rPr>
          <w:color w:val="010101"/>
        </w:rPr>
      </w:pPr>
      <w:r w:rsidDel="00000000" w:rsidR="00000000" w:rsidRPr="00000000">
        <w:rPr>
          <w:color w:val="010101"/>
          <w:rtl w:val="0"/>
        </w:rPr>
        <w:t xml:space="preserve">Conclusion: The properties found in the CH survey for HD 220689b are confirmed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123825</wp:posOffset>
            </wp:positionV>
            <wp:extent cx="2749875" cy="184785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9642" t="9619"/>
                    <a:stretch>
                      <a:fillRect/>
                    </a:stretch>
                  </pic:blipFill>
                  <pic:spPr>
                    <a:xfrm>
                      <a:off x="0" y="0"/>
                      <a:ext cx="2749875"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120811</wp:posOffset>
            </wp:positionV>
            <wp:extent cx="2486025" cy="1852332"/>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86025" cy="1852332"/>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w:t>
      </w:r>
      <w:r w:rsidDel="00000000" w:rsidR="00000000" w:rsidRPr="00000000">
        <w:rPr>
          <w:rtl w:val="0"/>
        </w:rPr>
        <w:t xml:space="preserve">220689</w:t>
      </w:r>
      <w:r w:rsidDel="00000000" w:rsidR="00000000" w:rsidRPr="00000000">
        <w:rPr>
          <w:color w:val="010101"/>
          <w:rtl w:val="0"/>
        </w:rPr>
        <w:t xml:space="preserve"> RV with DPASS. </w:t>
      </w:r>
      <w:r w:rsidDel="00000000" w:rsidR="00000000" w:rsidRPr="00000000">
        <w:rPr>
          <w:rtl w:val="0"/>
        </w:rPr>
        <w:t xml:space="preserve">Red - C98, green - C07, blue - H03, cyan - H15. The blue curve shows the best fit. </w:t>
      </w:r>
      <w:r w:rsidDel="00000000" w:rsidR="00000000" w:rsidRPr="00000000">
        <w:rPr>
          <w:color w:val="010101"/>
          <w:rtl w:val="0"/>
        </w:rPr>
        <w:t xml:space="preserve">Right: fit of the HD </w:t>
      </w:r>
      <w:r w:rsidDel="00000000" w:rsidR="00000000" w:rsidRPr="00000000">
        <w:rPr>
          <w:rtl w:val="0"/>
        </w:rPr>
        <w:t xml:space="preserve">220689</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662231" cy="465296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62231"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Figure 2: Corner plot of posteriors for the one-planet model MCMC fit of HD 220689 RV data.</w:t>
      </w:r>
    </w:p>
    <w:p w:rsidR="00000000" w:rsidDel="00000000" w:rsidP="00000000" w:rsidRDefault="00000000" w:rsidRPr="00000000" w14:paraId="0000000E">
      <w:pPr>
        <w:jc w:val="both"/>
        <w:rPr/>
      </w:pPr>
      <w:r w:rsidDel="00000000" w:rsidR="00000000" w:rsidRPr="00000000">
        <w:rPr>
          <w:rtl w:val="0"/>
        </w:rPr>
      </w:r>
    </w:p>
    <w:tbl>
      <w:tblPr>
        <w:tblStyle w:val="Table1"/>
        <w:tblW w:w="1155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395"/>
        <w:gridCol w:w="1470"/>
        <w:gridCol w:w="2130"/>
        <w:gridCol w:w="2835"/>
        <w:gridCol w:w="1170"/>
        <w:tblGridChange w:id="0">
          <w:tblGrid>
            <w:gridCol w:w="2550"/>
            <w:gridCol w:w="1395"/>
            <w:gridCol w:w="1470"/>
            <w:gridCol w:w="2130"/>
            <w:gridCol w:w="2835"/>
            <w:gridCol w:w="117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color w:val="010101"/>
                <w:sz w:val="18"/>
                <w:szCs w:val="18"/>
              </w:rPr>
            </w:pPr>
            <w:r w:rsidDel="00000000" w:rsidR="00000000" w:rsidRPr="00000000">
              <w:rPr>
                <w:color w:val="010101"/>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3.45 ± 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color w:val="010101"/>
                <w:sz w:val="18"/>
                <w:szCs w:val="18"/>
              </w:rPr>
            </w:pPr>
            <w:r w:rsidDel="00000000" w:rsidR="00000000" w:rsidRPr="00000000">
              <w:rPr>
                <w:color w:val="010101"/>
                <w:sz w:val="18"/>
                <w:szCs w:val="18"/>
                <w:rtl w:val="0"/>
              </w:rPr>
              <w:t xml:space="preserve">[0.5,10]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color w:val="010101"/>
                <w:sz w:val="18"/>
                <w:szCs w:val="18"/>
              </w:rPr>
            </w:pPr>
            <w:r w:rsidDel="00000000" w:rsidR="00000000" w:rsidRPr="00000000">
              <w:rPr>
                <w:color w:val="010101"/>
                <w:sz w:val="18"/>
                <w:szCs w:val="18"/>
                <w:rtl w:val="0"/>
              </w:rPr>
              <w:t xml:space="preserve">1.10 ±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color w:val="010101"/>
                <w:sz w:val="18"/>
                <w:szCs w:val="18"/>
              </w:rPr>
            </w:pPr>
            <w:r w:rsidDel="00000000" w:rsidR="00000000" w:rsidRPr="00000000">
              <w:rPr>
                <w:color w:val="010101"/>
                <w:sz w:val="18"/>
                <w:szCs w:val="18"/>
                <w:rtl w:val="0"/>
              </w:rPr>
              <w:t xml:space="preserve">[0.01,0.5]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&lt; 0.13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color w:val="010101"/>
                <w:sz w:val="18"/>
                <w:szCs w:val="18"/>
                <w:u w:val="single"/>
              </w:rPr>
            </w:pPr>
            <w:r w:rsidDel="00000000" w:rsidR="00000000" w:rsidRPr="00000000">
              <w:rPr>
                <w:color w:val="010101"/>
                <w:sz w:val="18"/>
                <w:szCs w:val="18"/>
                <w:rtl w:val="0"/>
              </w:rPr>
              <w:t xml:space="preserve">[-13,-11]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C98: 12.192</w:t>
            </w:r>
          </w:p>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C07: 12.192</w:t>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H03: 12.225</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H15: 12.236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color w:val="010101"/>
                <w:sz w:val="18"/>
                <w:szCs w:val="18"/>
              </w:rPr>
            </w:pPr>
            <w:r w:rsidDel="00000000" w:rsidR="00000000" w:rsidRPr="00000000">
              <w:rPr>
                <w:color w:val="010101"/>
                <w:sz w:val="18"/>
                <w:szCs w:val="18"/>
                <w:rtl w:val="0"/>
              </w:rPr>
              <w:t xml:space="preserve">C98: 12.192</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0.002</w:t>
            </w:r>
          </w:p>
          <w:p w:rsidR="00000000" w:rsidDel="00000000" w:rsidP="00000000" w:rsidRDefault="00000000" w:rsidRPr="00000000" w14:paraId="00000035">
            <w:pPr>
              <w:widowControl w:val="0"/>
              <w:spacing w:line="240" w:lineRule="auto"/>
              <w:jc w:val="both"/>
              <w:rPr>
                <w:color w:val="010101"/>
                <w:sz w:val="18"/>
                <w:szCs w:val="18"/>
              </w:rPr>
            </w:pPr>
            <w:r w:rsidDel="00000000" w:rsidR="00000000" w:rsidRPr="00000000">
              <w:rPr>
                <w:color w:val="010101"/>
                <w:sz w:val="18"/>
                <w:szCs w:val="18"/>
                <w:rtl w:val="0"/>
              </w:rPr>
              <w:t xml:space="preserve">Hir94: 12.192</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0.002</w:t>
            </w:r>
          </w:p>
          <w:p w:rsidR="00000000" w:rsidDel="00000000" w:rsidP="00000000" w:rsidRDefault="00000000" w:rsidRPr="00000000" w14:paraId="00000036">
            <w:pPr>
              <w:widowControl w:val="0"/>
              <w:spacing w:line="240" w:lineRule="auto"/>
              <w:jc w:val="both"/>
              <w:rPr>
                <w:color w:val="010101"/>
                <w:sz w:val="18"/>
                <w:szCs w:val="18"/>
              </w:rPr>
            </w:pPr>
            <w:r w:rsidDel="00000000" w:rsidR="00000000" w:rsidRPr="00000000">
              <w:rPr>
                <w:color w:val="010101"/>
                <w:sz w:val="18"/>
                <w:szCs w:val="18"/>
                <w:rtl w:val="0"/>
              </w:rPr>
              <w:t xml:space="preserve">Hir04: 12.224 ± 0.003</w:t>
            </w:r>
          </w:p>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color w:val="010101"/>
                <w:sz w:val="18"/>
                <w:szCs w:val="18"/>
                <w:rtl w:val="0"/>
              </w:rPr>
              <w:t xml:space="preserve">H03: 12.236</w:t>
            </w:r>
            <w:r w:rsidDel="00000000" w:rsidR="00000000" w:rsidRPr="00000000">
              <w:rPr>
                <w:color w:val="010101"/>
                <w:sz w:val="18"/>
                <w:szCs w:val="18"/>
                <w:vertAlign w:val="superscript"/>
                <w:rtl w:val="0"/>
              </w:rPr>
              <w:t xml:space="preserve">+0.003</w:t>
            </w:r>
            <w:r w:rsidDel="00000000" w:rsidR="00000000" w:rsidRPr="00000000">
              <w:rPr>
                <w:color w:val="010101"/>
                <w:sz w:val="18"/>
                <w:szCs w:val="18"/>
                <w:vertAlign w:val="subscript"/>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color w:val="010101"/>
                <w:sz w:val="18"/>
                <w:szCs w:val="18"/>
                <w:u w:val="single"/>
              </w:rPr>
            </w:pPr>
            <w:r w:rsidDel="00000000" w:rsidR="00000000" w:rsidRPr="00000000">
              <w:rPr>
                <w:color w:val="010101"/>
                <w:sz w:val="18"/>
                <w:szCs w:val="18"/>
                <w:rtl w:val="0"/>
              </w:rPr>
              <w:t xml:space="preserve">[0,100]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vertAlign w:val="subscript"/>
              </w:rPr>
            </w:pPr>
            <w:r w:rsidDel="00000000" w:rsidR="00000000" w:rsidRPr="00000000">
              <w:rPr>
                <w:sz w:val="18"/>
                <w:szCs w:val="18"/>
                <w:rtl w:val="0"/>
              </w:rPr>
              <w:t xml:space="preserve">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6.4</m:t>
                  </m:r>
                </m:e>
                <m:sub>
                  <m:r>
                    <w:rPr>
                      <w:color w:val="010101"/>
                      <w:sz w:val="18"/>
                      <w:szCs w:val="18"/>
                    </w:rPr>
                    <m:t xml:space="preserve">-0.9</m:t>
                  </m:r>
                </m:sub>
                <m:sup>
                  <m:r>
                    <w:rPr>
                      <w:color w:val="010101"/>
                      <w:sz w:val="18"/>
                      <w:szCs w:val="18"/>
                    </w:rPr>
                    <m:t xml:space="preserve">+1.1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vertAlign w:val="subscript"/>
              </w:rPr>
            </w:pPr>
            <w:r w:rsidDel="00000000" w:rsidR="00000000" w:rsidRPr="00000000">
              <w:rPr>
                <w:sz w:val="18"/>
                <w:szCs w:val="18"/>
                <w:rtl w:val="0"/>
              </w:rPr>
              <w:t xml:space="preserve">41 </w:t>
            </w:r>
            <w:r w:rsidDel="00000000" w:rsidR="00000000" w:rsidRPr="00000000">
              <w:rPr>
                <w:color w:val="010101"/>
                <w:sz w:val="18"/>
                <w:szCs w:val="18"/>
                <w:rtl w:val="0"/>
              </w:rPr>
              <w:t xml:space="preserve">– 304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vertAlign w:val="subscript"/>
              </w:rPr>
            </w:pPr>
            <w:r w:rsidDel="00000000" w:rsidR="00000000" w:rsidRPr="00000000">
              <w:rPr>
                <w:sz w:val="18"/>
                <w:szCs w:val="18"/>
                <w:rtl w:val="0"/>
              </w:rPr>
              <w:t xml:space="preserve">0.19 </w:t>
            </w:r>
            <w:r w:rsidDel="00000000" w:rsidR="00000000" w:rsidRPr="00000000">
              <w:rPr>
                <w:color w:val="010101"/>
                <w:sz w:val="18"/>
                <w:szCs w:val="18"/>
                <w:rtl w:val="0"/>
              </w:rPr>
              <w:t xml:space="preserve">– 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color w:val="010101"/>
        </w:rPr>
      </w:pPr>
      <w:r w:rsidDel="00000000" w:rsidR="00000000" w:rsidRPr="00000000">
        <w:rPr>
          <w:rtl w:val="0"/>
        </w:rPr>
        <w:t xml:space="preserve">Table 1: HD 220689.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References</w:t>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Marmier, M. et al. The CORALIE survey for southern extrasolar planets XVII. New and updated long period and massive planets. </w:t>
      </w:r>
      <w:r w:rsidDel="00000000" w:rsidR="00000000" w:rsidRPr="00000000">
        <w:rPr>
          <w:i w:val="1"/>
          <w:rtl w:val="0"/>
        </w:rPr>
        <w:t xml:space="preserve">Astron. Astrophys</w:t>
      </w:r>
      <w:r w:rsidDel="00000000" w:rsidR="00000000" w:rsidRPr="00000000">
        <w:rPr>
          <w:rtl w:val="0"/>
        </w:rPr>
        <w:t xml:space="preserve">. 551, A90 (2013).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CORALIE data used were not available on the CDS database; therefore these data were recovered from DACE but they are not exactly the same as those used by M13 study</w:t>
      </w:r>
      <w:r w:rsidDel="00000000" w:rsidR="00000000" w:rsidRPr="00000000">
        <w:rPr>
          <w:color w:val="0000ff"/>
          <w:sz w:val="20"/>
          <w:szCs w:val="20"/>
          <w:vertAlign w:val="superscript"/>
          <w:rtl w:val="0"/>
        </w:rPr>
        <w:t xml:space="preserve">1</w:t>
      </w:r>
      <w:r w:rsidDel="00000000" w:rsidR="00000000" w:rsidRPr="00000000">
        <w:rPr>
          <w:sz w:val="20"/>
          <w:szCs w:val="20"/>
          <w:rtl w:val="0"/>
        </w:rPr>
        <w:t xml:space="preserve"> (56 RV CORALIE data available in DACE against 44 RV CORALIE data for Marmier’s dataset). Yet, the RV curve obtained for the CORALIE dataset was the same.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