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27631</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27631 is a 0.94 M</w:t>
      </w:r>
      <w:r w:rsidDel="00000000" w:rsidR="00000000" w:rsidRPr="00000000">
        <w:rPr>
          <w:vertAlign w:val="subscript"/>
          <w:rtl w:val="0"/>
        </w:rPr>
        <w:t xml:space="preserve">☉</w:t>
      </w:r>
      <w:r w:rsidDel="00000000" w:rsidR="00000000" w:rsidRPr="00000000">
        <w:rPr>
          <w:rtl w:val="0"/>
        </w:rPr>
        <w:t xml:space="preserve">, G3 IV/V star</w:t>
      </w:r>
      <w:r w:rsidDel="00000000" w:rsidR="00000000" w:rsidRPr="00000000">
        <w:rPr>
          <w:color w:val="0000ff"/>
          <w:vertAlign w:val="superscript"/>
          <w:rtl w:val="0"/>
        </w:rPr>
        <w:t xml:space="preserve">1</w:t>
      </w:r>
      <w:r w:rsidDel="00000000" w:rsidR="00000000" w:rsidRPr="00000000">
        <w:rPr>
          <w:rtl w:val="0"/>
        </w:rPr>
        <w:t xml:space="preserve">. Based on 60 RV CORALIE measurements obtained between 1999 and 2012, a study performed in 2013 (hereafter M13)</w:t>
      </w:r>
      <w:r w:rsidDel="00000000" w:rsidR="00000000" w:rsidRPr="00000000">
        <w:rPr>
          <w:color w:val="0000ff"/>
          <w:vertAlign w:val="superscript"/>
          <w:rtl w:val="0"/>
        </w:rPr>
        <w:t xml:space="preserve">1</w:t>
      </w:r>
      <w:r w:rsidDel="00000000" w:rsidR="00000000" w:rsidRPr="00000000">
        <w:rPr>
          <w:rtl w:val="0"/>
        </w:rPr>
        <w:t xml:space="preserve"> reported a GP signal with a period of 2208 ± 66 days, a minimum mass of 1.45 ± 0.14 M</w:t>
      </w:r>
      <w:r w:rsidDel="00000000" w:rsidR="00000000" w:rsidRPr="00000000">
        <w:rPr>
          <w:vertAlign w:val="subscript"/>
          <w:rtl w:val="0"/>
        </w:rPr>
        <w:t xml:space="preserve">Jup</w:t>
      </w:r>
      <w:r w:rsidDel="00000000" w:rsidR="00000000" w:rsidRPr="00000000">
        <w:rPr>
          <w:rtl w:val="0"/>
        </w:rPr>
        <w:t xml:space="preserve"> and an eccentricity of 0.12 ± 0.06. The CH survey reported a GP signal with properties close to those reported in the M13 study.</w:t>
      </w:r>
    </w:p>
    <w:p w:rsidR="00000000" w:rsidDel="00000000" w:rsidP="00000000" w:rsidRDefault="00000000" w:rsidRPr="00000000" w14:paraId="00000003">
      <w:pPr>
        <w:jc w:val="both"/>
        <w:rPr/>
      </w:pPr>
      <w:r w:rsidDel="00000000" w:rsidR="00000000" w:rsidRPr="00000000">
        <w:rPr>
          <w:rtl w:val="0"/>
        </w:rPr>
        <w:t xml:space="preserve">In the present study, in addition to the M13’s data</w:t>
      </w:r>
      <w:r w:rsidDel="00000000" w:rsidR="00000000" w:rsidRPr="00000000">
        <w:rPr>
          <w:vertAlign w:val="superscript"/>
        </w:rPr>
        <w:footnoteReference w:customMarkFollows="0" w:id="0"/>
      </w:r>
      <w:r w:rsidDel="00000000" w:rsidR="00000000" w:rsidRPr="00000000">
        <w:rPr>
          <w:rtl w:val="0"/>
        </w:rPr>
        <w:t xml:space="preserve">, 25 RV HARPS measurements obtained between 2014 and 2020 were considered. DPASS and MCMC (1000 walkers and 300000 iterations) were used to fit the data. The properties of HD 27631b are close to those reported in the CH survey.</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Conclusion:</w:t>
      </w:r>
      <w:r w:rsidDel="00000000" w:rsidR="00000000" w:rsidRPr="00000000">
        <w:rPr>
          <w:b w:val="1"/>
          <w:rtl w:val="0"/>
        </w:rPr>
        <w:t xml:space="preserve"> </w:t>
      </w:r>
      <w:r w:rsidDel="00000000" w:rsidR="00000000" w:rsidRPr="00000000">
        <w:rPr>
          <w:rtl w:val="0"/>
        </w:rPr>
        <w:t xml:space="preserve">The properties found in the CH survey for HD 27631b are confirmed.</w:t>
      </w:r>
    </w:p>
    <w:p w:rsidR="00000000" w:rsidDel="00000000" w:rsidP="00000000" w:rsidRDefault="00000000" w:rsidRPr="00000000" w14:paraId="0000000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271463</wp:posOffset>
            </wp:positionV>
            <wp:extent cx="2733675" cy="197167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8366" t="8391"/>
                    <a:stretch>
                      <a:fillRect/>
                    </a:stretch>
                  </pic:blipFill>
                  <pic:spPr>
                    <a:xfrm>
                      <a:off x="0" y="0"/>
                      <a:ext cx="2733675" cy="1971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301786</wp:posOffset>
            </wp:positionV>
            <wp:extent cx="2543175" cy="1902807"/>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43175" cy="1902807"/>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27631 RV with DPASS. </w:t>
      </w:r>
      <w:r w:rsidDel="00000000" w:rsidR="00000000" w:rsidRPr="00000000">
        <w:rPr>
          <w:rtl w:val="0"/>
        </w:rPr>
        <w:t xml:space="preserve">Red - C98, green - C07, blue - H03, cyan - H15</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6043613" cy="603352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043613" cy="603352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Figure 2: Corner plot of posteriors for the one-planet model MCMC fit of HD 27631 RV data.</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color w:val="010101"/>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tbl>
      <w:tblPr>
        <w:tblStyle w:val="Table1"/>
        <w:tblW w:w="1143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1245"/>
        <w:gridCol w:w="1500"/>
        <w:gridCol w:w="1830"/>
        <w:gridCol w:w="2550"/>
        <w:gridCol w:w="1245"/>
        <w:tblGridChange w:id="0">
          <w:tblGrid>
            <w:gridCol w:w="3060"/>
            <w:gridCol w:w="1245"/>
            <w:gridCol w:w="1500"/>
            <w:gridCol w:w="1830"/>
            <w:gridCol w:w="2550"/>
            <w:gridCol w:w="124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shd w:fill="ff9900" w:val="clear"/>
              </w:rPr>
            </w:pPr>
            <w:r w:rsidDel="00000000" w:rsidR="00000000" w:rsidRPr="00000000">
              <w:rPr>
                <w:sz w:val="18"/>
                <w:szCs w:val="18"/>
                <w:rtl w:val="0"/>
              </w:rPr>
              <w:t xml:space="preserve">[2,80]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u w:val="single"/>
              </w:rPr>
            </w:pPr>
            <w:r w:rsidDel="00000000" w:rsidR="00000000" w:rsidRPr="00000000">
              <w:rPr>
                <w:sz w:val="18"/>
                <w:szCs w:val="18"/>
                <w:rtl w:val="0"/>
              </w:rPr>
              <w:t xml:space="preserve">[1,10]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u w:val="single"/>
              </w:rPr>
            </w:pPr>
            <w:r w:rsidDel="00000000" w:rsidR="00000000" w:rsidRPr="00000000">
              <w:rPr>
                <w:sz w:val="18"/>
                <w:szCs w:val="18"/>
                <w:rtl w:val="0"/>
              </w:rPr>
              <w:t xml:space="preserve">3.23 ± 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u w:val="single"/>
              </w:rPr>
            </w:pPr>
            <w:r w:rsidDel="00000000" w:rsidR="00000000" w:rsidRPr="00000000">
              <w:rPr>
                <w:sz w:val="18"/>
                <w:szCs w:val="18"/>
                <w:rtl w:val="0"/>
              </w:rPr>
              <w:t xml:space="preserve">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u w:val="single"/>
              </w:rPr>
            </w:pPr>
            <w:r w:rsidDel="00000000" w:rsidR="00000000" w:rsidRPr="00000000">
              <w:rPr>
                <w:sz w:val="18"/>
                <w:szCs w:val="18"/>
                <w:rtl w:val="0"/>
              </w:rPr>
              <w:t xml:space="preserve">[0.1,10]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u w:val="single"/>
              </w:rPr>
            </w:pPr>
            <w:r w:rsidDel="00000000" w:rsidR="00000000" w:rsidRPr="00000000">
              <w:rPr>
                <w:sz w:val="18"/>
                <w:szCs w:val="18"/>
                <w:rtl w:val="0"/>
              </w:rPr>
              <w:t xml:space="preserve">1.5 ± 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u w:val="single"/>
              </w:rPr>
            </w:pPr>
            <w:r w:rsidDel="00000000" w:rsidR="00000000" w:rsidRPr="00000000">
              <w:rPr>
                <w:sz w:val="18"/>
                <w:szCs w:val="18"/>
                <w:rtl w:val="0"/>
              </w:rPr>
              <w:t xml:space="preserve">[0,0.9]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u w:val="single"/>
              </w:rPr>
            </w:pPr>
            <w:r w:rsidDel="00000000" w:rsidR="00000000" w:rsidRPr="00000000">
              <w:rPr>
                <w:sz w:val="18"/>
                <w:szCs w:val="18"/>
                <w:rtl w:val="0"/>
              </w:rPr>
              <w:t xml:space="preserve">0.04 </w:t>
            </w:r>
            <w:r w:rsidDel="00000000" w:rsidR="00000000" w:rsidRPr="00000000">
              <w:rPr>
                <w:color w:val="010101"/>
                <w:sz w:val="18"/>
                <w:szCs w:val="18"/>
                <w:rtl w:val="0"/>
              </w:rPr>
              <w:t xml:space="preserve">– 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u w:val="single"/>
              </w:rPr>
            </w:pPr>
            <w:r w:rsidDel="00000000" w:rsidR="00000000" w:rsidRPr="00000000">
              <w:rPr>
                <w:sz w:val="18"/>
                <w:szCs w:val="18"/>
                <w:rtl w:val="0"/>
              </w:rPr>
              <w:t xml:space="preserve">[20.5,21.5]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C98: 21.111</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C07: 21.111</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H03: 21.150</w:t>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H15: 21.165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vertAlign w:val="subscript"/>
              </w:rPr>
            </w:pPr>
            <w:r w:rsidDel="00000000" w:rsidR="00000000" w:rsidRPr="00000000">
              <w:rPr>
                <w:sz w:val="18"/>
                <w:szCs w:val="18"/>
                <w:rtl w:val="0"/>
              </w:rPr>
              <w:t xml:space="preserve">C98: </w:t>
            </w:r>
            <m:oMath>
              <m:sSubSup>
                <m:sSubSupPr>
                  <m:ctrlPr>
                    <w:rPr>
                      <w:sz w:val="18"/>
                      <w:szCs w:val="18"/>
                    </w:rPr>
                  </m:ctrlPr>
                </m:sSubSupPr>
                <m:e>
                  <m:r>
                    <w:rPr>
                      <w:sz w:val="18"/>
                      <w:szCs w:val="18"/>
                    </w:rPr>
                    <m:t xml:space="preserve">21.111</m:t>
                  </m:r>
                </m:e>
                <m:sub>
                  <m:r>
                    <w:rPr>
                      <w:sz w:val="18"/>
                      <w:szCs w:val="18"/>
                    </w:rPr>
                    <m:t xml:space="preserve">-0.002</m:t>
                  </m:r>
                </m:sub>
                <m:sup>
                  <m:r>
                    <w:rPr>
                      <w:sz w:val="18"/>
                      <w:szCs w:val="18"/>
                    </w:rPr>
                    <m:t xml:space="preserve">+0.004</m:t>
                  </m:r>
                </m:sup>
              </m:sSubSup>
            </m:oMath>
            <w:r w:rsidDel="00000000" w:rsidR="00000000" w:rsidRPr="00000000">
              <w:rPr>
                <w:rtl w:val="0"/>
              </w:rPr>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C07: 21.111 ± 0.002</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H03: 21.152 ± 0.005</w:t>
            </w:r>
          </w:p>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H15: </w:t>
            </w:r>
            <m:oMath>
              <m:sSubSup>
                <m:sSubSupPr>
                  <m:ctrlPr>
                    <w:rPr>
                      <w:sz w:val="18"/>
                      <w:szCs w:val="18"/>
                    </w:rPr>
                  </m:ctrlPr>
                </m:sSubSupPr>
                <m:e>
                  <m:r>
                    <w:rPr>
                      <w:sz w:val="18"/>
                      <w:szCs w:val="18"/>
                    </w:rPr>
                    <m:t xml:space="preserve">21.166</m:t>
                  </m:r>
                </m:e>
                <m:sub>
                  <m:r>
                    <w:rPr>
                      <w:sz w:val="18"/>
                      <w:szCs w:val="18"/>
                    </w:rPr>
                    <m:t xml:space="preserve">-0.010</m:t>
                  </m:r>
                </m:sub>
                <m:sup>
                  <m:r>
                    <w:rPr>
                      <w:sz w:val="18"/>
                      <w:szCs w:val="18"/>
                    </w:rPr>
                    <m:t xml:space="preserve">+0.009</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vertAlign w:val="subscript"/>
              </w:rPr>
            </w:pPr>
            <w:r w:rsidDel="00000000" w:rsidR="00000000" w:rsidRPr="00000000">
              <w:rPr>
                <w:sz w:val="18"/>
                <w:szCs w:val="18"/>
                <w:rtl w:val="0"/>
              </w:rPr>
              <w:t xml:space="preserve">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u w:val="single"/>
              </w:rPr>
            </w:pPr>
            <m:oMath>
              <m:sSubSup>
                <m:sSubSupPr>
                  <m:ctrlPr>
                    <w:rPr>
                      <w:sz w:val="18"/>
                      <w:szCs w:val="18"/>
                    </w:rPr>
                  </m:ctrlPr>
                </m:sSubSupPr>
                <m:e>
                  <m:r>
                    <w:rPr>
                      <w:sz w:val="18"/>
                      <w:szCs w:val="18"/>
                    </w:rPr>
                    <m:t xml:space="preserve">10.2</m:t>
                  </m:r>
                </m:e>
                <m:sub>
                  <m:r>
                    <w:rPr>
                      <w:sz w:val="18"/>
                      <w:szCs w:val="18"/>
                    </w:rPr>
                    <m:t xml:space="preserve">-1.3</m:t>
                  </m:r>
                </m:sub>
                <m:sup>
                  <m:r>
                    <w:rPr>
                      <w:sz w:val="18"/>
                      <w:szCs w:val="18"/>
                    </w:rPr>
                    <m:t xml:space="preserve">+1.5</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u w:val="single"/>
              </w:rPr>
            </w:pPr>
            <w:r w:rsidDel="00000000" w:rsidR="00000000" w:rsidRPr="00000000">
              <w:rPr>
                <w:sz w:val="18"/>
                <w:szCs w:val="18"/>
                <w:rtl w:val="0"/>
              </w:rPr>
              <w:t xml:space="preserve">[0,360]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vertAlign w:val="subscript"/>
              </w:rPr>
            </w:pPr>
            <m:oMath>
              <m:sSubSup>
                <m:sSubSupPr>
                  <m:ctrlPr>
                    <w:rPr>
                      <w:sz w:val="18"/>
                      <w:szCs w:val="18"/>
                    </w:rPr>
                  </m:ctrlPr>
                </m:sSubSupPr>
                <m:e>
                  <m:r>
                    <w:rPr>
                      <w:sz w:val="18"/>
                      <w:szCs w:val="18"/>
                    </w:rPr>
                    <m:t xml:space="preserve">112</m:t>
                  </m:r>
                </m:e>
                <m:sub>
                  <m:r>
                    <w:rPr>
                      <w:sz w:val="18"/>
                      <w:szCs w:val="18"/>
                    </w:rPr>
                    <m:t xml:space="preserve">-44</m:t>
                  </m:r>
                </m:sub>
                <m:sup>
                  <m:r>
                    <w:rPr>
                      <w:sz w:val="18"/>
                      <w:szCs w:val="18"/>
                    </w:rPr>
                    <m:t xml:space="preserve">+40</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vertAlign w:val="subscript"/>
              </w:rPr>
            </w:pPr>
            <w:r w:rsidDel="00000000" w:rsidR="00000000" w:rsidRPr="00000000">
              <w:rPr>
                <w:sz w:val="18"/>
                <w:szCs w:val="18"/>
                <w:rtl w:val="0"/>
              </w:rPr>
              <w:t xml:space="preserve">0.20 </w:t>
            </w:r>
            <w:r w:rsidDel="00000000" w:rsidR="00000000" w:rsidRPr="00000000">
              <w:rPr>
                <w:color w:val="010101"/>
                <w:sz w:val="18"/>
                <w:szCs w:val="18"/>
                <w:rtl w:val="0"/>
              </w:rPr>
              <w:t xml:space="preserve">– 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color w:val="010101"/>
        </w:rPr>
      </w:pPr>
      <w:r w:rsidDel="00000000" w:rsidR="00000000" w:rsidRPr="00000000">
        <w:rPr>
          <w:rtl w:val="0"/>
        </w:rPr>
        <w:t xml:space="preserve">Table 1: HD 27631. </w:t>
      </w:r>
      <w:r w:rsidDel="00000000" w:rsidR="00000000" w:rsidRPr="00000000">
        <w:rPr>
          <w:color w:val="010101"/>
          <w:rtl w:val="0"/>
        </w:rPr>
        <w:t xml:space="preserve">Summary of priors and posteriors with DPASS and MCMC, compared to the properties reported by CH Survey.</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References</w:t>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Marmier, M. et al. The CORALIE survey for southern extrasolar planets XVII. New and updated long period and massive planets. </w:t>
      </w:r>
      <w:r w:rsidDel="00000000" w:rsidR="00000000" w:rsidRPr="00000000">
        <w:rPr>
          <w:i w:val="1"/>
          <w:rtl w:val="0"/>
        </w:rPr>
        <w:t xml:space="preserve">Astron. Astrophys</w:t>
      </w:r>
      <w:r w:rsidDel="00000000" w:rsidR="00000000" w:rsidRPr="00000000">
        <w:rPr>
          <w:rtl w:val="0"/>
        </w:rPr>
        <w:t xml:space="preserve">. 551, A90 (2013).</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CORALIE data used were not available on the CDS database; therefore these data were recovered from DACE; they are not exactly the same as those used by M13 study</w:t>
      </w:r>
      <w:r w:rsidDel="00000000" w:rsidR="00000000" w:rsidRPr="00000000">
        <w:rPr>
          <w:color w:val="0000ff"/>
          <w:sz w:val="20"/>
          <w:szCs w:val="20"/>
          <w:vertAlign w:val="superscript"/>
          <w:rtl w:val="0"/>
        </w:rPr>
        <w:t xml:space="preserve">1</w:t>
      </w:r>
      <w:r w:rsidDel="00000000" w:rsidR="00000000" w:rsidRPr="00000000">
        <w:rPr>
          <w:sz w:val="20"/>
          <w:szCs w:val="20"/>
          <w:rtl w:val="0"/>
        </w:rPr>
        <w:t xml:space="preserve"> (72 RV CORALIE data against 60 RV CORALIE data). Yet, the RV curve obtained for the CORALIE dataset was the same.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