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HD 136925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  <w:t xml:space="preserve">HD 13</w:t>
      </w:r>
      <w:r w:rsidDel="00000000" w:rsidR="00000000" w:rsidRPr="00000000">
        <w:rPr>
          <w:rtl w:val="0"/>
        </w:rPr>
        <w:t xml:space="preserve">6925 is a 0.875 M</w:t>
      </w:r>
      <w:r w:rsidDel="00000000" w:rsidR="00000000" w:rsidRPr="00000000">
        <w:rPr>
          <w:vertAlign w:val="subscript"/>
          <w:rtl w:val="0"/>
        </w:rPr>
        <w:t xml:space="preserve">☉</w:t>
      </w:r>
      <w:r w:rsidDel="00000000" w:rsidR="00000000" w:rsidRPr="00000000">
        <w:rPr>
          <w:rtl w:val="0"/>
        </w:rPr>
        <w:t xml:space="preserve">, G0 star</w:t>
      </w:r>
      <w:r w:rsidDel="00000000" w:rsidR="00000000" w:rsidRPr="00000000">
        <w:rPr>
          <w:color w:val="0000ff"/>
          <w:vertAlign w:val="super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. Based on 53 RV HIRES measurements obtained between 1998 and 2020, the CL survey reported a LPGP with a period of </w:t>
      </w:r>
      <m:oMath>
        <m:sSubSup>
          <m:sSubSupPr>
            <m:ctrlPr>
              <w:rPr/>
            </m:ctrlPr>
          </m:sSubSupPr>
          <m:e>
            <m:r>
              <w:rPr/>
              <m:t xml:space="preserve">4685</m:t>
            </m:r>
          </m:e>
          <m:sub>
            <m:r>
              <w:rPr/>
              <m:t xml:space="preserve">-547</m:t>
            </m:r>
          </m:sub>
          <m:sup>
            <m:r>
              <w:rPr/>
              <m:t xml:space="preserve">+176</m:t>
            </m:r>
          </m:sup>
        </m:sSubSup>
      </m:oMath>
      <w:r w:rsidDel="00000000" w:rsidR="00000000" w:rsidRPr="00000000">
        <w:rPr>
          <w:rtl w:val="0"/>
        </w:rPr>
        <w:t xml:space="preserve"> days, a minimum mass of </w:t>
      </w:r>
      <m:oMath>
        <m:sSubSup>
          <m:sSubSupPr>
            <m:ctrlPr>
              <w:rPr/>
            </m:ctrlPr>
          </m:sSubSupPr>
          <m:e>
            <m:r>
              <w:rPr/>
              <m:t xml:space="preserve">0.87</m:t>
            </m:r>
          </m:e>
          <m:sub>
            <m:r>
              <w:rPr/>
              <m:t xml:space="preserve">-0.27</m:t>
            </m:r>
          </m:sub>
          <m:sup>
            <m:r>
              <w:rPr/>
              <m:t xml:space="preserve">+0.28</m:t>
            </m:r>
          </m:sup>
        </m:sSubSup>
      </m:oMath>
      <w:r w:rsidDel="00000000" w:rsidR="00000000" w:rsidRPr="00000000">
        <w:rPr>
          <w:rtl w:val="0"/>
        </w:rPr>
        <w:t xml:space="preserve"> M</w:t>
      </w:r>
      <w:r w:rsidDel="00000000" w:rsidR="00000000" w:rsidRPr="00000000">
        <w:rPr>
          <w:vertAlign w:val="subscript"/>
          <w:rtl w:val="0"/>
        </w:rPr>
        <w:t xml:space="preserve">Jup</w:t>
      </w:r>
      <w:r w:rsidDel="00000000" w:rsidR="00000000" w:rsidRPr="00000000">
        <w:rPr>
          <w:rtl w:val="0"/>
        </w:rPr>
        <w:t xml:space="preserve"> and an eccentricity of </w:t>
      </w:r>
      <m:oMath>
        <m:sSubSup>
          <m:sSubSupPr>
            <m:ctrlPr>
              <w:rPr/>
            </m:ctrlPr>
          </m:sSubSupPr>
          <m:e>
            <m:r>
              <w:rPr/>
              <m:t xml:space="preserve">0.11</m:t>
            </m:r>
          </m:e>
          <m:sub>
            <m:r>
              <w:rPr/>
              <m:t xml:space="preserve">-0.1</m:t>
            </m:r>
          </m:sub>
          <m:sup>
            <m:r>
              <w:rPr/>
              <m:t xml:space="preserve">+0.23</m:t>
            </m:r>
          </m:sup>
        </m:sSubSup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3">
      <w:pPr>
        <w:jc w:val="both"/>
        <w:rPr>
          <w:highlight w:val="white"/>
        </w:rPr>
      </w:pPr>
      <w:r w:rsidDel="00000000" w:rsidR="00000000" w:rsidRPr="00000000">
        <w:rPr>
          <w:rtl w:val="0"/>
        </w:rPr>
        <w:t xml:space="preserve">In the present study, the CL survey's dataset was used. DPASS and MCMC (1000 walkers and 300000 iterations) were used to fit the data. </w:t>
      </w:r>
      <w:r w:rsidDel="00000000" w:rsidR="00000000" w:rsidRPr="00000000">
        <w:rPr>
          <w:highlight w:val="white"/>
          <w:rtl w:val="0"/>
        </w:rPr>
        <w:t xml:space="preserve">The properties found for HD 136925b reported in the CL survey were within the error bars associated with the values found in the present analysis.</w:t>
      </w:r>
    </w:p>
    <w:p w:rsidR="00000000" w:rsidDel="00000000" w:rsidP="00000000" w:rsidRDefault="00000000" w:rsidRPr="00000000" w14:paraId="00000004">
      <w:pPr>
        <w:jc w:val="both"/>
        <w:rPr>
          <w:highlight w:val="white"/>
        </w:rPr>
      </w:pPr>
      <w:r w:rsidDel="00000000" w:rsidR="00000000" w:rsidRPr="00000000">
        <w:rPr>
          <w:rtl w:val="0"/>
        </w:rPr>
        <w:t xml:space="preserve">The fits are shown in Fig 1, and the corner plot in Fig 2, and the results summarized in Table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color w:val="01010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color w:val="010101"/>
          <w:rtl w:val="0"/>
        </w:rPr>
        <w:t xml:space="preserve">Conclusion: The properties found in the CL survey for HD 136925b are confirmed.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  <w:t xml:space="preserve">Figure 1: </w:t>
      </w:r>
      <w:r w:rsidDel="00000000" w:rsidR="00000000" w:rsidRPr="00000000">
        <w:rPr>
          <w:color w:val="010101"/>
          <w:rtl w:val="0"/>
        </w:rPr>
        <w:t xml:space="preserve">Left: fit of the HD 13</w:t>
      </w:r>
      <w:r w:rsidDel="00000000" w:rsidR="00000000" w:rsidRPr="00000000">
        <w:rPr>
          <w:rtl w:val="0"/>
        </w:rPr>
        <w:t xml:space="preserve">6925</w:t>
      </w:r>
      <w:r w:rsidDel="00000000" w:rsidR="00000000" w:rsidRPr="00000000">
        <w:rPr>
          <w:color w:val="010101"/>
          <w:rtl w:val="0"/>
        </w:rPr>
        <w:t xml:space="preserve"> RV with DPASS. </w:t>
      </w:r>
      <w:r w:rsidDel="00000000" w:rsidR="00000000" w:rsidRPr="00000000">
        <w:rPr>
          <w:rtl w:val="0"/>
        </w:rPr>
        <w:t xml:space="preserve">Red - Hir94, green - Hir04. The blue curve shows the best fit.</w:t>
      </w:r>
      <w:r w:rsidDel="00000000" w:rsidR="00000000" w:rsidRPr="00000000">
        <w:rPr>
          <w:color w:val="010101"/>
          <w:rtl w:val="0"/>
        </w:rPr>
        <w:t xml:space="preserve"> Right: fit of the HD 13</w:t>
      </w:r>
      <w:r w:rsidDel="00000000" w:rsidR="00000000" w:rsidRPr="00000000">
        <w:rPr>
          <w:rtl w:val="0"/>
        </w:rPr>
        <w:t xml:space="preserve">6925</w:t>
      </w:r>
      <w:r w:rsidDel="00000000" w:rsidR="00000000" w:rsidRPr="00000000">
        <w:rPr>
          <w:color w:val="010101"/>
          <w:rtl w:val="0"/>
        </w:rPr>
        <w:t xml:space="preserve"> RV using MCMC</w:t>
      </w:r>
      <w:r w:rsidDel="00000000" w:rsidR="00000000" w:rsidRPr="00000000">
        <w:rPr>
          <w:rtl w:val="0"/>
        </w:rPr>
        <w:t xml:space="preserve">. The black curve shows the best fit. The colorbar corresponds to the log-likelihood of the fits.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123825</wp:posOffset>
            </wp:positionV>
            <wp:extent cx="2491960" cy="1866900"/>
            <wp:effectExtent b="0" l="0" r="0" t="0"/>
            <wp:wrapTopAndBottom distB="114300" distT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1960" cy="186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123825</wp:posOffset>
            </wp:positionV>
            <wp:extent cx="2786063" cy="1866900"/>
            <wp:effectExtent b="0" l="0" r="0" t="0"/>
            <wp:wrapTopAndBottom distB="114300" distT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10000" t="10067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186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05488" cy="580548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580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  <w:t xml:space="preserve">Figure 2: Corner plot of posteriors for the one-planet model MCMC fit of HD 136925 RV data.</w:t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550.0" w:type="dxa"/>
        <w:jc w:val="left"/>
        <w:tblInd w:w="-12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15"/>
        <w:gridCol w:w="1185"/>
        <w:gridCol w:w="1305"/>
        <w:gridCol w:w="1965"/>
        <w:gridCol w:w="2595"/>
        <w:gridCol w:w="1485"/>
        <w:tblGridChange w:id="0">
          <w:tblGrid>
            <w:gridCol w:w="3015"/>
            <w:gridCol w:w="1185"/>
            <w:gridCol w:w="1305"/>
            <w:gridCol w:w="1965"/>
            <w:gridCol w:w="2595"/>
            <w:gridCol w:w="1485"/>
          </w:tblGrid>
        </w:tblGridChange>
      </w:tblGrid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Parameter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Priors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Posteriors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CL survey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MCMC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MCMC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10101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 (au)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[0,100]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[2,10]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4.9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5.3 ± 0.3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m:oMath>
              <m:sSubSup>
                <m:sSubSupPr>
                  <m:ctrlPr>
                    <w:rPr>
                      <w:color w:val="010101"/>
                      <w:sz w:val="18"/>
                      <w:szCs w:val="18"/>
                    </w:rPr>
                  </m:ctrlPr>
                </m:sSubSupPr>
                <m:e>
                  <m:r>
                    <w:rPr>
                      <w:color w:val="010101"/>
                      <w:sz w:val="18"/>
                      <w:szCs w:val="18"/>
                    </w:rPr>
                    <m:t xml:space="preserve">5.13</m:t>
                  </m:r>
                </m:e>
                <m:sub>
                  <m:r>
                    <w:rPr>
                      <w:color w:val="010101"/>
                      <w:sz w:val="18"/>
                      <w:szCs w:val="18"/>
                    </w:rPr>
                    <m:t xml:space="preserve">-0.11</m:t>
                  </m:r>
                </m:sub>
                <m:sup>
                  <m:r>
                    <w:rPr>
                      <w:color w:val="010101"/>
                      <w:sz w:val="18"/>
                      <w:szCs w:val="18"/>
                    </w:rPr>
                    <m:t xml:space="preserve">+0.12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Msin(i) (M</w:t>
            </w:r>
            <w:r w:rsidDel="00000000" w:rsidR="00000000" w:rsidRPr="00000000">
              <w:rPr>
                <w:color w:val="010101"/>
                <w:sz w:val="18"/>
                <w:szCs w:val="18"/>
                <w:vertAlign w:val="subscript"/>
                <w:rtl w:val="0"/>
              </w:rPr>
              <w:t xml:space="preserve">Jup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[0,100]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[0.5,10]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0.89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jc w:val="both"/>
              <w:rPr>
                <w:color w:val="010101"/>
                <w:sz w:val="18"/>
                <w:szCs w:val="18"/>
              </w:rPr>
            </w:pPr>
            <m:oMath>
              <m:sSubSup>
                <m:sSubSupPr>
                  <m:ctrlPr>
                    <w:rPr>
                      <w:color w:val="010101"/>
                      <w:sz w:val="18"/>
                      <w:szCs w:val="18"/>
                    </w:rPr>
                  </m:ctrlPr>
                </m:sSubSupPr>
                <m:e>
                  <m:r>
                    <w:rPr>
                      <w:color w:val="010101"/>
                      <w:sz w:val="18"/>
                      <w:szCs w:val="18"/>
                    </w:rPr>
                    <m:t xml:space="preserve">0.9</m:t>
                  </m:r>
                </m:e>
                <m:sub>
                  <m:r>
                    <w:rPr>
                      <w:color w:val="010101"/>
                      <w:sz w:val="18"/>
                      <w:szCs w:val="18"/>
                    </w:rPr>
                    <m:t xml:space="preserve">-0.2</m:t>
                  </m:r>
                </m:sub>
                <m:sup>
                  <m:r>
                    <w:rPr>
                      <w:color w:val="010101"/>
                      <w:sz w:val="18"/>
                      <w:szCs w:val="18"/>
                    </w:rPr>
                    <m:t xml:space="preserve">+0.3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jc w:val="both"/>
              <w:rPr>
                <w:color w:val="010101"/>
                <w:sz w:val="18"/>
                <w:szCs w:val="18"/>
              </w:rPr>
            </w:pPr>
            <m:oMath>
              <m:sSubSup>
                <m:sSubSupPr>
                  <m:ctrlPr>
                    <w:rPr>
                      <w:color w:val="010101"/>
                      <w:sz w:val="18"/>
                      <w:szCs w:val="18"/>
                    </w:rPr>
                  </m:ctrlPr>
                </m:sSubSupPr>
                <m:e>
                  <m:r>
                    <w:rPr>
                      <w:color w:val="010101"/>
                      <w:sz w:val="18"/>
                      <w:szCs w:val="18"/>
                    </w:rPr>
                    <m:t xml:space="preserve">0.84</m:t>
                  </m:r>
                </m:e>
                <m:sub>
                  <m:r>
                    <w:rPr>
                      <w:color w:val="010101"/>
                      <w:sz w:val="18"/>
                      <w:szCs w:val="18"/>
                    </w:rPr>
                    <m:t xml:space="preserve">-0.074</m:t>
                  </m:r>
                </m:sub>
                <m:sup>
                  <m:r>
                    <w:rPr>
                      <w:color w:val="010101"/>
                      <w:sz w:val="18"/>
                      <w:szCs w:val="18"/>
                    </w:rPr>
                    <m:t xml:space="preserve">+0.078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Eccentricity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[0,0.95]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[0,0.9]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0.28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&lt; 0.38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m:oMath>
              <m:sSubSup>
                <m:sSubSupPr>
                  <m:ctrlPr>
                    <w:rPr>
                      <w:color w:val="010101"/>
                      <w:sz w:val="18"/>
                      <w:szCs w:val="18"/>
                    </w:rPr>
                  </m:ctrlPr>
                </m:sSubSupPr>
                <m:e>
                  <m:r>
                    <w:rPr>
                      <w:color w:val="010101"/>
                      <w:sz w:val="18"/>
                      <w:szCs w:val="18"/>
                    </w:rPr>
                    <m:t xml:space="preserve">0.103</m:t>
                  </m:r>
                </m:e>
                <m:sub>
                  <m:r>
                    <w:rPr>
                      <w:color w:val="010101"/>
                      <w:sz w:val="18"/>
                      <w:szCs w:val="18"/>
                    </w:rPr>
                    <m:t xml:space="preserve">-0.070</m:t>
                  </m:r>
                </m:sub>
                <m:sup>
                  <m:r>
                    <w:rPr>
                      <w:color w:val="010101"/>
                      <w:sz w:val="18"/>
                      <w:szCs w:val="18"/>
                    </w:rPr>
                    <m:t xml:space="preserve">+0094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Instrumentals offsets (km/s)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[-60,60]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[-1,1]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Hir94: -0.001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Hir04: -0.002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Hir94: -0.006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± 0.004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Hir04: -0.002 ± 0.003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Stellar jitter (m/s)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[0,40]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[0,20]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vertAlign w:val="subscript"/>
              </w:rPr>
            </w:pPr>
            <m:oMath>
              <m:sSubSup>
                <m:sSubSupPr>
                  <m:ctrlPr>
                    <w:rPr>
                      <w:color w:val="010101"/>
                      <w:sz w:val="18"/>
                      <w:szCs w:val="18"/>
                    </w:rPr>
                  </m:ctrlPr>
                </m:sSubSupPr>
                <m:e>
                  <m:r>
                    <w:rPr>
                      <w:color w:val="010101"/>
                      <w:sz w:val="18"/>
                      <w:szCs w:val="18"/>
                    </w:rPr>
                    <m:t xml:space="preserve">9.7</m:t>
                  </m:r>
                </m:e>
                <m:sub>
                  <m:r>
                    <w:rPr>
                      <w:color w:val="010101"/>
                      <w:sz w:val="18"/>
                      <w:szCs w:val="18"/>
                    </w:rPr>
                    <m:t xml:space="preserve">-1.4</m:t>
                  </m:r>
                </m:sub>
                <m:sup>
                  <m:r>
                    <w:rPr>
                      <w:color w:val="010101"/>
                      <w:sz w:val="18"/>
                      <w:szCs w:val="18"/>
                    </w:rPr>
                    <m:t xml:space="preserve">+2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Argument of periastron (°)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[0,360]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[0,360]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145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56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– 282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Phase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[0,1]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[0,1]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0.99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vertAlign w:val="superscript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0.12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– 0.85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color w:val="010101"/>
        </w:rPr>
      </w:pPr>
      <w:r w:rsidDel="00000000" w:rsidR="00000000" w:rsidRPr="00000000">
        <w:rPr>
          <w:rtl w:val="0"/>
        </w:rPr>
        <w:t xml:space="preserve">Table 1: HD 136925. </w:t>
      </w:r>
      <w:r w:rsidDel="00000000" w:rsidR="00000000" w:rsidRPr="00000000">
        <w:rPr>
          <w:color w:val="010101"/>
          <w:rtl w:val="0"/>
        </w:rPr>
        <w:t xml:space="preserve">Summary of priors and posteriors obtained with DPASS and MCMC, compared to the properties reported by the CL Survey.</w:t>
      </w:r>
    </w:p>
    <w:p w:rsidR="00000000" w:rsidDel="00000000" w:rsidP="00000000" w:rsidRDefault="00000000" w:rsidRPr="00000000" w14:paraId="0000005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Rosenthal, L. et al. The California Legacy Survey. I. A Catalog of 178 Planets from Precision Radial Velocity Monitoring of 719 Nearby Stars over Three Decades. </w:t>
      </w:r>
      <w:r w:rsidDel="00000000" w:rsidR="00000000" w:rsidRPr="00000000">
        <w:rPr>
          <w:i w:val="1"/>
          <w:rtl w:val="0"/>
        </w:rPr>
        <w:t xml:space="preserve">Astrophys. J.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Suppl. Ser.</w:t>
      </w:r>
      <w:r w:rsidDel="00000000" w:rsidR="00000000" w:rsidRPr="00000000">
        <w:rPr>
          <w:rtl w:val="0"/>
        </w:rPr>
        <w:t xml:space="preserve"> 255, 8 (2021).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